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B7" w:rsidRPr="00774A86" w:rsidRDefault="001005B7" w:rsidP="001005B7">
      <w:pPr>
        <w:jc w:val="center"/>
        <w:rPr>
          <w:b/>
        </w:rPr>
      </w:pPr>
    </w:p>
    <w:p w:rsidR="001005B7" w:rsidRPr="00774A86" w:rsidRDefault="001005B7" w:rsidP="001005B7">
      <w:pPr>
        <w:jc w:val="center"/>
        <w:rPr>
          <w:b/>
        </w:rPr>
      </w:pPr>
    </w:p>
    <w:p w:rsidR="001005B7" w:rsidRPr="00774A86" w:rsidRDefault="001005B7" w:rsidP="001005B7">
      <w:pPr>
        <w:jc w:val="center"/>
        <w:rPr>
          <w:b/>
        </w:rPr>
      </w:pPr>
    </w:p>
    <w:p w:rsidR="001005B7" w:rsidRPr="00774A86" w:rsidRDefault="00ED29BC" w:rsidP="001005B7">
      <w:pPr>
        <w:pBdr>
          <w:bottom w:val="single" w:sz="4" w:space="5" w:color="auto"/>
        </w:pBdr>
        <w:jc w:val="center"/>
        <w:rPr>
          <w:sz w:val="68"/>
          <w:szCs w:val="68"/>
        </w:rPr>
      </w:pPr>
      <w:r w:rsidRPr="00774A86">
        <w:rPr>
          <w:sz w:val="68"/>
          <w:szCs w:val="68"/>
        </w:rPr>
        <w:t>Implementing</w:t>
      </w:r>
      <w:r w:rsidR="004846EA" w:rsidRPr="00774A86">
        <w:rPr>
          <w:sz w:val="68"/>
          <w:szCs w:val="68"/>
        </w:rPr>
        <w:t xml:space="preserve"> the </w:t>
      </w:r>
      <w:r w:rsidRPr="00774A86">
        <w:rPr>
          <w:sz w:val="68"/>
          <w:szCs w:val="68"/>
        </w:rPr>
        <w:t xml:space="preserve">global standard on </w:t>
      </w:r>
      <w:r w:rsidR="004846EA" w:rsidRPr="00774A86">
        <w:rPr>
          <w:sz w:val="68"/>
          <w:szCs w:val="68"/>
        </w:rPr>
        <w:t>automatic exchange of information</w:t>
      </w:r>
    </w:p>
    <w:p w:rsidR="001005B7" w:rsidRPr="00774A86" w:rsidRDefault="001005B7" w:rsidP="001005B7">
      <w:pPr>
        <w:jc w:val="center"/>
        <w:rPr>
          <w:b/>
          <w:sz w:val="40"/>
          <w:szCs w:val="40"/>
        </w:rPr>
      </w:pPr>
    </w:p>
    <w:p w:rsidR="001005B7" w:rsidRPr="00774A86" w:rsidRDefault="001005B7" w:rsidP="001005B7">
      <w:pPr>
        <w:jc w:val="center"/>
        <w:rPr>
          <w:i/>
          <w:sz w:val="28"/>
          <w:szCs w:val="28"/>
        </w:rPr>
      </w:pPr>
      <w:r w:rsidRPr="00774A86">
        <w:rPr>
          <w:i/>
          <w:sz w:val="28"/>
          <w:szCs w:val="28"/>
        </w:rPr>
        <w:t>An officials’ issues paper</w:t>
      </w:r>
    </w:p>
    <w:p w:rsidR="00E65F33" w:rsidRPr="00774A86" w:rsidRDefault="00E65F33" w:rsidP="00E65F33"/>
    <w:p w:rsidR="00E65F33" w:rsidRPr="00774A86" w:rsidRDefault="00E65F33" w:rsidP="00E65F33"/>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p w:rsidR="003003A2" w:rsidRPr="00774A86" w:rsidRDefault="003003A2" w:rsidP="001005B7"/>
    <w:p w:rsidR="003003A2" w:rsidRPr="00774A86" w:rsidRDefault="003003A2" w:rsidP="001005B7"/>
    <w:p w:rsidR="003003A2" w:rsidRPr="00774A86" w:rsidRDefault="003003A2" w:rsidP="001005B7"/>
    <w:p w:rsidR="003003A2" w:rsidRPr="00774A86" w:rsidRDefault="003003A2" w:rsidP="001005B7"/>
    <w:p w:rsidR="003003A2" w:rsidRPr="00774A86" w:rsidRDefault="003003A2" w:rsidP="001005B7"/>
    <w:p w:rsidR="003003A2" w:rsidRPr="00774A86" w:rsidRDefault="003003A2" w:rsidP="001005B7"/>
    <w:p w:rsidR="003003A2" w:rsidRPr="00774A86" w:rsidRDefault="003003A2" w:rsidP="001005B7"/>
    <w:p w:rsidR="003003A2" w:rsidRPr="00774A86" w:rsidRDefault="003003A2" w:rsidP="001005B7"/>
    <w:p w:rsidR="003003A2" w:rsidRPr="00774A86" w:rsidRDefault="003003A2" w:rsidP="001005B7"/>
    <w:p w:rsidR="003003A2" w:rsidRPr="00774A86" w:rsidRDefault="003003A2" w:rsidP="001005B7"/>
    <w:p w:rsidR="001005B7" w:rsidRPr="00774A86" w:rsidRDefault="001005B7" w:rsidP="001005B7"/>
    <w:p w:rsidR="001005B7" w:rsidRPr="00774A86" w:rsidRDefault="001005B7" w:rsidP="001005B7"/>
    <w:p w:rsidR="00085DB0" w:rsidRPr="00774A86" w:rsidRDefault="00085DB0" w:rsidP="001005B7"/>
    <w:p w:rsidR="00085DB0" w:rsidRPr="00774A86" w:rsidRDefault="00085DB0" w:rsidP="001005B7"/>
    <w:p w:rsidR="00085DB0" w:rsidRPr="00774A86" w:rsidRDefault="00085DB0" w:rsidP="001005B7"/>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p w:rsidR="00E65F33" w:rsidRPr="00774A86" w:rsidRDefault="00E65F33" w:rsidP="001005B7"/>
    <w:p w:rsidR="00E65F33" w:rsidRPr="00774A86" w:rsidRDefault="00E65F33" w:rsidP="001005B7"/>
    <w:p w:rsidR="001005B7" w:rsidRPr="00774A86" w:rsidRDefault="001005B7" w:rsidP="001005B7"/>
    <w:p w:rsidR="001005B7" w:rsidRPr="00774A86" w:rsidRDefault="001005B7" w:rsidP="001005B7"/>
    <w:p w:rsidR="001005B7" w:rsidRPr="00774A86" w:rsidRDefault="005F74DC" w:rsidP="001005B7">
      <w:pPr>
        <w:tabs>
          <w:tab w:val="left" w:pos="6237"/>
        </w:tabs>
        <w:rPr>
          <w:sz w:val="28"/>
          <w:szCs w:val="28"/>
        </w:rPr>
      </w:pPr>
      <w:r w:rsidRPr="00774A86">
        <w:rPr>
          <w:sz w:val="28"/>
          <w:szCs w:val="28"/>
        </w:rPr>
        <w:t>February</w:t>
      </w:r>
      <w:r w:rsidR="009E4D3B" w:rsidRPr="00774A86">
        <w:rPr>
          <w:sz w:val="28"/>
          <w:szCs w:val="28"/>
        </w:rPr>
        <w:t xml:space="preserve"> 201</w:t>
      </w:r>
      <w:r w:rsidR="004846EA" w:rsidRPr="00774A86">
        <w:rPr>
          <w:sz w:val="28"/>
          <w:szCs w:val="28"/>
        </w:rPr>
        <w:t>6</w:t>
      </w:r>
    </w:p>
    <w:p w:rsidR="001005B7" w:rsidRPr="00774A86" w:rsidRDefault="001005B7" w:rsidP="001005B7">
      <w:pPr>
        <w:tabs>
          <w:tab w:val="left" w:pos="6237"/>
        </w:tabs>
        <w:rPr>
          <w:sz w:val="28"/>
          <w:szCs w:val="28"/>
        </w:rPr>
      </w:pPr>
    </w:p>
    <w:p w:rsidR="001005B7" w:rsidRPr="00774A86" w:rsidRDefault="001005B7" w:rsidP="001005B7">
      <w:pPr>
        <w:tabs>
          <w:tab w:val="left" w:pos="6237"/>
        </w:tabs>
        <w:rPr>
          <w:sz w:val="28"/>
          <w:szCs w:val="28"/>
        </w:rPr>
      </w:pPr>
    </w:p>
    <w:p w:rsidR="001005B7" w:rsidRPr="00774A86" w:rsidRDefault="001005B7" w:rsidP="001005B7">
      <w:pPr>
        <w:tabs>
          <w:tab w:val="left" w:pos="6237"/>
        </w:tabs>
        <w:rPr>
          <w:i/>
        </w:rPr>
      </w:pPr>
      <w:r w:rsidRPr="00774A86">
        <w:rPr>
          <w:i/>
        </w:rPr>
        <w:t xml:space="preserve">Prepared by Policy </w:t>
      </w:r>
      <w:r w:rsidR="00B94457" w:rsidRPr="00774A86">
        <w:rPr>
          <w:i/>
        </w:rPr>
        <w:t>and Strategy</w:t>
      </w:r>
      <w:r w:rsidR="00CB3324" w:rsidRPr="00774A86">
        <w:rPr>
          <w:i/>
        </w:rPr>
        <w:t>,</w:t>
      </w:r>
      <w:r w:rsidR="00B94457" w:rsidRPr="00774A86">
        <w:rPr>
          <w:i/>
        </w:rPr>
        <w:t xml:space="preserve"> </w:t>
      </w:r>
      <w:r w:rsidRPr="00774A86">
        <w:rPr>
          <w:i/>
        </w:rPr>
        <w:t>Inland Revenue</w:t>
      </w:r>
    </w:p>
    <w:p w:rsidR="001005B7" w:rsidRPr="00774A86" w:rsidRDefault="001005B7" w:rsidP="001005B7">
      <w:r w:rsidRPr="00774A86">
        <w:br w:type="page"/>
      </w:r>
    </w:p>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bookmarkStart w:id="0" w:name="_GoBack"/>
      <w:bookmarkEnd w:id="0"/>
    </w:p>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p w:rsidR="00085DB0" w:rsidRPr="00774A86" w:rsidRDefault="00085DB0" w:rsidP="001005B7"/>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p w:rsidR="001005B7" w:rsidRPr="00774A86" w:rsidRDefault="001005B7" w:rsidP="001005B7">
      <w:pPr>
        <w:jc w:val="left"/>
        <w:rPr>
          <w:sz w:val="20"/>
        </w:rPr>
      </w:pPr>
      <w:r w:rsidRPr="00774A86">
        <w:rPr>
          <w:sz w:val="20"/>
        </w:rPr>
        <w:t xml:space="preserve">First published in </w:t>
      </w:r>
      <w:r w:rsidR="005F74DC" w:rsidRPr="00774A86">
        <w:rPr>
          <w:sz w:val="20"/>
        </w:rPr>
        <w:t>February</w:t>
      </w:r>
      <w:r w:rsidR="001B1FAA" w:rsidRPr="00774A86">
        <w:rPr>
          <w:sz w:val="20"/>
        </w:rPr>
        <w:t xml:space="preserve"> 201</w:t>
      </w:r>
      <w:r w:rsidR="00F704DB" w:rsidRPr="00774A86">
        <w:rPr>
          <w:sz w:val="20"/>
        </w:rPr>
        <w:t>6</w:t>
      </w:r>
      <w:r w:rsidRPr="00774A86">
        <w:rPr>
          <w:sz w:val="20"/>
        </w:rPr>
        <w:t xml:space="preserve"> by Policy </w:t>
      </w:r>
      <w:r w:rsidR="00B94457" w:rsidRPr="00774A86">
        <w:rPr>
          <w:sz w:val="20"/>
        </w:rPr>
        <w:t>and Strategy</w:t>
      </w:r>
      <w:r w:rsidR="00F36FF2" w:rsidRPr="00774A86">
        <w:rPr>
          <w:sz w:val="20"/>
        </w:rPr>
        <w:t>,</w:t>
      </w:r>
      <w:r w:rsidRPr="00774A86">
        <w:rPr>
          <w:sz w:val="20"/>
        </w:rPr>
        <w:t xml:space="preserve"> Inland Revenue, </w:t>
      </w:r>
      <w:r w:rsidR="009368ED" w:rsidRPr="00774A86">
        <w:rPr>
          <w:sz w:val="20"/>
        </w:rPr>
        <w:t>P</w:t>
      </w:r>
      <w:r w:rsidR="0008243F" w:rsidRPr="00774A86">
        <w:rPr>
          <w:sz w:val="20"/>
        </w:rPr>
        <w:t>O Box 2198</w:t>
      </w:r>
      <w:proofErr w:type="gramStart"/>
      <w:r w:rsidR="0008243F" w:rsidRPr="00774A86">
        <w:rPr>
          <w:sz w:val="20"/>
        </w:rPr>
        <w:t>,</w:t>
      </w:r>
      <w:proofErr w:type="gramEnd"/>
      <w:r w:rsidR="0008243F" w:rsidRPr="00774A86">
        <w:rPr>
          <w:sz w:val="20"/>
        </w:rPr>
        <w:br/>
      </w:r>
      <w:r w:rsidRPr="00774A86">
        <w:rPr>
          <w:sz w:val="20"/>
        </w:rPr>
        <w:t>Wellington</w:t>
      </w:r>
      <w:r w:rsidR="001B1FAA" w:rsidRPr="00774A86">
        <w:rPr>
          <w:sz w:val="20"/>
        </w:rPr>
        <w:t>, 6140</w:t>
      </w:r>
      <w:r w:rsidR="00F36FF2" w:rsidRPr="00774A86">
        <w:rPr>
          <w:sz w:val="20"/>
        </w:rPr>
        <w:t>.</w:t>
      </w:r>
    </w:p>
    <w:p w:rsidR="001005B7" w:rsidRPr="00774A86" w:rsidRDefault="001005B7" w:rsidP="001005B7">
      <w:pPr>
        <w:jc w:val="left"/>
        <w:rPr>
          <w:sz w:val="20"/>
        </w:rPr>
      </w:pPr>
    </w:p>
    <w:p w:rsidR="001005B7" w:rsidRPr="00774A86" w:rsidRDefault="00323462" w:rsidP="00C424D3">
      <w:pPr>
        <w:jc w:val="left"/>
        <w:rPr>
          <w:sz w:val="20"/>
        </w:rPr>
      </w:pPr>
      <w:proofErr w:type="gramStart"/>
      <w:r w:rsidRPr="00774A86">
        <w:rPr>
          <w:sz w:val="20"/>
        </w:rPr>
        <w:t>Implementing the global standard on</w:t>
      </w:r>
      <w:r w:rsidR="00C424D3" w:rsidRPr="00774A86">
        <w:rPr>
          <w:sz w:val="20"/>
        </w:rPr>
        <w:t xml:space="preserve"> automatic exchange of tax information</w:t>
      </w:r>
      <w:r w:rsidR="001005B7" w:rsidRPr="00774A86">
        <w:rPr>
          <w:sz w:val="20"/>
        </w:rPr>
        <w:t xml:space="preserve"> – an officials’ issues paper.</w:t>
      </w:r>
      <w:proofErr w:type="gramEnd"/>
    </w:p>
    <w:p w:rsidR="001005B7" w:rsidRPr="00774A86" w:rsidRDefault="001005B7" w:rsidP="001005B7">
      <w:pPr>
        <w:rPr>
          <w:sz w:val="20"/>
        </w:rPr>
      </w:pPr>
      <w:r w:rsidRPr="00774A86">
        <w:rPr>
          <w:sz w:val="20"/>
        </w:rPr>
        <w:t xml:space="preserve">ISBN </w:t>
      </w:r>
      <w:r w:rsidR="0068338D" w:rsidRPr="00774A86">
        <w:rPr>
          <w:sz w:val="20"/>
        </w:rPr>
        <w:t>978-0-478-42428-7</w:t>
      </w:r>
      <w:r w:rsidR="00D46187" w:rsidRPr="00774A86">
        <w:rPr>
          <w:sz w:val="20"/>
        </w:rPr>
        <w:t xml:space="preserve"> (online)</w:t>
      </w:r>
    </w:p>
    <w:p w:rsidR="001005B7" w:rsidRPr="00774A86" w:rsidRDefault="001005B7" w:rsidP="001005B7">
      <w:pPr>
        <w:jc w:val="center"/>
        <w:rPr>
          <w:b/>
          <w:sz w:val="28"/>
          <w:szCs w:val="28"/>
        </w:rPr>
      </w:pPr>
      <w:r w:rsidRPr="00774A86">
        <w:br w:type="page"/>
      </w:r>
      <w:bookmarkStart w:id="1" w:name="X"/>
      <w:bookmarkEnd w:id="1"/>
      <w:r w:rsidRPr="00774A86">
        <w:rPr>
          <w:b/>
          <w:sz w:val="28"/>
          <w:szCs w:val="28"/>
        </w:rPr>
        <w:lastRenderedPageBreak/>
        <w:t>CONTENTS</w:t>
      </w:r>
    </w:p>
    <w:p w:rsidR="00D10025" w:rsidRPr="00774A86" w:rsidRDefault="00D10025" w:rsidP="001005B7">
      <w:pPr>
        <w:jc w:val="center"/>
        <w:rPr>
          <w:b/>
          <w:sz w:val="28"/>
          <w:szCs w:val="28"/>
        </w:rPr>
      </w:pPr>
    </w:p>
    <w:p w:rsidR="00EC3048" w:rsidRDefault="0066247A" w:rsidP="00F30643">
      <w:pPr>
        <w:pStyle w:val="TOC1"/>
        <w:ind w:right="232"/>
        <w:rPr>
          <w:rFonts w:asciiTheme="minorHAnsi" w:eastAsiaTheme="minorEastAsia" w:hAnsiTheme="minorHAnsi" w:cstheme="minorBidi"/>
          <w:b w:val="0"/>
          <w:noProof/>
          <w:sz w:val="22"/>
          <w:szCs w:val="22"/>
          <w:lang w:eastAsia="en-NZ"/>
        </w:rPr>
      </w:pPr>
      <w:r w:rsidRPr="00774A86">
        <w:rPr>
          <w:sz w:val="22"/>
        </w:rPr>
        <w:fldChar w:fldCharType="begin"/>
      </w:r>
      <w:r w:rsidRPr="00774A86">
        <w:rPr>
          <w:sz w:val="22"/>
        </w:rPr>
        <w:instrText xml:space="preserve"> TOC \t "Heading 1,2,Chapter heading,1" </w:instrText>
      </w:r>
      <w:r w:rsidRPr="00774A86">
        <w:rPr>
          <w:sz w:val="22"/>
        </w:rPr>
        <w:fldChar w:fldCharType="separate"/>
      </w:r>
      <w:r w:rsidR="00EC3048">
        <w:rPr>
          <w:noProof/>
        </w:rPr>
        <w:t>CHAPTER 1</w:t>
      </w:r>
      <w:r w:rsidR="00EC3048">
        <w:rPr>
          <w:noProof/>
        </w:rPr>
        <w:tab/>
      </w:r>
      <w:r w:rsidR="00EC3048" w:rsidRPr="00AB28C0">
        <w:rPr>
          <w:noProof/>
        </w:rPr>
        <w:t>Introduction</w:t>
      </w:r>
      <w:r w:rsidR="00EC3048">
        <w:rPr>
          <w:noProof/>
        </w:rPr>
        <w:tab/>
      </w:r>
      <w:r w:rsidR="00EC3048">
        <w:rPr>
          <w:noProof/>
        </w:rPr>
        <w:fldChar w:fldCharType="begin"/>
      </w:r>
      <w:r w:rsidR="00EC3048">
        <w:rPr>
          <w:noProof/>
        </w:rPr>
        <w:instrText xml:space="preserve"> PAGEREF _Toc443470069 \h </w:instrText>
      </w:r>
      <w:r w:rsidR="00EC3048">
        <w:rPr>
          <w:noProof/>
        </w:rPr>
      </w:r>
      <w:r w:rsidR="00EC3048">
        <w:rPr>
          <w:noProof/>
        </w:rPr>
        <w:fldChar w:fldCharType="separate"/>
      </w:r>
      <w:r w:rsidR="002F3032">
        <w:rPr>
          <w:noProof/>
        </w:rPr>
        <w:t>1</w:t>
      </w:r>
      <w:r w:rsidR="00EC3048">
        <w:rPr>
          <w:noProof/>
        </w:rPr>
        <w:fldChar w:fldCharType="end"/>
      </w:r>
    </w:p>
    <w:p w:rsidR="00EC3048" w:rsidRDefault="00EC3048" w:rsidP="00F30643">
      <w:pPr>
        <w:pStyle w:val="TOC2"/>
        <w:tabs>
          <w:tab w:val="right" w:pos="8364"/>
        </w:tabs>
        <w:ind w:right="232"/>
        <w:rPr>
          <w:rFonts w:asciiTheme="minorHAnsi" w:eastAsiaTheme="minorEastAsia" w:hAnsiTheme="minorHAnsi" w:cstheme="minorBidi"/>
          <w:noProof/>
          <w:szCs w:val="22"/>
          <w:lang w:eastAsia="en-NZ"/>
        </w:rPr>
      </w:pPr>
      <w:r>
        <w:rPr>
          <w:noProof/>
        </w:rPr>
        <w:t>The Common Reporting Standard</w:t>
      </w:r>
      <w:r>
        <w:rPr>
          <w:noProof/>
        </w:rPr>
        <w:tab/>
      </w:r>
      <w:r>
        <w:rPr>
          <w:noProof/>
        </w:rPr>
        <w:fldChar w:fldCharType="begin"/>
      </w:r>
      <w:r>
        <w:rPr>
          <w:noProof/>
        </w:rPr>
        <w:instrText xml:space="preserve"> PAGEREF _Toc443470070 \h </w:instrText>
      </w:r>
      <w:r>
        <w:rPr>
          <w:noProof/>
        </w:rPr>
      </w:r>
      <w:r>
        <w:rPr>
          <w:noProof/>
        </w:rPr>
        <w:fldChar w:fldCharType="separate"/>
      </w:r>
      <w:r w:rsidR="002F3032">
        <w:rPr>
          <w:noProof/>
        </w:rPr>
        <w:t>3</w:t>
      </w:r>
      <w:r>
        <w:rPr>
          <w:noProof/>
        </w:rPr>
        <w:fldChar w:fldCharType="end"/>
      </w:r>
    </w:p>
    <w:p w:rsidR="00EC3048" w:rsidRDefault="00EC3048" w:rsidP="00F30643">
      <w:pPr>
        <w:pStyle w:val="TOC2"/>
        <w:tabs>
          <w:tab w:val="right" w:pos="8364"/>
        </w:tabs>
        <w:ind w:right="232"/>
        <w:rPr>
          <w:rFonts w:asciiTheme="minorHAnsi" w:eastAsiaTheme="minorEastAsia" w:hAnsiTheme="minorHAnsi" w:cstheme="minorBidi"/>
          <w:noProof/>
          <w:szCs w:val="22"/>
          <w:lang w:eastAsia="en-NZ"/>
        </w:rPr>
      </w:pPr>
      <w:r>
        <w:rPr>
          <w:noProof/>
        </w:rPr>
        <w:t>The legal basis for exchange</w:t>
      </w:r>
      <w:r>
        <w:rPr>
          <w:noProof/>
        </w:rPr>
        <w:tab/>
      </w:r>
      <w:r>
        <w:rPr>
          <w:noProof/>
        </w:rPr>
        <w:fldChar w:fldCharType="begin"/>
      </w:r>
      <w:r>
        <w:rPr>
          <w:noProof/>
        </w:rPr>
        <w:instrText xml:space="preserve"> PAGEREF _Toc443470071 \h </w:instrText>
      </w:r>
      <w:r>
        <w:rPr>
          <w:noProof/>
        </w:rPr>
      </w:r>
      <w:r>
        <w:rPr>
          <w:noProof/>
        </w:rPr>
        <w:fldChar w:fldCharType="separate"/>
      </w:r>
      <w:r w:rsidR="002F3032">
        <w:rPr>
          <w:noProof/>
        </w:rPr>
        <w:t>4</w:t>
      </w:r>
      <w:r>
        <w:rPr>
          <w:noProof/>
        </w:rPr>
        <w:fldChar w:fldCharType="end"/>
      </w:r>
    </w:p>
    <w:p w:rsidR="00EC3048" w:rsidRDefault="00EC3048" w:rsidP="00F30643">
      <w:pPr>
        <w:pStyle w:val="TOC2"/>
        <w:tabs>
          <w:tab w:val="right" w:pos="8364"/>
        </w:tabs>
        <w:ind w:right="232"/>
        <w:rPr>
          <w:rFonts w:asciiTheme="minorHAnsi" w:eastAsiaTheme="minorEastAsia" w:hAnsiTheme="minorHAnsi" w:cstheme="minorBidi"/>
          <w:noProof/>
          <w:szCs w:val="22"/>
          <w:lang w:eastAsia="en-NZ"/>
        </w:rPr>
      </w:pPr>
      <w:r>
        <w:rPr>
          <w:noProof/>
        </w:rPr>
        <w:t>Data confidentiality and safeguards</w:t>
      </w:r>
      <w:r>
        <w:rPr>
          <w:noProof/>
        </w:rPr>
        <w:tab/>
      </w:r>
      <w:r>
        <w:rPr>
          <w:noProof/>
        </w:rPr>
        <w:fldChar w:fldCharType="begin"/>
      </w:r>
      <w:r>
        <w:rPr>
          <w:noProof/>
        </w:rPr>
        <w:instrText xml:space="preserve"> PAGEREF _Toc443470072 \h </w:instrText>
      </w:r>
      <w:r>
        <w:rPr>
          <w:noProof/>
        </w:rPr>
      </w:r>
      <w:r>
        <w:rPr>
          <w:noProof/>
        </w:rPr>
        <w:fldChar w:fldCharType="separate"/>
      </w:r>
      <w:r w:rsidR="002F3032">
        <w:rPr>
          <w:noProof/>
        </w:rPr>
        <w:t>5</w:t>
      </w:r>
      <w:r>
        <w:rPr>
          <w:noProof/>
        </w:rPr>
        <w:fldChar w:fldCharType="end"/>
      </w:r>
    </w:p>
    <w:p w:rsidR="00EC3048" w:rsidRDefault="00EC3048" w:rsidP="00F30643">
      <w:pPr>
        <w:pStyle w:val="TOC2"/>
        <w:tabs>
          <w:tab w:val="right" w:pos="8364"/>
        </w:tabs>
        <w:ind w:right="232"/>
        <w:rPr>
          <w:rFonts w:asciiTheme="minorHAnsi" w:eastAsiaTheme="minorEastAsia" w:hAnsiTheme="minorHAnsi" w:cstheme="minorBidi"/>
          <w:noProof/>
          <w:szCs w:val="22"/>
          <w:lang w:eastAsia="en-NZ"/>
        </w:rPr>
      </w:pPr>
      <w:r>
        <w:rPr>
          <w:noProof/>
        </w:rPr>
        <w:t>OECD documentation</w:t>
      </w:r>
      <w:r>
        <w:rPr>
          <w:noProof/>
        </w:rPr>
        <w:tab/>
      </w:r>
      <w:r>
        <w:rPr>
          <w:noProof/>
        </w:rPr>
        <w:fldChar w:fldCharType="begin"/>
      </w:r>
      <w:r>
        <w:rPr>
          <w:noProof/>
        </w:rPr>
        <w:instrText xml:space="preserve"> PAGEREF _Toc443470073 \h </w:instrText>
      </w:r>
      <w:r>
        <w:rPr>
          <w:noProof/>
        </w:rPr>
      </w:r>
      <w:r>
        <w:rPr>
          <w:noProof/>
        </w:rPr>
        <w:fldChar w:fldCharType="separate"/>
      </w:r>
      <w:r w:rsidR="002F3032">
        <w:rPr>
          <w:noProof/>
        </w:rPr>
        <w:t>5</w:t>
      </w:r>
      <w:r>
        <w:rPr>
          <w:noProof/>
        </w:rPr>
        <w:fldChar w:fldCharType="end"/>
      </w:r>
    </w:p>
    <w:p w:rsidR="00EC3048" w:rsidRDefault="00EC3048" w:rsidP="00F30643">
      <w:pPr>
        <w:pStyle w:val="TOC2"/>
        <w:tabs>
          <w:tab w:val="right" w:pos="8364"/>
        </w:tabs>
        <w:ind w:right="232"/>
        <w:rPr>
          <w:rFonts w:asciiTheme="minorHAnsi" w:eastAsiaTheme="minorEastAsia" w:hAnsiTheme="minorHAnsi" w:cstheme="minorBidi"/>
          <w:noProof/>
          <w:szCs w:val="22"/>
          <w:lang w:eastAsia="en-NZ"/>
        </w:rPr>
      </w:pPr>
      <w:r>
        <w:rPr>
          <w:noProof/>
        </w:rPr>
        <w:t>Consultation questions</w:t>
      </w:r>
      <w:r>
        <w:rPr>
          <w:noProof/>
        </w:rPr>
        <w:tab/>
      </w:r>
      <w:r>
        <w:rPr>
          <w:noProof/>
        </w:rPr>
        <w:fldChar w:fldCharType="begin"/>
      </w:r>
      <w:r>
        <w:rPr>
          <w:noProof/>
        </w:rPr>
        <w:instrText xml:space="preserve"> PAGEREF _Toc443470074 \h </w:instrText>
      </w:r>
      <w:r>
        <w:rPr>
          <w:noProof/>
        </w:rPr>
      </w:r>
      <w:r>
        <w:rPr>
          <w:noProof/>
        </w:rPr>
        <w:fldChar w:fldCharType="separate"/>
      </w:r>
      <w:r w:rsidR="002F3032">
        <w:rPr>
          <w:noProof/>
        </w:rPr>
        <w:t>6</w:t>
      </w:r>
      <w:r>
        <w:rPr>
          <w:noProof/>
        </w:rPr>
        <w:fldChar w:fldCharType="end"/>
      </w:r>
    </w:p>
    <w:p w:rsidR="00EC3048" w:rsidRDefault="00EC3048" w:rsidP="00F30643">
      <w:pPr>
        <w:pStyle w:val="TOC2"/>
        <w:tabs>
          <w:tab w:val="right" w:pos="8364"/>
        </w:tabs>
        <w:ind w:right="232"/>
        <w:rPr>
          <w:rFonts w:asciiTheme="minorHAnsi" w:eastAsiaTheme="minorEastAsia" w:hAnsiTheme="minorHAnsi" w:cstheme="minorBidi"/>
          <w:noProof/>
          <w:szCs w:val="22"/>
          <w:lang w:eastAsia="en-NZ"/>
        </w:rPr>
      </w:pPr>
      <w:r>
        <w:rPr>
          <w:noProof/>
        </w:rPr>
        <w:t>How to make a submission</w:t>
      </w:r>
      <w:r>
        <w:rPr>
          <w:noProof/>
        </w:rPr>
        <w:tab/>
      </w:r>
      <w:r>
        <w:rPr>
          <w:noProof/>
        </w:rPr>
        <w:fldChar w:fldCharType="begin"/>
      </w:r>
      <w:r>
        <w:rPr>
          <w:noProof/>
        </w:rPr>
        <w:instrText xml:space="preserve"> PAGEREF _Toc443470075 \h </w:instrText>
      </w:r>
      <w:r>
        <w:rPr>
          <w:noProof/>
        </w:rPr>
      </w:r>
      <w:r>
        <w:rPr>
          <w:noProof/>
        </w:rPr>
        <w:fldChar w:fldCharType="separate"/>
      </w:r>
      <w:r w:rsidR="002F3032">
        <w:rPr>
          <w:noProof/>
        </w:rPr>
        <w:t>6</w:t>
      </w:r>
      <w:r>
        <w:rPr>
          <w:noProof/>
        </w:rPr>
        <w:fldChar w:fldCharType="end"/>
      </w:r>
    </w:p>
    <w:p w:rsidR="00EC3048" w:rsidRDefault="00EC3048" w:rsidP="00F30643">
      <w:pPr>
        <w:pStyle w:val="TOC1"/>
        <w:ind w:right="232"/>
        <w:rPr>
          <w:rFonts w:asciiTheme="minorHAnsi" w:eastAsiaTheme="minorEastAsia" w:hAnsiTheme="minorHAnsi" w:cstheme="minorBidi"/>
          <w:b w:val="0"/>
          <w:noProof/>
          <w:sz w:val="22"/>
          <w:szCs w:val="22"/>
          <w:lang w:eastAsia="en-NZ"/>
        </w:rPr>
      </w:pPr>
      <w:r>
        <w:rPr>
          <w:noProof/>
        </w:rPr>
        <w:t>CHAPTER 2</w:t>
      </w:r>
      <w:r>
        <w:rPr>
          <w:noProof/>
        </w:rPr>
        <w:tab/>
      </w:r>
      <w:r w:rsidRPr="00AB28C0">
        <w:rPr>
          <w:noProof/>
        </w:rPr>
        <w:t>Key Common Reporting Standard due diligence and  reporting obligations</w:t>
      </w:r>
      <w:r>
        <w:rPr>
          <w:noProof/>
        </w:rPr>
        <w:tab/>
      </w:r>
      <w:r>
        <w:rPr>
          <w:noProof/>
        </w:rPr>
        <w:fldChar w:fldCharType="begin"/>
      </w:r>
      <w:r>
        <w:rPr>
          <w:noProof/>
        </w:rPr>
        <w:instrText xml:space="preserve"> PAGEREF _Toc443470077 \h </w:instrText>
      </w:r>
      <w:r>
        <w:rPr>
          <w:noProof/>
        </w:rPr>
      </w:r>
      <w:r>
        <w:rPr>
          <w:noProof/>
        </w:rPr>
        <w:fldChar w:fldCharType="separate"/>
      </w:r>
      <w:r w:rsidR="002F3032">
        <w:rPr>
          <w:noProof/>
        </w:rPr>
        <w:t>7</w:t>
      </w:r>
      <w:r>
        <w:rPr>
          <w:noProof/>
        </w:rPr>
        <w:fldChar w:fldCharType="end"/>
      </w:r>
    </w:p>
    <w:p w:rsidR="00EC3048" w:rsidRDefault="00EC3048" w:rsidP="00F30643">
      <w:pPr>
        <w:pStyle w:val="TOC2"/>
        <w:tabs>
          <w:tab w:val="right" w:pos="8364"/>
        </w:tabs>
        <w:ind w:right="232"/>
        <w:rPr>
          <w:rFonts w:asciiTheme="minorHAnsi" w:eastAsiaTheme="minorEastAsia" w:hAnsiTheme="minorHAnsi" w:cstheme="minorBidi"/>
          <w:noProof/>
          <w:szCs w:val="22"/>
          <w:lang w:eastAsia="en-NZ"/>
        </w:rPr>
      </w:pPr>
      <w:r>
        <w:rPr>
          <w:noProof/>
        </w:rPr>
        <w:t>Who must conduct due diligence?</w:t>
      </w:r>
      <w:r>
        <w:rPr>
          <w:noProof/>
        </w:rPr>
        <w:tab/>
      </w:r>
      <w:r>
        <w:rPr>
          <w:noProof/>
        </w:rPr>
        <w:fldChar w:fldCharType="begin"/>
      </w:r>
      <w:r>
        <w:rPr>
          <w:noProof/>
        </w:rPr>
        <w:instrText xml:space="preserve"> PAGEREF _Toc443470078 \h </w:instrText>
      </w:r>
      <w:r>
        <w:rPr>
          <w:noProof/>
        </w:rPr>
      </w:r>
      <w:r>
        <w:rPr>
          <w:noProof/>
        </w:rPr>
        <w:fldChar w:fldCharType="separate"/>
      </w:r>
      <w:r w:rsidR="002F3032">
        <w:rPr>
          <w:noProof/>
        </w:rPr>
        <w:t>8</w:t>
      </w:r>
      <w:r>
        <w:rPr>
          <w:noProof/>
        </w:rPr>
        <w:fldChar w:fldCharType="end"/>
      </w:r>
    </w:p>
    <w:p w:rsidR="00EC3048" w:rsidRDefault="00EC3048" w:rsidP="00F30643">
      <w:pPr>
        <w:pStyle w:val="TOC2"/>
        <w:tabs>
          <w:tab w:val="right" w:pos="8364"/>
        </w:tabs>
        <w:ind w:right="232"/>
        <w:rPr>
          <w:rFonts w:asciiTheme="minorHAnsi" w:eastAsiaTheme="minorEastAsia" w:hAnsiTheme="minorHAnsi" w:cstheme="minorBidi"/>
          <w:noProof/>
          <w:szCs w:val="22"/>
          <w:lang w:eastAsia="en-NZ"/>
        </w:rPr>
      </w:pPr>
      <w:r>
        <w:rPr>
          <w:noProof/>
        </w:rPr>
        <w:t>Determining which financial accounts will be the subject of CRS due diligence and reporting</w:t>
      </w:r>
      <w:r>
        <w:rPr>
          <w:noProof/>
        </w:rPr>
        <w:tab/>
      </w:r>
      <w:r>
        <w:rPr>
          <w:noProof/>
        </w:rPr>
        <w:fldChar w:fldCharType="begin"/>
      </w:r>
      <w:r>
        <w:rPr>
          <w:noProof/>
        </w:rPr>
        <w:instrText xml:space="preserve"> PAGEREF _Toc443470079 \h </w:instrText>
      </w:r>
      <w:r>
        <w:rPr>
          <w:noProof/>
        </w:rPr>
      </w:r>
      <w:r>
        <w:rPr>
          <w:noProof/>
        </w:rPr>
        <w:fldChar w:fldCharType="separate"/>
      </w:r>
      <w:r w:rsidR="002F3032">
        <w:rPr>
          <w:noProof/>
        </w:rPr>
        <w:t>11</w:t>
      </w:r>
      <w:r>
        <w:rPr>
          <w:noProof/>
        </w:rPr>
        <w:fldChar w:fldCharType="end"/>
      </w:r>
    </w:p>
    <w:p w:rsidR="00EC3048" w:rsidRDefault="00EC3048" w:rsidP="00F30643">
      <w:pPr>
        <w:pStyle w:val="TOC2"/>
        <w:tabs>
          <w:tab w:val="right" w:pos="8364"/>
        </w:tabs>
        <w:ind w:right="232"/>
        <w:rPr>
          <w:rFonts w:asciiTheme="minorHAnsi" w:eastAsiaTheme="minorEastAsia" w:hAnsiTheme="minorHAnsi" w:cstheme="minorBidi"/>
          <w:noProof/>
          <w:szCs w:val="22"/>
          <w:lang w:eastAsia="en-NZ"/>
        </w:rPr>
      </w:pPr>
      <w:r>
        <w:rPr>
          <w:noProof/>
        </w:rPr>
        <w:t>Determining what non-resident jurisdictions are within the scope of CRS and reporting – the potential application of the “wider approach” to CRS</w:t>
      </w:r>
      <w:r>
        <w:rPr>
          <w:noProof/>
        </w:rPr>
        <w:tab/>
      </w:r>
      <w:r>
        <w:rPr>
          <w:noProof/>
        </w:rPr>
        <w:fldChar w:fldCharType="begin"/>
      </w:r>
      <w:r>
        <w:rPr>
          <w:noProof/>
        </w:rPr>
        <w:instrText xml:space="preserve"> PAGEREF _Toc443470080 \h </w:instrText>
      </w:r>
      <w:r>
        <w:rPr>
          <w:noProof/>
        </w:rPr>
      </w:r>
      <w:r>
        <w:rPr>
          <w:noProof/>
        </w:rPr>
        <w:fldChar w:fldCharType="separate"/>
      </w:r>
      <w:r w:rsidR="002F3032">
        <w:rPr>
          <w:noProof/>
        </w:rPr>
        <w:t>13</w:t>
      </w:r>
      <w:r>
        <w:rPr>
          <w:noProof/>
        </w:rPr>
        <w:fldChar w:fldCharType="end"/>
      </w:r>
    </w:p>
    <w:p w:rsidR="00EC3048" w:rsidRDefault="00EC3048" w:rsidP="00F30643">
      <w:pPr>
        <w:pStyle w:val="TOC1"/>
        <w:ind w:right="232"/>
        <w:rPr>
          <w:rFonts w:asciiTheme="minorHAnsi" w:eastAsiaTheme="minorEastAsia" w:hAnsiTheme="minorHAnsi" w:cstheme="minorBidi"/>
          <w:b w:val="0"/>
          <w:noProof/>
          <w:sz w:val="22"/>
          <w:szCs w:val="22"/>
          <w:lang w:eastAsia="en-NZ"/>
        </w:rPr>
      </w:pPr>
      <w:r>
        <w:rPr>
          <w:noProof/>
        </w:rPr>
        <w:t>CHAPTER 3</w:t>
      </w:r>
      <w:r>
        <w:rPr>
          <w:noProof/>
        </w:rPr>
        <w:tab/>
      </w:r>
      <w:r w:rsidRPr="00AB28C0">
        <w:rPr>
          <w:noProof/>
        </w:rPr>
        <w:t>Phasing of implementation</w:t>
      </w:r>
      <w:r>
        <w:rPr>
          <w:noProof/>
        </w:rPr>
        <w:tab/>
      </w:r>
      <w:r>
        <w:rPr>
          <w:noProof/>
        </w:rPr>
        <w:fldChar w:fldCharType="begin"/>
      </w:r>
      <w:r>
        <w:rPr>
          <w:noProof/>
        </w:rPr>
        <w:instrText xml:space="preserve"> PAGEREF _Toc443470082 \h </w:instrText>
      </w:r>
      <w:r>
        <w:rPr>
          <w:noProof/>
        </w:rPr>
      </w:r>
      <w:r>
        <w:rPr>
          <w:noProof/>
        </w:rPr>
        <w:fldChar w:fldCharType="separate"/>
      </w:r>
      <w:r w:rsidR="002F3032">
        <w:rPr>
          <w:noProof/>
        </w:rPr>
        <w:t>15</w:t>
      </w:r>
      <w:r>
        <w:rPr>
          <w:noProof/>
        </w:rPr>
        <w:fldChar w:fldCharType="end"/>
      </w:r>
    </w:p>
    <w:p w:rsidR="00EC3048" w:rsidRDefault="00EC3048" w:rsidP="00F30643">
      <w:pPr>
        <w:pStyle w:val="TOC1"/>
        <w:ind w:right="232"/>
        <w:rPr>
          <w:rFonts w:asciiTheme="minorHAnsi" w:eastAsiaTheme="minorEastAsia" w:hAnsiTheme="minorHAnsi" w:cstheme="minorBidi"/>
          <w:b w:val="0"/>
          <w:noProof/>
          <w:sz w:val="22"/>
          <w:szCs w:val="22"/>
          <w:lang w:eastAsia="en-NZ"/>
        </w:rPr>
      </w:pPr>
      <w:r>
        <w:rPr>
          <w:noProof/>
        </w:rPr>
        <w:t>CHAPTER 4</w:t>
      </w:r>
      <w:r>
        <w:rPr>
          <w:noProof/>
        </w:rPr>
        <w:tab/>
      </w:r>
      <w:r w:rsidRPr="00AB28C0">
        <w:rPr>
          <w:noProof/>
        </w:rPr>
        <w:t>Compliance framework</w:t>
      </w:r>
      <w:r>
        <w:rPr>
          <w:noProof/>
        </w:rPr>
        <w:tab/>
      </w:r>
      <w:r>
        <w:rPr>
          <w:noProof/>
        </w:rPr>
        <w:fldChar w:fldCharType="begin"/>
      </w:r>
      <w:r>
        <w:rPr>
          <w:noProof/>
        </w:rPr>
        <w:instrText xml:space="preserve"> PAGEREF _Toc443470084 \h </w:instrText>
      </w:r>
      <w:r>
        <w:rPr>
          <w:noProof/>
        </w:rPr>
      </w:r>
      <w:r>
        <w:rPr>
          <w:noProof/>
        </w:rPr>
        <w:fldChar w:fldCharType="separate"/>
      </w:r>
      <w:r w:rsidR="002F3032">
        <w:rPr>
          <w:noProof/>
        </w:rPr>
        <w:t>19</w:t>
      </w:r>
      <w:r>
        <w:rPr>
          <w:noProof/>
        </w:rPr>
        <w:fldChar w:fldCharType="end"/>
      </w:r>
    </w:p>
    <w:p w:rsidR="00EC3048" w:rsidRDefault="00EC3048" w:rsidP="00F30643">
      <w:pPr>
        <w:pStyle w:val="TOC2"/>
        <w:tabs>
          <w:tab w:val="right" w:pos="8364"/>
        </w:tabs>
        <w:ind w:right="232"/>
        <w:rPr>
          <w:rFonts w:asciiTheme="minorHAnsi" w:eastAsiaTheme="minorEastAsia" w:hAnsiTheme="minorHAnsi" w:cstheme="minorBidi"/>
          <w:noProof/>
          <w:szCs w:val="22"/>
          <w:lang w:eastAsia="en-NZ"/>
        </w:rPr>
      </w:pPr>
      <w:r>
        <w:rPr>
          <w:noProof/>
        </w:rPr>
        <w:t>Addressing significant non-compliance of tax authorities</w:t>
      </w:r>
      <w:r>
        <w:rPr>
          <w:noProof/>
        </w:rPr>
        <w:tab/>
      </w:r>
      <w:r>
        <w:rPr>
          <w:noProof/>
        </w:rPr>
        <w:fldChar w:fldCharType="begin"/>
      </w:r>
      <w:r>
        <w:rPr>
          <w:noProof/>
        </w:rPr>
        <w:instrText xml:space="preserve"> PAGEREF _Toc443470085 \h </w:instrText>
      </w:r>
      <w:r>
        <w:rPr>
          <w:noProof/>
        </w:rPr>
      </w:r>
      <w:r>
        <w:rPr>
          <w:noProof/>
        </w:rPr>
        <w:fldChar w:fldCharType="separate"/>
      </w:r>
      <w:r w:rsidR="002F3032">
        <w:rPr>
          <w:noProof/>
        </w:rPr>
        <w:t>19</w:t>
      </w:r>
      <w:r>
        <w:rPr>
          <w:noProof/>
        </w:rPr>
        <w:fldChar w:fldCharType="end"/>
      </w:r>
    </w:p>
    <w:p w:rsidR="00EC3048" w:rsidRDefault="00EC3048" w:rsidP="00F30643">
      <w:pPr>
        <w:pStyle w:val="TOC2"/>
        <w:tabs>
          <w:tab w:val="right" w:pos="8364"/>
        </w:tabs>
        <w:ind w:right="232"/>
        <w:rPr>
          <w:rFonts w:asciiTheme="minorHAnsi" w:eastAsiaTheme="minorEastAsia" w:hAnsiTheme="minorHAnsi" w:cstheme="minorBidi"/>
          <w:noProof/>
          <w:szCs w:val="22"/>
          <w:lang w:eastAsia="en-NZ"/>
        </w:rPr>
      </w:pPr>
      <w:r>
        <w:rPr>
          <w:noProof/>
        </w:rPr>
        <w:t>Implementing domestic legislation</w:t>
      </w:r>
      <w:r>
        <w:rPr>
          <w:noProof/>
        </w:rPr>
        <w:tab/>
      </w:r>
      <w:r>
        <w:rPr>
          <w:noProof/>
        </w:rPr>
        <w:fldChar w:fldCharType="begin"/>
      </w:r>
      <w:r>
        <w:rPr>
          <w:noProof/>
        </w:rPr>
        <w:instrText xml:space="preserve"> PAGEREF _Toc443470086 \h </w:instrText>
      </w:r>
      <w:r>
        <w:rPr>
          <w:noProof/>
        </w:rPr>
      </w:r>
      <w:r>
        <w:rPr>
          <w:noProof/>
        </w:rPr>
        <w:fldChar w:fldCharType="separate"/>
      </w:r>
      <w:r w:rsidR="002F3032">
        <w:rPr>
          <w:noProof/>
        </w:rPr>
        <w:t>20</w:t>
      </w:r>
      <w:r>
        <w:rPr>
          <w:noProof/>
        </w:rPr>
        <w:fldChar w:fldCharType="end"/>
      </w:r>
    </w:p>
    <w:p w:rsidR="00EC3048" w:rsidRDefault="00EC3048" w:rsidP="00F30643">
      <w:pPr>
        <w:pStyle w:val="TOC1"/>
        <w:ind w:right="232"/>
        <w:rPr>
          <w:rFonts w:asciiTheme="minorHAnsi" w:eastAsiaTheme="minorEastAsia" w:hAnsiTheme="minorHAnsi" w:cstheme="minorBidi"/>
          <w:b w:val="0"/>
          <w:noProof/>
          <w:sz w:val="22"/>
          <w:szCs w:val="22"/>
          <w:lang w:eastAsia="en-NZ"/>
        </w:rPr>
      </w:pPr>
      <w:r>
        <w:rPr>
          <w:noProof/>
        </w:rPr>
        <w:t>CHAPTER 5</w:t>
      </w:r>
      <w:r>
        <w:rPr>
          <w:noProof/>
        </w:rPr>
        <w:tab/>
      </w:r>
      <w:r w:rsidRPr="00AB28C0">
        <w:rPr>
          <w:noProof/>
        </w:rPr>
        <w:t>Other legislative issues or options</w:t>
      </w:r>
      <w:r>
        <w:rPr>
          <w:noProof/>
        </w:rPr>
        <w:tab/>
      </w:r>
      <w:r>
        <w:rPr>
          <w:noProof/>
        </w:rPr>
        <w:fldChar w:fldCharType="begin"/>
      </w:r>
      <w:r>
        <w:rPr>
          <w:noProof/>
        </w:rPr>
        <w:instrText xml:space="preserve"> PAGEREF _Toc443470088 \h </w:instrText>
      </w:r>
      <w:r>
        <w:rPr>
          <w:noProof/>
        </w:rPr>
      </w:r>
      <w:r>
        <w:rPr>
          <w:noProof/>
        </w:rPr>
        <w:fldChar w:fldCharType="separate"/>
      </w:r>
      <w:r w:rsidR="002F3032">
        <w:rPr>
          <w:noProof/>
        </w:rPr>
        <w:t>23</w:t>
      </w:r>
      <w:r>
        <w:rPr>
          <w:noProof/>
        </w:rPr>
        <w:fldChar w:fldCharType="end"/>
      </w:r>
    </w:p>
    <w:p w:rsidR="00EC3048" w:rsidRDefault="00EC3048" w:rsidP="00F30643">
      <w:pPr>
        <w:pStyle w:val="TOC2"/>
        <w:tabs>
          <w:tab w:val="right" w:pos="8364"/>
        </w:tabs>
        <w:ind w:right="232"/>
        <w:rPr>
          <w:rFonts w:asciiTheme="minorHAnsi" w:eastAsiaTheme="minorEastAsia" w:hAnsiTheme="minorHAnsi" w:cstheme="minorBidi"/>
          <w:noProof/>
          <w:szCs w:val="22"/>
          <w:lang w:eastAsia="en-NZ"/>
        </w:rPr>
      </w:pPr>
      <w:r>
        <w:rPr>
          <w:noProof/>
        </w:rPr>
        <w:t>Part A – Consultation questions and submissions on other legislative issues</w:t>
      </w:r>
      <w:r>
        <w:rPr>
          <w:noProof/>
        </w:rPr>
        <w:tab/>
      </w:r>
      <w:r>
        <w:rPr>
          <w:noProof/>
        </w:rPr>
        <w:fldChar w:fldCharType="begin"/>
      </w:r>
      <w:r>
        <w:rPr>
          <w:noProof/>
        </w:rPr>
        <w:instrText xml:space="preserve"> PAGEREF _Toc443470089 \h </w:instrText>
      </w:r>
      <w:r>
        <w:rPr>
          <w:noProof/>
        </w:rPr>
      </w:r>
      <w:r>
        <w:rPr>
          <w:noProof/>
        </w:rPr>
        <w:fldChar w:fldCharType="separate"/>
      </w:r>
      <w:r w:rsidR="002F3032">
        <w:rPr>
          <w:noProof/>
        </w:rPr>
        <w:t>23</w:t>
      </w:r>
      <w:r>
        <w:rPr>
          <w:noProof/>
        </w:rPr>
        <w:fldChar w:fldCharType="end"/>
      </w:r>
    </w:p>
    <w:p w:rsidR="00EC3048" w:rsidRDefault="00EC3048" w:rsidP="00F30643">
      <w:pPr>
        <w:pStyle w:val="TOC2"/>
        <w:tabs>
          <w:tab w:val="right" w:pos="8364"/>
        </w:tabs>
        <w:ind w:right="232"/>
        <w:rPr>
          <w:rFonts w:asciiTheme="minorHAnsi" w:eastAsiaTheme="minorEastAsia" w:hAnsiTheme="minorHAnsi" w:cstheme="minorBidi"/>
          <w:noProof/>
          <w:szCs w:val="22"/>
          <w:lang w:eastAsia="en-NZ"/>
        </w:rPr>
      </w:pPr>
      <w:r>
        <w:rPr>
          <w:noProof/>
        </w:rPr>
        <w:t>Part B – Background context to the consultation questions</w:t>
      </w:r>
      <w:r>
        <w:rPr>
          <w:noProof/>
        </w:rPr>
        <w:tab/>
      </w:r>
      <w:r>
        <w:rPr>
          <w:noProof/>
        </w:rPr>
        <w:fldChar w:fldCharType="begin"/>
      </w:r>
      <w:r>
        <w:rPr>
          <w:noProof/>
        </w:rPr>
        <w:instrText xml:space="preserve"> PAGEREF _Toc443470090 \h </w:instrText>
      </w:r>
      <w:r>
        <w:rPr>
          <w:noProof/>
        </w:rPr>
      </w:r>
      <w:r>
        <w:rPr>
          <w:noProof/>
        </w:rPr>
        <w:fldChar w:fldCharType="separate"/>
      </w:r>
      <w:r w:rsidR="002F3032">
        <w:rPr>
          <w:noProof/>
        </w:rPr>
        <w:t>26</w:t>
      </w:r>
      <w:r>
        <w:rPr>
          <w:noProof/>
        </w:rPr>
        <w:fldChar w:fldCharType="end"/>
      </w:r>
    </w:p>
    <w:p w:rsidR="00EC3048" w:rsidRDefault="00EC3048" w:rsidP="00F30643">
      <w:pPr>
        <w:pStyle w:val="TOC1"/>
        <w:ind w:right="232"/>
        <w:rPr>
          <w:rFonts w:asciiTheme="minorHAnsi" w:eastAsiaTheme="minorEastAsia" w:hAnsiTheme="minorHAnsi" w:cstheme="minorBidi"/>
          <w:b w:val="0"/>
          <w:noProof/>
          <w:sz w:val="22"/>
          <w:szCs w:val="22"/>
          <w:lang w:eastAsia="en-NZ"/>
        </w:rPr>
      </w:pPr>
      <w:r>
        <w:rPr>
          <w:noProof/>
        </w:rPr>
        <w:t>Appendix</w:t>
      </w:r>
      <w:r>
        <w:rPr>
          <w:noProof/>
        </w:rPr>
        <w:tab/>
      </w:r>
      <w:r w:rsidR="00F30643">
        <w:rPr>
          <w:noProof/>
        </w:rPr>
        <w:tab/>
      </w:r>
      <w:r>
        <w:rPr>
          <w:noProof/>
        </w:rPr>
        <w:fldChar w:fldCharType="begin"/>
      </w:r>
      <w:r>
        <w:rPr>
          <w:noProof/>
        </w:rPr>
        <w:instrText xml:space="preserve"> PAGEREF _Toc443470091 \h </w:instrText>
      </w:r>
      <w:r>
        <w:rPr>
          <w:noProof/>
        </w:rPr>
      </w:r>
      <w:r>
        <w:rPr>
          <w:noProof/>
        </w:rPr>
        <w:fldChar w:fldCharType="separate"/>
      </w:r>
      <w:r w:rsidR="002F3032">
        <w:rPr>
          <w:noProof/>
        </w:rPr>
        <w:t>33</w:t>
      </w:r>
      <w:r>
        <w:rPr>
          <w:noProof/>
        </w:rPr>
        <w:fldChar w:fldCharType="end"/>
      </w:r>
    </w:p>
    <w:p w:rsidR="00EC3048" w:rsidRDefault="00EC3048" w:rsidP="00F30643">
      <w:pPr>
        <w:pStyle w:val="TOC1"/>
        <w:ind w:right="232"/>
        <w:rPr>
          <w:rFonts w:asciiTheme="minorHAnsi" w:eastAsiaTheme="minorEastAsia" w:hAnsiTheme="minorHAnsi" w:cstheme="minorBidi"/>
          <w:b w:val="0"/>
          <w:noProof/>
          <w:sz w:val="22"/>
          <w:szCs w:val="22"/>
          <w:lang w:eastAsia="en-NZ"/>
        </w:rPr>
      </w:pPr>
      <w:r>
        <w:rPr>
          <w:noProof/>
        </w:rPr>
        <w:t>Glossary</w:t>
      </w:r>
      <w:r>
        <w:rPr>
          <w:noProof/>
        </w:rPr>
        <w:tab/>
      </w:r>
      <w:r w:rsidR="00F30643">
        <w:rPr>
          <w:noProof/>
        </w:rPr>
        <w:tab/>
      </w:r>
      <w:r>
        <w:rPr>
          <w:noProof/>
        </w:rPr>
        <w:fldChar w:fldCharType="begin"/>
      </w:r>
      <w:r>
        <w:rPr>
          <w:noProof/>
        </w:rPr>
        <w:instrText xml:space="preserve"> PAGEREF _Toc443470095 \h </w:instrText>
      </w:r>
      <w:r>
        <w:rPr>
          <w:noProof/>
        </w:rPr>
      </w:r>
      <w:r>
        <w:rPr>
          <w:noProof/>
        </w:rPr>
        <w:fldChar w:fldCharType="separate"/>
      </w:r>
      <w:r w:rsidR="002F3032">
        <w:rPr>
          <w:noProof/>
        </w:rPr>
        <w:t>37</w:t>
      </w:r>
      <w:r>
        <w:rPr>
          <w:noProof/>
        </w:rPr>
        <w:fldChar w:fldCharType="end"/>
      </w:r>
    </w:p>
    <w:p w:rsidR="0021414A" w:rsidRPr="00774A86" w:rsidRDefault="0066247A" w:rsidP="00F30643">
      <w:pPr>
        <w:tabs>
          <w:tab w:val="right" w:pos="8364"/>
        </w:tabs>
        <w:ind w:right="232"/>
        <w:jc w:val="center"/>
        <w:rPr>
          <w:b/>
        </w:rPr>
      </w:pPr>
      <w:r w:rsidRPr="00774A86">
        <w:rPr>
          <w:rFonts w:ascii="Times New Roman Bold" w:hAnsi="Times New Roman Bold"/>
          <w:b/>
          <w:sz w:val="22"/>
          <w:szCs w:val="24"/>
        </w:rPr>
        <w:fldChar w:fldCharType="end"/>
      </w:r>
    </w:p>
    <w:p w:rsidR="004B37FB" w:rsidRPr="00774A86" w:rsidRDefault="004B37FB" w:rsidP="00E253EA">
      <w:pPr>
        <w:jc w:val="center"/>
        <w:rPr>
          <w:b/>
        </w:rPr>
      </w:pPr>
    </w:p>
    <w:p w:rsidR="00725975" w:rsidRPr="00774A86" w:rsidRDefault="00725975" w:rsidP="00E253EA">
      <w:pPr>
        <w:jc w:val="center"/>
        <w:rPr>
          <w:b/>
        </w:rPr>
        <w:sectPr w:rsidR="00725975" w:rsidRPr="00774A86" w:rsidSect="0043595D">
          <w:footerReference w:type="even" r:id="rId9"/>
          <w:pgSz w:w="11906" w:h="16838" w:code="9"/>
          <w:pgMar w:top="1134" w:right="1797" w:bottom="567" w:left="1797" w:header="709" w:footer="709" w:gutter="0"/>
          <w:cols w:space="708"/>
          <w:titlePg/>
          <w:docGrid w:linePitch="360"/>
        </w:sectPr>
      </w:pPr>
    </w:p>
    <w:p w:rsidR="007809E0" w:rsidRPr="00774A86" w:rsidRDefault="00CD7C3C" w:rsidP="0066247A">
      <w:pPr>
        <w:pStyle w:val="Chapterheading"/>
      </w:pPr>
      <w:bookmarkStart w:id="2" w:name="One"/>
      <w:bookmarkStart w:id="3" w:name="_Toc147567992"/>
      <w:bookmarkStart w:id="4" w:name="_Toc439756994"/>
      <w:bookmarkStart w:id="5" w:name="_Toc439757097"/>
      <w:bookmarkStart w:id="6" w:name="_Toc439859813"/>
      <w:bookmarkStart w:id="7" w:name="_Toc439947108"/>
      <w:bookmarkStart w:id="8" w:name="_Toc439947664"/>
      <w:bookmarkStart w:id="9" w:name="_Toc440025371"/>
      <w:bookmarkStart w:id="10" w:name="_Toc440027537"/>
      <w:bookmarkStart w:id="11" w:name="_Toc440028114"/>
      <w:bookmarkStart w:id="12" w:name="_Toc440632979"/>
      <w:bookmarkStart w:id="13" w:name="_Toc440641000"/>
      <w:bookmarkStart w:id="14" w:name="_Toc443051390"/>
      <w:bookmarkStart w:id="15" w:name="_Toc443380348"/>
      <w:bookmarkStart w:id="16" w:name="_Toc443380426"/>
      <w:bookmarkStart w:id="17" w:name="_Toc443393723"/>
      <w:bookmarkStart w:id="18" w:name="_Toc443409813"/>
      <w:bookmarkStart w:id="19" w:name="_Toc443409948"/>
      <w:bookmarkStart w:id="20" w:name="_Toc443470068"/>
      <w:bookmarkEnd w:id="2"/>
      <w:r w:rsidRPr="00774A86">
        <w:lastRenderedPageBreak/>
        <w:t xml:space="preserve">CHAPTER </w:t>
      </w:r>
      <w:r w:rsidR="00C15285" w:rsidRPr="00774A86">
        <w:t>1</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7809E0" w:rsidRPr="00774A86" w:rsidRDefault="007809E0" w:rsidP="0066247A">
      <w:pPr>
        <w:pStyle w:val="Chapterheading"/>
      </w:pPr>
    </w:p>
    <w:p w:rsidR="00EA330F" w:rsidRPr="00774A86" w:rsidRDefault="00866697" w:rsidP="0066247A">
      <w:pPr>
        <w:pStyle w:val="Chapterheading"/>
        <w:rPr>
          <w:caps w:val="0"/>
        </w:rPr>
      </w:pPr>
      <w:bookmarkStart w:id="21" w:name="_Toc442084867"/>
      <w:bookmarkStart w:id="22" w:name="_Toc442086869"/>
      <w:bookmarkStart w:id="23" w:name="_Toc443470069"/>
      <w:r w:rsidRPr="00774A86">
        <w:rPr>
          <w:caps w:val="0"/>
        </w:rPr>
        <w:t>Introduction</w:t>
      </w:r>
      <w:bookmarkEnd w:id="21"/>
      <w:bookmarkEnd w:id="22"/>
      <w:bookmarkEnd w:id="23"/>
    </w:p>
    <w:p w:rsidR="002152CE" w:rsidRPr="00774A86" w:rsidRDefault="002152CE" w:rsidP="00E77050">
      <w:pPr>
        <w:pStyle w:val="Chapter1"/>
        <w:numPr>
          <w:ilvl w:val="0"/>
          <w:numId w:val="0"/>
        </w:numPr>
      </w:pPr>
    </w:p>
    <w:p w:rsidR="00CF3461" w:rsidRPr="00774A86" w:rsidRDefault="00CF3461" w:rsidP="00E77050">
      <w:pPr>
        <w:pStyle w:val="Chapter1"/>
        <w:numPr>
          <w:ilvl w:val="0"/>
          <w:numId w:val="0"/>
        </w:numPr>
      </w:pPr>
    </w:p>
    <w:p w:rsidR="003D0B8B" w:rsidRPr="00774A86" w:rsidRDefault="005509A1" w:rsidP="00016A08">
      <w:pPr>
        <w:pStyle w:val="Chapter1"/>
      </w:pPr>
      <w:r w:rsidRPr="00774A86">
        <w:t xml:space="preserve">In recent years, </w:t>
      </w:r>
      <w:r w:rsidR="009D74B4" w:rsidRPr="00774A86">
        <w:t xml:space="preserve">in addition to wider </w:t>
      </w:r>
      <w:r w:rsidR="00C57842" w:rsidRPr="00774A86">
        <w:t xml:space="preserve">international </w:t>
      </w:r>
      <w:r w:rsidR="00BF3870" w:rsidRPr="00774A86">
        <w:t xml:space="preserve">efforts </w:t>
      </w:r>
      <w:r w:rsidR="00F718F7" w:rsidRPr="00774A86">
        <w:t>aimed at</w:t>
      </w:r>
      <w:r w:rsidR="00BF3870" w:rsidRPr="00774A86">
        <w:t xml:space="preserve"> improv</w:t>
      </w:r>
      <w:r w:rsidR="00F718F7" w:rsidRPr="00774A86">
        <w:t>ing</w:t>
      </w:r>
      <w:r w:rsidR="00C57842" w:rsidRPr="00774A86">
        <w:t xml:space="preserve"> </w:t>
      </w:r>
      <w:r w:rsidR="00185992" w:rsidRPr="00774A86">
        <w:t>financial regulation</w:t>
      </w:r>
      <w:r w:rsidR="009D74B4" w:rsidRPr="00774A86">
        <w:t xml:space="preserve"> and transparency, </w:t>
      </w:r>
      <w:r w:rsidRPr="00774A86">
        <w:t xml:space="preserve">governments </w:t>
      </w:r>
      <w:r w:rsidR="001F59C2" w:rsidRPr="00774A86">
        <w:t xml:space="preserve">worldwide have </w:t>
      </w:r>
      <w:r w:rsidR="00C57842" w:rsidRPr="00774A86">
        <w:t xml:space="preserve">demonstrated </w:t>
      </w:r>
      <w:r w:rsidR="00052D57" w:rsidRPr="00774A86">
        <w:t>increasing</w:t>
      </w:r>
      <w:r w:rsidR="00C57842" w:rsidRPr="00774A86">
        <w:t xml:space="preserve"> determination to</w:t>
      </w:r>
      <w:r w:rsidR="001F59C2" w:rsidRPr="00774A86">
        <w:t xml:space="preserve"> ensur</w:t>
      </w:r>
      <w:r w:rsidR="00C57842" w:rsidRPr="00774A86">
        <w:t>e</w:t>
      </w:r>
      <w:r w:rsidR="001F59C2" w:rsidRPr="00774A86">
        <w:t xml:space="preserve"> that all taxpayers</w:t>
      </w:r>
      <w:r w:rsidR="00CB3324" w:rsidRPr="00774A86">
        <w:t>,</w:t>
      </w:r>
      <w:r w:rsidR="001F59C2" w:rsidRPr="00774A86">
        <w:t xml:space="preserve"> </w:t>
      </w:r>
      <w:r w:rsidR="00AD438E" w:rsidRPr="00774A86">
        <w:t xml:space="preserve">from </w:t>
      </w:r>
      <w:r w:rsidR="00ED29BC" w:rsidRPr="00774A86">
        <w:t xml:space="preserve">individuals to </w:t>
      </w:r>
      <w:r w:rsidR="00AD438E" w:rsidRPr="00774A86">
        <w:t>large multinationals</w:t>
      </w:r>
      <w:r w:rsidR="00CB3324" w:rsidRPr="00774A86">
        <w:t>,</w:t>
      </w:r>
      <w:r w:rsidR="00AD438E" w:rsidRPr="00774A86">
        <w:t xml:space="preserve"> </w:t>
      </w:r>
      <w:r w:rsidR="001F59C2" w:rsidRPr="00774A86">
        <w:t xml:space="preserve">pay their fair share of tax.  </w:t>
      </w:r>
      <w:r w:rsidR="00C57842" w:rsidRPr="00774A86">
        <w:t>This is reflected in i</w:t>
      </w:r>
      <w:r w:rsidR="008F0112" w:rsidRPr="00774A86">
        <w:t xml:space="preserve">nternational </w:t>
      </w:r>
      <w:r w:rsidR="00C57842" w:rsidRPr="00774A86">
        <w:t>initiatives such as</w:t>
      </w:r>
      <w:r w:rsidR="008F0112" w:rsidRPr="00774A86">
        <w:t xml:space="preserve"> t</w:t>
      </w:r>
      <w:r w:rsidR="00185992" w:rsidRPr="00774A86">
        <w:t xml:space="preserve">he United States’ </w:t>
      </w:r>
      <w:r w:rsidR="00B04019" w:rsidRPr="00774A86">
        <w:rPr>
          <w:i/>
        </w:rPr>
        <w:t>Foreign Account Tax Compliance Act</w:t>
      </w:r>
      <w:r w:rsidR="00B04019" w:rsidRPr="00774A86">
        <w:t xml:space="preserve"> (or </w:t>
      </w:r>
      <w:r w:rsidR="00373471" w:rsidRPr="00774A86">
        <w:t xml:space="preserve">US </w:t>
      </w:r>
      <w:r w:rsidR="00185992" w:rsidRPr="00774A86">
        <w:t>FATCA</w:t>
      </w:r>
      <w:r w:rsidR="00B04019" w:rsidRPr="00774A86">
        <w:t>)</w:t>
      </w:r>
      <w:r w:rsidR="00185992" w:rsidRPr="00774A86">
        <w:t xml:space="preserve"> initiative</w:t>
      </w:r>
      <w:r w:rsidR="008F0112" w:rsidRPr="00774A86">
        <w:t>, and</w:t>
      </w:r>
      <w:r w:rsidR="00052D57" w:rsidRPr="00774A86">
        <w:t xml:space="preserve"> the </w:t>
      </w:r>
      <w:r w:rsidR="00B04019" w:rsidRPr="00774A86">
        <w:t>G20/</w:t>
      </w:r>
      <w:r w:rsidR="00052D57" w:rsidRPr="00774A86">
        <w:t xml:space="preserve">OECD </w:t>
      </w:r>
      <w:r w:rsidR="00052D57" w:rsidRPr="00774A86">
        <w:rPr>
          <w:i/>
        </w:rPr>
        <w:t>Base Erosion and Profit Shifting</w:t>
      </w:r>
      <w:r w:rsidR="00052D57" w:rsidRPr="00774A86">
        <w:t xml:space="preserve"> (</w:t>
      </w:r>
      <w:r w:rsidR="00B04019" w:rsidRPr="00774A86">
        <w:t xml:space="preserve">or </w:t>
      </w:r>
      <w:r w:rsidR="00052D57" w:rsidRPr="00774A86">
        <w:t>BEPS) initiative.</w:t>
      </w:r>
      <w:r w:rsidR="0024657E" w:rsidRPr="00774A86">
        <w:t xml:space="preserve">  Common themes amongst such initiatives are improv</w:t>
      </w:r>
      <w:r w:rsidR="00C57842" w:rsidRPr="00774A86">
        <w:t>ing</w:t>
      </w:r>
      <w:r w:rsidR="0024657E" w:rsidRPr="00774A86">
        <w:t xml:space="preserve"> transparency</w:t>
      </w:r>
      <w:r w:rsidR="006F56D3" w:rsidRPr="00774A86">
        <w:t xml:space="preserve"> frameworks</w:t>
      </w:r>
      <w:r w:rsidR="0024657E" w:rsidRPr="00774A86">
        <w:t xml:space="preserve">, the imposition of </w:t>
      </w:r>
      <w:r w:rsidR="00EE6A80" w:rsidRPr="00774A86">
        <w:t xml:space="preserve">new </w:t>
      </w:r>
      <w:r w:rsidR="0024657E" w:rsidRPr="00774A86">
        <w:t xml:space="preserve">reporting obligations, and </w:t>
      </w:r>
      <w:r w:rsidR="001022A4" w:rsidRPr="00774A86">
        <w:t xml:space="preserve">expectations of </w:t>
      </w:r>
      <w:r w:rsidR="00972113" w:rsidRPr="00774A86">
        <w:t>greater levels of</w:t>
      </w:r>
      <w:r w:rsidR="006F56D3" w:rsidRPr="00774A86">
        <w:t xml:space="preserve"> cooperation between jurisdictions through</w:t>
      </w:r>
      <w:r w:rsidR="0024657E" w:rsidRPr="00774A86">
        <w:t xml:space="preserve"> exchange of information.</w:t>
      </w:r>
    </w:p>
    <w:p w:rsidR="0024657E" w:rsidRPr="00774A86" w:rsidRDefault="0024657E" w:rsidP="00016A08">
      <w:pPr>
        <w:pStyle w:val="Chapter1"/>
        <w:numPr>
          <w:ilvl w:val="0"/>
          <w:numId w:val="0"/>
        </w:numPr>
        <w:ind w:left="851" w:hanging="851"/>
      </w:pPr>
    </w:p>
    <w:p w:rsidR="00194D6F" w:rsidRPr="00774A86" w:rsidRDefault="006F56D3" w:rsidP="00016A08">
      <w:pPr>
        <w:pStyle w:val="Chapter1"/>
      </w:pPr>
      <w:r w:rsidRPr="00774A86">
        <w:t>One</w:t>
      </w:r>
      <w:r w:rsidR="0024657E" w:rsidRPr="00774A86">
        <w:t xml:space="preserve"> </w:t>
      </w:r>
      <w:r w:rsidR="00F77160" w:rsidRPr="00774A86">
        <w:t xml:space="preserve">particular </w:t>
      </w:r>
      <w:r w:rsidR="0024657E" w:rsidRPr="00774A86">
        <w:t xml:space="preserve">issue </w:t>
      </w:r>
      <w:r w:rsidR="00C57842" w:rsidRPr="00774A86">
        <w:t xml:space="preserve">in the </w:t>
      </w:r>
      <w:r w:rsidR="0024657E" w:rsidRPr="00774A86">
        <w:t>international</w:t>
      </w:r>
      <w:r w:rsidR="00C57842" w:rsidRPr="00774A86">
        <w:t xml:space="preserve"> spotlight</w:t>
      </w:r>
      <w:r w:rsidR="0024657E" w:rsidRPr="00774A86">
        <w:t xml:space="preserve"> </w:t>
      </w:r>
      <w:r w:rsidR="00EE6A80" w:rsidRPr="00774A86">
        <w:t xml:space="preserve">has been </w:t>
      </w:r>
      <w:r w:rsidR="0024657E" w:rsidRPr="00774A86">
        <w:t xml:space="preserve">tax evasion arising from wealth held </w:t>
      </w:r>
      <w:r w:rsidR="002C6560" w:rsidRPr="00774A86">
        <w:t xml:space="preserve">by individuals and entities </w:t>
      </w:r>
      <w:r w:rsidR="0024657E" w:rsidRPr="00774A86">
        <w:t xml:space="preserve">in </w:t>
      </w:r>
      <w:r w:rsidR="0030367F" w:rsidRPr="00774A86">
        <w:t>“</w:t>
      </w:r>
      <w:r w:rsidR="0024657E" w:rsidRPr="00774A86">
        <w:t>offshore</w:t>
      </w:r>
      <w:r w:rsidR="0030367F" w:rsidRPr="00774A86">
        <w:t>”</w:t>
      </w:r>
      <w:r w:rsidR="0024657E" w:rsidRPr="00774A86">
        <w:t xml:space="preserve"> financial accounts that goes unreported for tax purposes in the home jurisdiction.  </w:t>
      </w:r>
      <w:r w:rsidR="004421C2" w:rsidRPr="00774A86">
        <w:t xml:space="preserve">A global solution </w:t>
      </w:r>
      <w:r w:rsidR="0085294B" w:rsidRPr="00774A86">
        <w:t>to this problem is needed</w:t>
      </w:r>
      <w:r w:rsidR="004421C2" w:rsidRPr="00774A86">
        <w:t xml:space="preserve"> to prevent these funds fleeing to non-complying jurisdictions.  </w:t>
      </w:r>
      <w:r w:rsidR="00E50EC7" w:rsidRPr="00774A86">
        <w:t>I</w:t>
      </w:r>
      <w:r w:rsidR="00194D6F" w:rsidRPr="00774A86">
        <w:t xml:space="preserve">n </w:t>
      </w:r>
      <w:r w:rsidR="0085294B" w:rsidRPr="00774A86">
        <w:t>response</w:t>
      </w:r>
      <w:r w:rsidR="00194D6F" w:rsidRPr="00774A86">
        <w:t xml:space="preserve">, </w:t>
      </w:r>
      <w:r w:rsidR="0024657E" w:rsidRPr="00774A86">
        <w:t xml:space="preserve">G20 Leaders </w:t>
      </w:r>
      <w:r w:rsidR="00194D6F" w:rsidRPr="00774A86">
        <w:t>launched</w:t>
      </w:r>
      <w:r w:rsidR="0024657E" w:rsidRPr="00774A86">
        <w:t xml:space="preserve"> </w:t>
      </w:r>
      <w:r w:rsidR="008846CC" w:rsidRPr="00774A86">
        <w:t>an</w:t>
      </w:r>
      <w:r w:rsidR="0024657E" w:rsidRPr="00774A86">
        <w:t xml:space="preserve"> initiative</w:t>
      </w:r>
      <w:r w:rsidR="00194D6F" w:rsidRPr="00774A86">
        <w:t xml:space="preserve"> </w:t>
      </w:r>
      <w:r w:rsidR="008846CC" w:rsidRPr="00774A86">
        <w:t xml:space="preserve">in September 2013 </w:t>
      </w:r>
      <w:r w:rsidRPr="00774A86">
        <w:t>for the development and swift</w:t>
      </w:r>
      <w:r w:rsidR="00194D6F" w:rsidRPr="00774A86">
        <w:t xml:space="preserve"> implement</w:t>
      </w:r>
      <w:r w:rsidRPr="00774A86">
        <w:t>ation of</w:t>
      </w:r>
      <w:r w:rsidR="00194D6F" w:rsidRPr="00774A86">
        <w:t xml:space="preserve"> a global standard for the </w:t>
      </w:r>
      <w:r w:rsidR="00194D6F" w:rsidRPr="00774A86">
        <w:rPr>
          <w:i/>
        </w:rPr>
        <w:t>Automatic Exchange of Financial Account Information in Tax Matters</w:t>
      </w:r>
      <w:r w:rsidR="00194D6F" w:rsidRPr="00774A86">
        <w:t xml:space="preserve"> (in short, Automatic Exchange of Information, or AEOI).</w:t>
      </w:r>
    </w:p>
    <w:p w:rsidR="00830C31" w:rsidRPr="00774A86" w:rsidRDefault="00830C31" w:rsidP="00016A08">
      <w:pPr>
        <w:pStyle w:val="Chapter1"/>
        <w:numPr>
          <w:ilvl w:val="0"/>
          <w:numId w:val="0"/>
        </w:numPr>
        <w:ind w:left="851" w:hanging="851"/>
      </w:pPr>
    </w:p>
    <w:p w:rsidR="00830C31" w:rsidRPr="00774A86" w:rsidRDefault="00830C31" w:rsidP="00016A08">
      <w:pPr>
        <w:pStyle w:val="Chapter1"/>
      </w:pPr>
      <w:r w:rsidRPr="00774A86">
        <w:t xml:space="preserve">As a set of rules it is referred to as the AEOI standard.  </w:t>
      </w:r>
      <w:r w:rsidR="009268B5" w:rsidRPr="00774A86">
        <w:t xml:space="preserve">The AEOI Standard is based on the US FATCA Standard, although there are significant differences between AEOI and </w:t>
      </w:r>
      <w:r w:rsidR="009F5A08" w:rsidRPr="00774A86">
        <w:t xml:space="preserve">US </w:t>
      </w:r>
      <w:r w:rsidR="009268B5" w:rsidRPr="00774A86">
        <w:t xml:space="preserve">FATCA.  </w:t>
      </w:r>
      <w:r w:rsidRPr="00774A86">
        <w:t>The AEOI Standard comprises four distinct elements.  These are</w:t>
      </w:r>
      <w:r w:rsidR="00CB3324" w:rsidRPr="00774A86">
        <w:t>:</w:t>
      </w:r>
    </w:p>
    <w:p w:rsidR="00830C31" w:rsidRPr="00774A86" w:rsidRDefault="00830C31" w:rsidP="00830C31">
      <w:pPr>
        <w:pStyle w:val="Chapter1"/>
        <w:numPr>
          <w:ilvl w:val="0"/>
          <w:numId w:val="0"/>
        </w:numPr>
      </w:pPr>
    </w:p>
    <w:p w:rsidR="00830C31" w:rsidRPr="00774A86" w:rsidRDefault="00830C31" w:rsidP="00556556">
      <w:pPr>
        <w:pStyle w:val="Bullets"/>
      </w:pPr>
      <w:r w:rsidRPr="00774A86">
        <w:t>The Common Standard on Reporting, Due Diligence and Exchange of Information on Financial Account Information (in short, the Common Reporting Standard or CRS).  See Part IIA of the AEOI Publication.</w:t>
      </w:r>
    </w:p>
    <w:p w:rsidR="00830C31" w:rsidRPr="00774A86" w:rsidRDefault="00830C31" w:rsidP="00556556">
      <w:pPr>
        <w:pStyle w:val="Bullets"/>
      </w:pPr>
      <w:r w:rsidRPr="00774A86">
        <w:t>Model Competent Authority Agreements (or CAAs).  See Part IIB of the AEOI Publication.  Three separate models are provided, a multilateral model, a bilateral model, and a non-reciprocal model (for jurisdictions that will only provide, but have no interest in receiving, information, such as those with no tax system).</w:t>
      </w:r>
    </w:p>
    <w:p w:rsidR="00830C31" w:rsidRPr="00774A86" w:rsidRDefault="00830C31" w:rsidP="00556556">
      <w:pPr>
        <w:pStyle w:val="Bullets"/>
      </w:pPr>
      <w:r w:rsidRPr="00774A86">
        <w:t>Commentaries to the CRS and CAA.  See Part III of the AEOI Publication.</w:t>
      </w:r>
    </w:p>
    <w:p w:rsidR="00830C31" w:rsidRPr="00774A86" w:rsidRDefault="00830C31" w:rsidP="00556556">
      <w:pPr>
        <w:pStyle w:val="Bullets"/>
        <w:spacing w:after="0"/>
      </w:pPr>
      <w:r w:rsidRPr="00774A86">
        <w:t>Technical solutions to be used for exchanging the information, including minimum standards in relation to the encryption and transmission of information, data confidentiality, data safeguards.  Some of these technical solutions have been finalised, but others are still being developed.</w:t>
      </w:r>
    </w:p>
    <w:p w:rsidR="00C92767" w:rsidRPr="00774A86" w:rsidRDefault="00C92767" w:rsidP="00E77050">
      <w:pPr>
        <w:pStyle w:val="Chapter1"/>
        <w:numPr>
          <w:ilvl w:val="0"/>
          <w:numId w:val="0"/>
        </w:numPr>
      </w:pPr>
    </w:p>
    <w:p w:rsidR="00C92767" w:rsidRPr="00774A86" w:rsidRDefault="005E7521" w:rsidP="00016A08">
      <w:pPr>
        <w:pStyle w:val="Chapter1"/>
      </w:pPr>
      <w:r w:rsidRPr="00774A86">
        <w:t xml:space="preserve">Jurisdictions that implement </w:t>
      </w:r>
      <w:r w:rsidR="00C92767" w:rsidRPr="00774A86">
        <w:t xml:space="preserve">the AEOI </w:t>
      </w:r>
      <w:r w:rsidR="00164E6E" w:rsidRPr="00774A86">
        <w:t xml:space="preserve">Standard </w:t>
      </w:r>
      <w:r w:rsidRPr="00774A86">
        <w:t>(</w:t>
      </w:r>
      <w:r w:rsidR="004421C2" w:rsidRPr="00774A86">
        <w:t>p</w:t>
      </w:r>
      <w:r w:rsidRPr="00774A86">
        <w:t xml:space="preserve">articipating </w:t>
      </w:r>
      <w:r w:rsidR="004421C2" w:rsidRPr="00774A86">
        <w:t>j</w:t>
      </w:r>
      <w:r w:rsidRPr="00774A86">
        <w:t>urisdictions) receive</w:t>
      </w:r>
      <w:r w:rsidR="00C92767" w:rsidRPr="00774A86">
        <w:t xml:space="preserve"> information on the financial assets and income from those financial assets </w:t>
      </w:r>
      <w:r w:rsidR="003953E1" w:rsidRPr="00774A86">
        <w:t xml:space="preserve">held by their tax residents </w:t>
      </w:r>
      <w:r w:rsidR="00C92767" w:rsidRPr="00774A86">
        <w:t xml:space="preserve">in offshore accounts.  The </w:t>
      </w:r>
      <w:r w:rsidRPr="00774A86">
        <w:t xml:space="preserve">tax authorities of those jurisdictions can then use that </w:t>
      </w:r>
      <w:r w:rsidR="00C92767" w:rsidRPr="00774A86">
        <w:t>information</w:t>
      </w:r>
      <w:r w:rsidR="00F12740" w:rsidRPr="00774A86">
        <w:t xml:space="preserve"> </w:t>
      </w:r>
      <w:r w:rsidR="00C92767" w:rsidRPr="00774A86">
        <w:t xml:space="preserve">to verify that </w:t>
      </w:r>
      <w:r w:rsidR="003953E1" w:rsidRPr="00774A86">
        <w:t>those residents have</w:t>
      </w:r>
      <w:r w:rsidR="00C92767" w:rsidRPr="00774A86">
        <w:t xml:space="preserve"> correctly reported </w:t>
      </w:r>
      <w:r w:rsidR="003953E1" w:rsidRPr="00774A86">
        <w:t xml:space="preserve">their financial assets and income </w:t>
      </w:r>
      <w:r w:rsidR="00C92767" w:rsidRPr="00774A86">
        <w:t xml:space="preserve">for tax purposes.  </w:t>
      </w:r>
      <w:r w:rsidR="00C92767" w:rsidRPr="00774A86">
        <w:lastRenderedPageBreak/>
        <w:t xml:space="preserve">The G20 views implementation as important for all jurisdictions.  However, </w:t>
      </w:r>
      <w:r w:rsidR="000C0379" w:rsidRPr="00774A86">
        <w:t xml:space="preserve">their </w:t>
      </w:r>
      <w:r w:rsidR="00C92767" w:rsidRPr="00774A86">
        <w:t xml:space="preserve">key targets </w:t>
      </w:r>
      <w:r w:rsidR="00F12740" w:rsidRPr="00774A86">
        <w:t>for</w:t>
      </w:r>
      <w:r w:rsidR="00C92767" w:rsidRPr="00774A86">
        <w:t xml:space="preserve"> </w:t>
      </w:r>
      <w:r w:rsidR="00F12740" w:rsidRPr="00774A86">
        <w:t xml:space="preserve">early </w:t>
      </w:r>
      <w:r w:rsidR="00C92767" w:rsidRPr="00774A86">
        <w:t xml:space="preserve">implementation are developed countries and those jurisdictions that </w:t>
      </w:r>
      <w:r w:rsidR="000C0379" w:rsidRPr="00774A86">
        <w:t xml:space="preserve">have or </w:t>
      </w:r>
      <w:r w:rsidR="00C92767" w:rsidRPr="00774A86">
        <w:t>operate as an international finance centre</w:t>
      </w:r>
      <w:r w:rsidR="00F12740" w:rsidRPr="00774A86">
        <w:t xml:space="preserve">.  These </w:t>
      </w:r>
      <w:r w:rsidR="00EA42A0" w:rsidRPr="00774A86">
        <w:t xml:space="preserve">jurisdictions </w:t>
      </w:r>
      <w:r w:rsidR="00F77160" w:rsidRPr="00774A86">
        <w:t xml:space="preserve">are </w:t>
      </w:r>
      <w:r w:rsidR="00F12740" w:rsidRPr="00774A86">
        <w:t>w</w:t>
      </w:r>
      <w:r w:rsidR="00F77160" w:rsidRPr="00774A86">
        <w:t>h</w:t>
      </w:r>
      <w:r w:rsidR="00F12740" w:rsidRPr="00774A86">
        <w:t>ere offshore acco</w:t>
      </w:r>
      <w:r w:rsidR="00EA42A0" w:rsidRPr="00774A86">
        <w:t>unts will most likely be held.</w:t>
      </w:r>
    </w:p>
    <w:p w:rsidR="00194D6F" w:rsidRPr="00774A86" w:rsidRDefault="00194D6F" w:rsidP="00016A08">
      <w:pPr>
        <w:pStyle w:val="Chapter1"/>
        <w:numPr>
          <w:ilvl w:val="0"/>
          <w:numId w:val="0"/>
        </w:numPr>
        <w:ind w:left="851" w:hanging="851"/>
      </w:pPr>
    </w:p>
    <w:p w:rsidR="00EA42A0" w:rsidRPr="00774A86" w:rsidRDefault="00765C51" w:rsidP="00016A08">
      <w:pPr>
        <w:pStyle w:val="Chapter1"/>
        <w:rPr>
          <w:b/>
        </w:rPr>
      </w:pPr>
      <w:r w:rsidRPr="00774A86">
        <w:t>T</w:t>
      </w:r>
      <w:r w:rsidR="00953213" w:rsidRPr="00774A86">
        <w:t>he G20 called on the OECD to provide the necessary</w:t>
      </w:r>
      <w:r w:rsidR="00F20A29" w:rsidRPr="00774A86">
        <w:t xml:space="preserve"> </w:t>
      </w:r>
      <w:r w:rsidR="006E71B3" w:rsidRPr="00774A86">
        <w:t xml:space="preserve">technical expertise </w:t>
      </w:r>
      <w:r w:rsidR="00953213" w:rsidRPr="00774A86">
        <w:t xml:space="preserve">for developing </w:t>
      </w:r>
      <w:r w:rsidR="006E71B3" w:rsidRPr="00774A86">
        <w:t xml:space="preserve">the </w:t>
      </w:r>
      <w:r w:rsidR="006F56D3" w:rsidRPr="00774A86">
        <w:t xml:space="preserve">AEOI </w:t>
      </w:r>
      <w:r w:rsidR="0037156C" w:rsidRPr="00774A86">
        <w:t>Standard</w:t>
      </w:r>
      <w:r w:rsidR="00953213" w:rsidRPr="00774A86">
        <w:t xml:space="preserve">. </w:t>
      </w:r>
      <w:r w:rsidR="006F56D3" w:rsidRPr="00774A86">
        <w:t xml:space="preserve"> </w:t>
      </w:r>
      <w:r w:rsidR="00953213" w:rsidRPr="00774A86">
        <w:t xml:space="preserve">This </w:t>
      </w:r>
      <w:r w:rsidR="006F56D3" w:rsidRPr="00774A86">
        <w:t xml:space="preserve">was </w:t>
      </w:r>
      <w:r w:rsidR="003953E1" w:rsidRPr="00774A86">
        <w:t>finalised</w:t>
      </w:r>
      <w:r w:rsidR="00EA42A0" w:rsidRPr="00774A86">
        <w:t xml:space="preserve"> and </w:t>
      </w:r>
      <w:r w:rsidR="006F56D3" w:rsidRPr="00774A86">
        <w:t>published in 2014</w:t>
      </w:r>
      <w:r w:rsidR="006E71B3" w:rsidRPr="00774A86">
        <w:t>.</w:t>
      </w:r>
      <w:r w:rsidR="006F56D3" w:rsidRPr="00774A86">
        <w:t xml:space="preserve">  </w:t>
      </w:r>
      <w:r w:rsidR="001022A4" w:rsidRPr="00774A86">
        <w:t xml:space="preserve">Its published form (the AEOI Publication) can be accessed at </w:t>
      </w:r>
      <w:r w:rsidR="00F718F7" w:rsidRPr="00774A86">
        <w:t>http://www.oecd.org/tax/automatic-</w:t>
      </w:r>
      <w:proofErr w:type="gramStart"/>
      <w:r w:rsidR="00F718F7" w:rsidRPr="00774A86">
        <w:t>exchange</w:t>
      </w:r>
      <w:r w:rsidR="006F56D3" w:rsidRPr="00774A86">
        <w:t xml:space="preserve">  </w:t>
      </w:r>
      <w:r w:rsidR="008846CC" w:rsidRPr="00774A86">
        <w:t>To</w:t>
      </w:r>
      <w:proofErr w:type="gramEnd"/>
      <w:r w:rsidR="008846CC" w:rsidRPr="00774A86">
        <w:t xml:space="preserve"> ensure </w:t>
      </w:r>
      <w:r w:rsidR="007864CC" w:rsidRPr="00774A86">
        <w:t xml:space="preserve">consistent </w:t>
      </w:r>
      <w:r w:rsidR="008846CC" w:rsidRPr="00774A86">
        <w:t>global implementation, the</w:t>
      </w:r>
      <w:r w:rsidR="006F56D3" w:rsidRPr="00774A86">
        <w:t xml:space="preserve"> G20 </w:t>
      </w:r>
      <w:r w:rsidR="00953213" w:rsidRPr="00774A86">
        <w:t>called on</w:t>
      </w:r>
      <w:r w:rsidR="006F56D3" w:rsidRPr="00774A86">
        <w:t xml:space="preserve"> the </w:t>
      </w:r>
      <w:r w:rsidR="006F56D3" w:rsidRPr="00774A86">
        <w:rPr>
          <w:i/>
        </w:rPr>
        <w:t>Global Forum on Transparency and Exchange of Information for Tax Purposes</w:t>
      </w:r>
      <w:r w:rsidR="006F56D3" w:rsidRPr="00774A86">
        <w:t xml:space="preserve"> (the Global Forum) with</w:t>
      </w:r>
      <w:r w:rsidR="008846CC" w:rsidRPr="00774A86">
        <w:t xml:space="preserve"> establishing</w:t>
      </w:r>
      <w:r w:rsidR="006F56D3" w:rsidRPr="00774A86">
        <w:t xml:space="preserve"> monitoring and peer review</w:t>
      </w:r>
      <w:r w:rsidR="008846CC" w:rsidRPr="00774A86">
        <w:t xml:space="preserve"> processes</w:t>
      </w:r>
      <w:r w:rsidR="00EA42A0" w:rsidRPr="00774A86">
        <w:t>.</w:t>
      </w:r>
    </w:p>
    <w:p w:rsidR="00EA42A0" w:rsidRPr="00774A86" w:rsidRDefault="00EA42A0" w:rsidP="00E77050">
      <w:pPr>
        <w:pStyle w:val="Chapter1"/>
        <w:numPr>
          <w:ilvl w:val="0"/>
          <w:numId w:val="0"/>
        </w:numPr>
      </w:pPr>
    </w:p>
    <w:p w:rsidR="0024657E" w:rsidRPr="00774A86" w:rsidRDefault="008846CC" w:rsidP="00016A08">
      <w:pPr>
        <w:pStyle w:val="Chapter1"/>
      </w:pPr>
      <w:r w:rsidRPr="00774A86">
        <w:t xml:space="preserve">To date, efforts to secure </w:t>
      </w:r>
      <w:r w:rsidR="00B6209B" w:rsidRPr="00774A86">
        <w:t xml:space="preserve">compliance </w:t>
      </w:r>
      <w:r w:rsidR="00EA42A0" w:rsidRPr="00774A86">
        <w:t xml:space="preserve">by target jurisdictions </w:t>
      </w:r>
      <w:r w:rsidR="00F12740" w:rsidRPr="00774A86">
        <w:t xml:space="preserve">have primarily been </w:t>
      </w:r>
      <w:r w:rsidR="00B6209B" w:rsidRPr="00774A86">
        <w:t xml:space="preserve">through dialogue and a </w:t>
      </w:r>
      <w:r w:rsidR="007D3FEF" w:rsidRPr="00774A86">
        <w:t xml:space="preserve">voluntary </w:t>
      </w:r>
      <w:r w:rsidR="00B6209B" w:rsidRPr="00774A86">
        <w:t>commitment process</w:t>
      </w:r>
      <w:r w:rsidR="00EE7C93" w:rsidRPr="00774A86">
        <w:t xml:space="preserve">. </w:t>
      </w:r>
      <w:r w:rsidR="00B6209B" w:rsidRPr="00774A86">
        <w:t xml:space="preserve"> </w:t>
      </w:r>
      <w:r w:rsidRPr="00774A86">
        <w:t xml:space="preserve">However, as for compliance with </w:t>
      </w:r>
      <w:r w:rsidR="00F12740" w:rsidRPr="00774A86">
        <w:t xml:space="preserve">other </w:t>
      </w:r>
      <w:r w:rsidRPr="00774A86">
        <w:t xml:space="preserve">international standards </w:t>
      </w:r>
      <w:r w:rsidR="00F12740" w:rsidRPr="00774A86">
        <w:t>such as</w:t>
      </w:r>
      <w:r w:rsidRPr="00774A86">
        <w:t xml:space="preserve"> anti-money laundering and countering terrorist financing</w:t>
      </w:r>
      <w:r w:rsidR="00F12740" w:rsidRPr="00774A86">
        <w:t>,</w:t>
      </w:r>
      <w:r w:rsidR="007D3FEF" w:rsidRPr="00774A86">
        <w:t xml:space="preserve"> it is important that a </w:t>
      </w:r>
      <w:r w:rsidR="00830C31" w:rsidRPr="00774A86">
        <w:t>global</w:t>
      </w:r>
      <w:r w:rsidR="007D3FEF" w:rsidRPr="00774A86">
        <w:t xml:space="preserve"> approach is adopted.  </w:t>
      </w:r>
      <w:r w:rsidR="00EA42A0" w:rsidRPr="00774A86">
        <w:t xml:space="preserve">If any target jurisdiction is allowed to lag behind in implementation, the risk is that the tax evasion problem will simply relocate </w:t>
      </w:r>
      <w:r w:rsidR="00765C51" w:rsidRPr="00774A86">
        <w:t xml:space="preserve">to </w:t>
      </w:r>
      <w:r w:rsidR="00BF3870" w:rsidRPr="00774A86">
        <w:t xml:space="preserve">that jurisdiction </w:t>
      </w:r>
      <w:r w:rsidR="00EA42A0" w:rsidRPr="00774A86">
        <w:t xml:space="preserve">from </w:t>
      </w:r>
      <w:r w:rsidR="00BF3870" w:rsidRPr="00774A86">
        <w:t xml:space="preserve">other, </w:t>
      </w:r>
      <w:r w:rsidR="00EA42A0" w:rsidRPr="00774A86">
        <w:t xml:space="preserve">complying jurisdictions.  Accordingly, the G20 has imposed implementation deadlines on all target jurisdictions, to ensure that all move forward with implementation </w:t>
      </w:r>
      <w:r w:rsidR="00751A36" w:rsidRPr="00774A86">
        <w:t>on a similar timeline</w:t>
      </w:r>
      <w:r w:rsidR="00EA42A0" w:rsidRPr="00774A86">
        <w:t>.</w:t>
      </w:r>
    </w:p>
    <w:p w:rsidR="003D0B8B" w:rsidRPr="00774A86" w:rsidRDefault="003D0B8B" w:rsidP="00016A08">
      <w:pPr>
        <w:pStyle w:val="Chapter1"/>
        <w:numPr>
          <w:ilvl w:val="0"/>
          <w:numId w:val="0"/>
        </w:numPr>
        <w:ind w:left="851" w:hanging="851"/>
      </w:pPr>
    </w:p>
    <w:p w:rsidR="008624ED" w:rsidRPr="00774A86" w:rsidRDefault="00751A36" w:rsidP="00016A08">
      <w:pPr>
        <w:pStyle w:val="Chapter1"/>
      </w:pPr>
      <w:r w:rsidRPr="00774A86">
        <w:t>To date,</w:t>
      </w:r>
      <w:r w:rsidR="00EA42A0" w:rsidRPr="00774A86">
        <w:t xml:space="preserve"> all G20 member countries, </w:t>
      </w:r>
      <w:r w:rsidRPr="00774A86">
        <w:t xml:space="preserve">all </w:t>
      </w:r>
      <w:r w:rsidR="00EA42A0" w:rsidRPr="00774A86">
        <w:t xml:space="preserve">OECD member countries, and </w:t>
      </w:r>
      <w:r w:rsidR="005E7521" w:rsidRPr="00774A86">
        <w:t>all but three of the</w:t>
      </w:r>
      <w:r w:rsidR="00EA42A0" w:rsidRPr="00774A86">
        <w:t xml:space="preserve"> jurisdiction</w:t>
      </w:r>
      <w:r w:rsidR="005E7521" w:rsidRPr="00774A86">
        <w:t>s</w:t>
      </w:r>
      <w:r w:rsidR="00EA42A0" w:rsidRPr="00774A86">
        <w:t xml:space="preserve"> that </w:t>
      </w:r>
      <w:r w:rsidR="00DA4515" w:rsidRPr="00774A86">
        <w:t>ha</w:t>
      </w:r>
      <w:r w:rsidR="005E7521" w:rsidRPr="00774A86">
        <w:t>ve</w:t>
      </w:r>
      <w:r w:rsidR="00DA4515" w:rsidRPr="00774A86">
        <w:t xml:space="preserve"> or </w:t>
      </w:r>
      <w:r w:rsidR="00EA42A0" w:rsidRPr="00774A86">
        <w:t>operate as an international finance centre, have already entered into implementation commitments.</w:t>
      </w:r>
    </w:p>
    <w:p w:rsidR="008624ED" w:rsidRPr="00774A86" w:rsidRDefault="008624ED" w:rsidP="00016A08">
      <w:pPr>
        <w:pStyle w:val="Chapter1"/>
        <w:numPr>
          <w:ilvl w:val="0"/>
          <w:numId w:val="0"/>
        </w:numPr>
        <w:ind w:left="851" w:hanging="851"/>
      </w:pPr>
    </w:p>
    <w:p w:rsidR="00EA42A0" w:rsidRPr="00774A86" w:rsidRDefault="00EA42A0" w:rsidP="00016A08">
      <w:pPr>
        <w:pStyle w:val="Chapter1"/>
      </w:pPr>
      <w:r w:rsidRPr="00774A86">
        <w:t xml:space="preserve">New Zealand </w:t>
      </w:r>
      <w:r w:rsidR="00751A36" w:rsidRPr="00774A86">
        <w:t xml:space="preserve">made its </w:t>
      </w:r>
      <w:r w:rsidR="004662DA" w:rsidRPr="00774A86">
        <w:t xml:space="preserve">initial </w:t>
      </w:r>
      <w:r w:rsidRPr="00774A86">
        <w:t>commit</w:t>
      </w:r>
      <w:r w:rsidR="00751A36" w:rsidRPr="00774A86">
        <w:t xml:space="preserve">ment </w:t>
      </w:r>
      <w:r w:rsidRPr="00774A86">
        <w:t xml:space="preserve">to implement AEOI </w:t>
      </w:r>
      <w:r w:rsidR="004662DA" w:rsidRPr="00774A86">
        <w:t>on 7</w:t>
      </w:r>
      <w:r w:rsidR="005A086F" w:rsidRPr="00774A86">
        <w:t> </w:t>
      </w:r>
      <w:r w:rsidR="004662DA" w:rsidRPr="00774A86">
        <w:t>May</w:t>
      </w:r>
      <w:r w:rsidR="005A086F" w:rsidRPr="00774A86">
        <w:t> </w:t>
      </w:r>
      <w:r w:rsidR="004662DA" w:rsidRPr="00774A86">
        <w:t>2014</w:t>
      </w:r>
      <w:r w:rsidR="00DC219D" w:rsidRPr="00774A86">
        <w:t xml:space="preserve"> and subsequently decided that the </w:t>
      </w:r>
      <w:r w:rsidR="00546249" w:rsidRPr="00774A86">
        <w:t>first</w:t>
      </w:r>
      <w:r w:rsidR="008624ED" w:rsidRPr="00774A86">
        <w:t xml:space="preserve"> exchang</w:t>
      </w:r>
      <w:r w:rsidR="00546249" w:rsidRPr="00774A86">
        <w:t>es</w:t>
      </w:r>
      <w:r w:rsidR="008624ED" w:rsidRPr="00774A86">
        <w:t xml:space="preserve"> </w:t>
      </w:r>
      <w:r w:rsidR="00546249" w:rsidRPr="00774A86">
        <w:t xml:space="preserve">of </w:t>
      </w:r>
      <w:r w:rsidR="008624ED" w:rsidRPr="00774A86">
        <w:t xml:space="preserve">information with other tax authorities </w:t>
      </w:r>
      <w:r w:rsidR="00DC219D" w:rsidRPr="00774A86">
        <w:t xml:space="preserve">would be completed </w:t>
      </w:r>
      <w:r w:rsidR="008624ED" w:rsidRPr="00774A86">
        <w:t xml:space="preserve">by </w:t>
      </w:r>
      <w:r w:rsidR="00546249" w:rsidRPr="00774A86">
        <w:t xml:space="preserve">30 </w:t>
      </w:r>
      <w:r w:rsidR="008624ED" w:rsidRPr="00774A86">
        <w:t>September 2018, in line with our international commitment.</w:t>
      </w:r>
      <w:r w:rsidR="00546249" w:rsidRPr="00774A86">
        <w:t xml:space="preserve">  To meet this exchange deadline, AEOI obligations are to apply in New Zealand from 1 July 2017.</w:t>
      </w:r>
    </w:p>
    <w:p w:rsidR="00A86759" w:rsidRPr="00774A86" w:rsidRDefault="00A86759" w:rsidP="004F1DC7">
      <w:pPr>
        <w:pStyle w:val="Chapter1"/>
        <w:numPr>
          <w:ilvl w:val="0"/>
          <w:numId w:val="0"/>
        </w:numPr>
      </w:pPr>
    </w:p>
    <w:p w:rsidR="00DC219D" w:rsidRPr="00774A86" w:rsidRDefault="00A86759" w:rsidP="00016A08">
      <w:pPr>
        <w:pStyle w:val="Chapter1"/>
      </w:pPr>
      <w:r w:rsidRPr="00774A86">
        <w:t>T</w:t>
      </w:r>
      <w:r w:rsidR="003953E1" w:rsidRPr="00774A86">
        <w:t xml:space="preserve">his issues paper specifically concerns, and seeks submissions on, decisions that need to be made </w:t>
      </w:r>
      <w:r w:rsidR="00DC219D" w:rsidRPr="00774A86">
        <w:t xml:space="preserve">regarding </w:t>
      </w:r>
      <w:r w:rsidR="003953E1" w:rsidRPr="00774A86">
        <w:t>New Zealand’s implementation of the Common Reporting Standard, or CRS.  The CRS sets out rules to be imposed on financial institutions</w:t>
      </w:r>
      <w:r w:rsidR="00093C2B" w:rsidRPr="00774A86">
        <w:rPr>
          <w:rStyle w:val="FootnoteReference"/>
          <w:sz w:val="22"/>
          <w:szCs w:val="22"/>
        </w:rPr>
        <w:footnoteReference w:id="1"/>
      </w:r>
      <w:r w:rsidR="003953E1" w:rsidRPr="00774A86">
        <w:t xml:space="preserve"> </w:t>
      </w:r>
      <w:r w:rsidR="0053331C" w:rsidRPr="00774A86">
        <w:t>for</w:t>
      </w:r>
      <w:r w:rsidR="00DC219D" w:rsidRPr="00774A86">
        <w:t>:</w:t>
      </w:r>
    </w:p>
    <w:p w:rsidR="00DC219D" w:rsidRPr="00774A86" w:rsidRDefault="00DC219D" w:rsidP="0054091D">
      <w:pPr>
        <w:pStyle w:val="Chapter1"/>
        <w:numPr>
          <w:ilvl w:val="0"/>
          <w:numId w:val="0"/>
        </w:numPr>
      </w:pPr>
    </w:p>
    <w:p w:rsidR="00DC219D" w:rsidRPr="00774A86" w:rsidRDefault="0053331C" w:rsidP="00D64344">
      <w:pPr>
        <w:pStyle w:val="Bullets"/>
      </w:pPr>
      <w:r w:rsidRPr="00774A86">
        <w:t xml:space="preserve">the conduct of due diligence on their </w:t>
      </w:r>
      <w:r w:rsidR="005B5D85" w:rsidRPr="00774A86">
        <w:t xml:space="preserve">non-exempt </w:t>
      </w:r>
      <w:r w:rsidRPr="00774A86">
        <w:t xml:space="preserve">accounts to identify </w:t>
      </w:r>
      <w:r w:rsidRPr="00774A86">
        <w:rPr>
          <w:i/>
        </w:rPr>
        <w:t>Reportable Accounts</w:t>
      </w:r>
      <w:r w:rsidRPr="00774A86">
        <w:rPr>
          <w:rStyle w:val="FootnoteReference"/>
          <w:sz w:val="22"/>
          <w:szCs w:val="22"/>
        </w:rPr>
        <w:footnoteReference w:id="2"/>
      </w:r>
      <w:r w:rsidR="00DC219D" w:rsidRPr="00774A86">
        <w:rPr>
          <w:i/>
        </w:rPr>
        <w:t xml:space="preserve"> </w:t>
      </w:r>
      <w:r w:rsidR="00093C2B" w:rsidRPr="00774A86">
        <w:t>(broadly, cov</w:t>
      </w:r>
      <w:r w:rsidR="00AA4715" w:rsidRPr="00774A86">
        <w:t>ering certain accounts held or c</w:t>
      </w:r>
      <w:r w:rsidR="00093C2B" w:rsidRPr="00774A86">
        <w:t>ontrolled</w:t>
      </w:r>
      <w:r w:rsidR="00AA4715" w:rsidRPr="00774A86">
        <w:rPr>
          <w:rStyle w:val="FootnoteReference"/>
          <w:sz w:val="22"/>
          <w:szCs w:val="22"/>
        </w:rPr>
        <w:footnoteReference w:id="3"/>
      </w:r>
      <w:r w:rsidR="00093C2B" w:rsidRPr="00774A86">
        <w:t xml:space="preserve"> by </w:t>
      </w:r>
      <w:r w:rsidR="00AA4715" w:rsidRPr="00774A86">
        <w:t>tax residents</w:t>
      </w:r>
      <w:r w:rsidR="007D38EB" w:rsidRPr="00774A86">
        <w:rPr>
          <w:rStyle w:val="FootnoteReference"/>
          <w:sz w:val="22"/>
          <w:szCs w:val="22"/>
        </w:rPr>
        <w:footnoteReference w:id="4"/>
      </w:r>
      <w:r w:rsidR="00AA4715" w:rsidRPr="00774A86">
        <w:t xml:space="preserve"> from </w:t>
      </w:r>
      <w:r w:rsidR="00DC219D" w:rsidRPr="00774A86">
        <w:t>r</w:t>
      </w:r>
      <w:r w:rsidR="00AA4715" w:rsidRPr="00774A86">
        <w:t xml:space="preserve">eportable </w:t>
      </w:r>
      <w:r w:rsidR="00DC219D" w:rsidRPr="00774A86">
        <w:t>j</w:t>
      </w:r>
      <w:r w:rsidR="00AA4715" w:rsidRPr="00774A86">
        <w:t>urisdictions</w:t>
      </w:r>
      <w:r w:rsidR="00544662" w:rsidRPr="00774A86">
        <w:rPr>
          <w:rStyle w:val="FootnoteReference"/>
          <w:sz w:val="22"/>
          <w:szCs w:val="22"/>
        </w:rPr>
        <w:footnoteReference w:id="5"/>
      </w:r>
      <w:r w:rsidR="00544662" w:rsidRPr="00774A86">
        <w:t>)</w:t>
      </w:r>
      <w:r w:rsidRPr="00774A86">
        <w:t xml:space="preserve"> and </w:t>
      </w:r>
      <w:r w:rsidRPr="00774A86">
        <w:rPr>
          <w:i/>
        </w:rPr>
        <w:t>Undocumented Account</w:t>
      </w:r>
      <w:r w:rsidR="00132976" w:rsidRPr="00774A86">
        <w:rPr>
          <w:i/>
        </w:rPr>
        <w:t>s;</w:t>
      </w:r>
      <w:r w:rsidRPr="00774A86">
        <w:rPr>
          <w:rStyle w:val="FootnoteReference"/>
          <w:sz w:val="22"/>
          <w:szCs w:val="22"/>
        </w:rPr>
        <w:footnoteReference w:id="6"/>
      </w:r>
    </w:p>
    <w:p w:rsidR="00DC219D" w:rsidRPr="00774A86" w:rsidRDefault="0053331C" w:rsidP="00D64344">
      <w:pPr>
        <w:pStyle w:val="Bullets"/>
      </w:pPr>
      <w:r w:rsidRPr="00774A86">
        <w:lastRenderedPageBreak/>
        <w:t xml:space="preserve">the collection of details of financial assets and income in relation to any </w:t>
      </w:r>
      <w:r w:rsidR="00DC219D" w:rsidRPr="00774A86">
        <w:t>r</w:t>
      </w:r>
      <w:r w:rsidRPr="00774A86">
        <w:t xml:space="preserve">eportable </w:t>
      </w:r>
      <w:r w:rsidR="00DC219D" w:rsidRPr="00774A86">
        <w:t>a</w:t>
      </w:r>
      <w:r w:rsidRPr="00774A86">
        <w:t>ccounts that are identified</w:t>
      </w:r>
      <w:r w:rsidR="00DC219D" w:rsidRPr="00774A86">
        <w:t>;</w:t>
      </w:r>
      <w:r w:rsidRPr="00774A86">
        <w:t xml:space="preserve"> and </w:t>
      </w:r>
    </w:p>
    <w:p w:rsidR="0053331C" w:rsidRPr="00774A86" w:rsidRDefault="0053331C" w:rsidP="00D64344">
      <w:pPr>
        <w:pStyle w:val="Bullets"/>
        <w:spacing w:after="0"/>
      </w:pPr>
      <w:proofErr w:type="gramStart"/>
      <w:r w:rsidRPr="00774A86">
        <w:t>reporting</w:t>
      </w:r>
      <w:proofErr w:type="gramEnd"/>
      <w:r w:rsidRPr="00774A86">
        <w:t xml:space="preserve"> the information on </w:t>
      </w:r>
      <w:r w:rsidR="00DC219D" w:rsidRPr="00774A86">
        <w:t>r</w:t>
      </w:r>
      <w:r w:rsidRPr="00774A86">
        <w:t xml:space="preserve">eportable </w:t>
      </w:r>
      <w:r w:rsidR="00DC219D" w:rsidRPr="00774A86">
        <w:t>a</w:t>
      </w:r>
      <w:r w:rsidRPr="00774A86">
        <w:t xml:space="preserve">ccounts and </w:t>
      </w:r>
      <w:r w:rsidR="00DC219D" w:rsidRPr="00774A86">
        <w:t>u</w:t>
      </w:r>
      <w:r w:rsidR="00F70C36" w:rsidRPr="00774A86">
        <w:t xml:space="preserve">ndocumented </w:t>
      </w:r>
      <w:r w:rsidR="00DC219D" w:rsidRPr="00774A86">
        <w:t>a</w:t>
      </w:r>
      <w:r w:rsidR="00F70C36" w:rsidRPr="00774A86">
        <w:t xml:space="preserve">ccounts </w:t>
      </w:r>
      <w:r w:rsidRPr="00774A86">
        <w:t>to the tax administration in the jurisdiction in which the financial institution is located (that is, for New Zealand financial institutions, to Inland Revenue)</w:t>
      </w:r>
      <w:r w:rsidR="003953E1" w:rsidRPr="00774A86">
        <w:t>.</w:t>
      </w:r>
      <w:r w:rsidR="007D38EB" w:rsidRPr="00774A86">
        <w:t xml:space="preserve"> </w:t>
      </w:r>
      <w:r w:rsidR="001E00D2" w:rsidRPr="00774A86">
        <w:t xml:space="preserve"> This information about </w:t>
      </w:r>
      <w:r w:rsidR="00EE5866" w:rsidRPr="00774A86">
        <w:t>Reportable accounts</w:t>
      </w:r>
      <w:r w:rsidR="001E00D2" w:rsidRPr="00774A86">
        <w:t xml:space="preserve"> will then be exchanged with the relevant </w:t>
      </w:r>
      <w:r w:rsidR="00EE5866" w:rsidRPr="00774A86">
        <w:t>Reportable jurisdiction</w:t>
      </w:r>
      <w:r w:rsidR="001E00D2" w:rsidRPr="00774A86">
        <w:t>.</w:t>
      </w:r>
      <w:r w:rsidR="007D38EB" w:rsidRPr="00774A86">
        <w:rPr>
          <w:rStyle w:val="FootnoteReference"/>
          <w:sz w:val="22"/>
          <w:szCs w:val="22"/>
        </w:rPr>
        <w:footnoteReference w:id="7"/>
      </w:r>
    </w:p>
    <w:p w:rsidR="00D64344" w:rsidRPr="00774A86" w:rsidRDefault="00D64344" w:rsidP="00D64344">
      <w:pPr>
        <w:pStyle w:val="Chapter1"/>
        <w:numPr>
          <w:ilvl w:val="0"/>
          <w:numId w:val="0"/>
        </w:numPr>
        <w:ind w:left="851" w:hanging="851"/>
      </w:pPr>
    </w:p>
    <w:p w:rsidR="003953E1" w:rsidRPr="00774A86" w:rsidRDefault="0053331C" w:rsidP="00016A08">
      <w:pPr>
        <w:pStyle w:val="Chapter1"/>
      </w:pPr>
      <w:r w:rsidRPr="00774A86">
        <w:t xml:space="preserve">Apart from the Commentaries to the CRS, the </w:t>
      </w:r>
      <w:r w:rsidR="003953E1" w:rsidRPr="00774A86">
        <w:t>other e</w:t>
      </w:r>
      <w:r w:rsidRPr="00774A86">
        <w:t xml:space="preserve">lements of the AEOI Standard are concerned </w:t>
      </w:r>
      <w:r w:rsidR="00F70C36" w:rsidRPr="00774A86">
        <w:t xml:space="preserve">solely </w:t>
      </w:r>
      <w:r w:rsidRPr="00774A86">
        <w:t>with exchange of information</w:t>
      </w:r>
      <w:r w:rsidR="00F70C36" w:rsidRPr="00774A86">
        <w:t xml:space="preserve"> between jurisdictions</w:t>
      </w:r>
      <w:r w:rsidRPr="00774A86">
        <w:t xml:space="preserve">, </w:t>
      </w:r>
      <w:r w:rsidR="00F70C36" w:rsidRPr="00774A86">
        <w:t>and are</w:t>
      </w:r>
      <w:r w:rsidRPr="00774A86">
        <w:t xml:space="preserve"> </w:t>
      </w:r>
      <w:r w:rsidR="00F70C36" w:rsidRPr="00774A86">
        <w:t xml:space="preserve">generally </w:t>
      </w:r>
      <w:r w:rsidRPr="00774A86">
        <w:t>outside the scope of this issues paper.</w:t>
      </w:r>
    </w:p>
    <w:p w:rsidR="003953E1" w:rsidRPr="00774A86" w:rsidRDefault="003953E1" w:rsidP="00016A08">
      <w:pPr>
        <w:pStyle w:val="Chapter1"/>
        <w:numPr>
          <w:ilvl w:val="0"/>
          <w:numId w:val="0"/>
        </w:numPr>
        <w:ind w:left="851" w:hanging="851"/>
      </w:pPr>
    </w:p>
    <w:p w:rsidR="002C3489" w:rsidRPr="00774A86" w:rsidRDefault="002C3489" w:rsidP="00016A08">
      <w:pPr>
        <w:pStyle w:val="Chapter1"/>
      </w:pPr>
      <w:r w:rsidRPr="00774A86">
        <w:t xml:space="preserve">The benefit to New Zealand from implementing AEOI lies in the information that it will receive from other </w:t>
      </w:r>
      <w:r w:rsidR="008C62EE" w:rsidRPr="00774A86">
        <w:t>p</w:t>
      </w:r>
      <w:r w:rsidR="00164E6E" w:rsidRPr="00774A86">
        <w:t xml:space="preserve">articipating </w:t>
      </w:r>
      <w:r w:rsidR="008C62EE" w:rsidRPr="00774A86">
        <w:t>j</w:t>
      </w:r>
      <w:r w:rsidRPr="00774A86">
        <w:t xml:space="preserve">urisdictions about the financial assets and income of New Zealand residents in those jurisdictions.  This information will be used to detect current tax evasion and deter future tax evasion.  Perceptions of a fairer tax system can also generally be expected to enhance voluntary compliance domestically.  However, AEOI implementation will impose compliance costs on financial institutions.  </w:t>
      </w:r>
      <w:r w:rsidR="008C62EE" w:rsidRPr="00774A86">
        <w:t>Possible t</w:t>
      </w:r>
      <w:r w:rsidRPr="00774A86">
        <w:t xml:space="preserve">ransitional measures </w:t>
      </w:r>
      <w:r w:rsidR="008C62EE" w:rsidRPr="00774A86">
        <w:t xml:space="preserve">and mitigation of </w:t>
      </w:r>
      <w:r w:rsidRPr="00774A86">
        <w:t xml:space="preserve">compliance costs </w:t>
      </w:r>
      <w:r w:rsidR="008C62EE" w:rsidRPr="00774A86">
        <w:t>are</w:t>
      </w:r>
      <w:r w:rsidRPr="00774A86">
        <w:t xml:space="preserve"> therefore a critical part of our thinking, and we invite any suggestions in this regard.</w:t>
      </w:r>
    </w:p>
    <w:p w:rsidR="008C74C6" w:rsidRPr="00774A86" w:rsidRDefault="008C74C6" w:rsidP="008C74C6">
      <w:pPr>
        <w:pStyle w:val="Chapter1"/>
        <w:numPr>
          <w:ilvl w:val="0"/>
          <w:numId w:val="0"/>
        </w:numPr>
      </w:pPr>
    </w:p>
    <w:p w:rsidR="008C74C6" w:rsidRPr="00774A86" w:rsidRDefault="008C74C6" w:rsidP="008C74C6">
      <w:pPr>
        <w:pStyle w:val="Chapter1"/>
        <w:numPr>
          <w:ilvl w:val="0"/>
          <w:numId w:val="0"/>
        </w:numPr>
      </w:pPr>
    </w:p>
    <w:p w:rsidR="00857C8E" w:rsidRPr="00774A86" w:rsidRDefault="00857C8E" w:rsidP="00857C8E">
      <w:pPr>
        <w:pStyle w:val="Heading1"/>
      </w:pPr>
      <w:bookmarkStart w:id="24" w:name="_Toc443470070"/>
      <w:r w:rsidRPr="00774A86">
        <w:t>The C</w:t>
      </w:r>
      <w:r w:rsidR="00E65F33" w:rsidRPr="00774A86">
        <w:t xml:space="preserve">ommon </w:t>
      </w:r>
      <w:r w:rsidRPr="00774A86">
        <w:t>R</w:t>
      </w:r>
      <w:r w:rsidR="00E65F33" w:rsidRPr="00774A86">
        <w:t xml:space="preserve">eporting </w:t>
      </w:r>
      <w:r w:rsidRPr="00774A86">
        <w:t>S</w:t>
      </w:r>
      <w:r w:rsidR="00E65F33" w:rsidRPr="00774A86">
        <w:t>tandard</w:t>
      </w:r>
      <w:bookmarkEnd w:id="24"/>
    </w:p>
    <w:p w:rsidR="00543F5C" w:rsidRPr="00774A86" w:rsidRDefault="00543F5C" w:rsidP="00E335B9">
      <w:pPr>
        <w:pStyle w:val="Chapter1"/>
        <w:numPr>
          <w:ilvl w:val="0"/>
          <w:numId w:val="0"/>
        </w:numPr>
      </w:pPr>
    </w:p>
    <w:p w:rsidR="0037156C" w:rsidRPr="00774A86" w:rsidRDefault="00E65F33" w:rsidP="00016A08">
      <w:pPr>
        <w:pStyle w:val="Chapter1"/>
      </w:pPr>
      <w:r w:rsidRPr="00774A86">
        <w:t>T</w:t>
      </w:r>
      <w:r w:rsidR="0037156C" w:rsidRPr="00774A86">
        <w:t xml:space="preserve">he CRS </w:t>
      </w:r>
      <w:r w:rsidR="007D38EB" w:rsidRPr="00774A86">
        <w:t>contains</w:t>
      </w:r>
      <w:r w:rsidR="000E2A13" w:rsidRPr="00774A86">
        <w:t xml:space="preserve"> the following categories of</w:t>
      </w:r>
      <w:r w:rsidR="007D38EB" w:rsidRPr="00774A86">
        <w:t xml:space="preserve"> </w:t>
      </w:r>
      <w:r w:rsidR="00543F5C" w:rsidRPr="00774A86">
        <w:t>rules</w:t>
      </w:r>
      <w:r w:rsidR="0037156C" w:rsidRPr="00774A86">
        <w:t xml:space="preserve"> </w:t>
      </w:r>
      <w:r w:rsidR="007D38EB" w:rsidRPr="00774A86">
        <w:t xml:space="preserve">that </w:t>
      </w:r>
      <w:r w:rsidR="000E2A13" w:rsidRPr="00774A86">
        <w:t>must</w:t>
      </w:r>
      <w:r w:rsidR="007D38EB" w:rsidRPr="00774A86">
        <w:t xml:space="preserve"> be implemented domestically</w:t>
      </w:r>
      <w:r w:rsidR="0037156C" w:rsidRPr="00774A86">
        <w:t>:</w:t>
      </w:r>
    </w:p>
    <w:p w:rsidR="00543F5C" w:rsidRPr="00774A86" w:rsidRDefault="00543F5C" w:rsidP="00E335B9">
      <w:pPr>
        <w:pStyle w:val="Chapter1"/>
        <w:numPr>
          <w:ilvl w:val="0"/>
          <w:numId w:val="0"/>
        </w:numPr>
        <w:ind w:left="720"/>
      </w:pPr>
    </w:p>
    <w:p w:rsidR="002D5AB9" w:rsidRPr="00774A86" w:rsidRDefault="002D5AB9" w:rsidP="00CD6AB1">
      <w:pPr>
        <w:pStyle w:val="Bullets"/>
      </w:pPr>
      <w:r w:rsidRPr="00774A86">
        <w:rPr>
          <w:i/>
        </w:rPr>
        <w:t>Due diligence</w:t>
      </w:r>
      <w:r w:rsidR="00543F5C" w:rsidRPr="00774A86">
        <w:rPr>
          <w:i/>
        </w:rPr>
        <w:t>:</w:t>
      </w:r>
      <w:r w:rsidR="00543F5C" w:rsidRPr="00774A86">
        <w:t xml:space="preserve">  Rules for the conduct of due diligence by financial institutions on their </w:t>
      </w:r>
      <w:r w:rsidR="00C33D28" w:rsidRPr="00774A86">
        <w:t xml:space="preserve">accounts </w:t>
      </w:r>
      <w:r w:rsidR="00543F5C" w:rsidRPr="00774A86">
        <w:t xml:space="preserve">to identify </w:t>
      </w:r>
      <w:r w:rsidR="00EE5866" w:rsidRPr="00774A86">
        <w:t>reportable accounts</w:t>
      </w:r>
      <w:r w:rsidR="00C33D28" w:rsidRPr="00774A86">
        <w:t xml:space="preserve"> and </w:t>
      </w:r>
      <w:r w:rsidR="00EE5866" w:rsidRPr="00774A86">
        <w:t>undocumented accounts</w:t>
      </w:r>
      <w:r w:rsidRPr="00774A86">
        <w:t>.</w:t>
      </w:r>
    </w:p>
    <w:p w:rsidR="00543F5C" w:rsidRPr="00774A86" w:rsidRDefault="002D5AB9" w:rsidP="00CD6AB1">
      <w:pPr>
        <w:pStyle w:val="Bullets"/>
      </w:pPr>
      <w:r w:rsidRPr="00774A86">
        <w:rPr>
          <w:i/>
        </w:rPr>
        <w:t xml:space="preserve">Collection of information:  </w:t>
      </w:r>
      <w:r w:rsidRPr="00774A86">
        <w:t>Rules for</w:t>
      </w:r>
      <w:r w:rsidR="00543F5C" w:rsidRPr="00774A86">
        <w:t xml:space="preserve"> </w:t>
      </w:r>
      <w:r w:rsidR="00F1455B" w:rsidRPr="00774A86">
        <w:t xml:space="preserve">the collection of details of financial assets and income in relation to any </w:t>
      </w:r>
      <w:r w:rsidR="00EE5866" w:rsidRPr="00774A86">
        <w:t>reportable accounts</w:t>
      </w:r>
      <w:r w:rsidR="00F1455B" w:rsidRPr="00774A86">
        <w:t xml:space="preserve"> that are identified</w:t>
      </w:r>
      <w:r w:rsidR="00543F5C" w:rsidRPr="00774A86">
        <w:t>.</w:t>
      </w:r>
    </w:p>
    <w:p w:rsidR="00543F5C" w:rsidRPr="00774A86" w:rsidRDefault="00543F5C" w:rsidP="00CD6AB1">
      <w:pPr>
        <w:pStyle w:val="Bullets"/>
        <w:spacing w:after="0"/>
      </w:pPr>
      <w:r w:rsidRPr="00774A86">
        <w:rPr>
          <w:i/>
        </w:rPr>
        <w:t>Reporting of information:</w:t>
      </w:r>
      <w:r w:rsidRPr="00774A86">
        <w:t xml:space="preserve">  Rules for reporting information </w:t>
      </w:r>
      <w:r w:rsidR="00F1455B" w:rsidRPr="00774A86">
        <w:t xml:space="preserve">on </w:t>
      </w:r>
      <w:r w:rsidR="00EE5866" w:rsidRPr="00774A86">
        <w:t>reportable accounts</w:t>
      </w:r>
      <w:r w:rsidR="00F1455B" w:rsidRPr="00774A86">
        <w:t xml:space="preserve"> and </w:t>
      </w:r>
      <w:r w:rsidR="00EE5866" w:rsidRPr="00774A86">
        <w:t>undocumented accounts</w:t>
      </w:r>
      <w:r w:rsidR="00B800A2" w:rsidRPr="00774A86">
        <w:t xml:space="preserve"> </w:t>
      </w:r>
      <w:r w:rsidRPr="00774A86">
        <w:t>to the tax administration in the jurisdiction in which the</w:t>
      </w:r>
      <w:r w:rsidR="00F1455B" w:rsidRPr="00774A86">
        <w:t xml:space="preserve"> financial institution</w:t>
      </w:r>
      <w:r w:rsidRPr="00774A86">
        <w:t xml:space="preserve"> </w:t>
      </w:r>
      <w:r w:rsidR="00F1455B" w:rsidRPr="00774A86">
        <w:t xml:space="preserve">is </w:t>
      </w:r>
      <w:r w:rsidRPr="00774A86">
        <w:t>located (that is, for New Zealand financial institutions, to Inland Revenue).</w:t>
      </w:r>
    </w:p>
    <w:p w:rsidR="0037156C" w:rsidRPr="00774A86" w:rsidRDefault="0037156C" w:rsidP="00E335B9">
      <w:pPr>
        <w:pStyle w:val="Chapter1"/>
        <w:numPr>
          <w:ilvl w:val="0"/>
          <w:numId w:val="0"/>
        </w:numPr>
      </w:pPr>
    </w:p>
    <w:p w:rsidR="00F1455B" w:rsidRPr="00774A86" w:rsidRDefault="008D3771" w:rsidP="00016A08">
      <w:pPr>
        <w:pStyle w:val="Chapter1"/>
      </w:pPr>
      <w:r w:rsidRPr="00774A86">
        <w:t xml:space="preserve">The CRS </w:t>
      </w:r>
      <w:r w:rsidR="000E2A13" w:rsidRPr="00774A86">
        <w:t xml:space="preserve">also </w:t>
      </w:r>
      <w:r w:rsidRPr="00774A86">
        <w:t>include</w:t>
      </w:r>
      <w:r w:rsidR="0098492D" w:rsidRPr="00774A86">
        <w:t>s</w:t>
      </w:r>
      <w:r w:rsidRPr="00774A86">
        <w:t xml:space="preserve"> important ancillary</w:t>
      </w:r>
      <w:r w:rsidR="00543F5C" w:rsidRPr="00774A86">
        <w:t xml:space="preserve"> requirement</w:t>
      </w:r>
      <w:r w:rsidRPr="00774A86">
        <w:t xml:space="preserve">s. </w:t>
      </w:r>
      <w:r w:rsidR="00543F5C" w:rsidRPr="00774A86">
        <w:t xml:space="preserve"> </w:t>
      </w:r>
      <w:r w:rsidRPr="00774A86">
        <w:t>In particular</w:t>
      </w:r>
      <w:r w:rsidR="00F1455B" w:rsidRPr="00774A86">
        <w:t>:</w:t>
      </w:r>
    </w:p>
    <w:p w:rsidR="00F1455B" w:rsidRPr="00774A86" w:rsidRDefault="00F1455B" w:rsidP="0089225B">
      <w:pPr>
        <w:pStyle w:val="Chapter1"/>
        <w:numPr>
          <w:ilvl w:val="0"/>
          <w:numId w:val="0"/>
        </w:numPr>
      </w:pPr>
    </w:p>
    <w:p w:rsidR="0037156C" w:rsidRPr="00774A86" w:rsidRDefault="003364DC" w:rsidP="00473EF4">
      <w:pPr>
        <w:pStyle w:val="Bullets"/>
      </w:pPr>
      <w:r w:rsidRPr="00774A86">
        <w:t>i</w:t>
      </w:r>
      <w:r w:rsidR="008D3771" w:rsidRPr="00774A86">
        <w:t>t</w:t>
      </w:r>
      <w:r w:rsidR="0037156C" w:rsidRPr="00774A86">
        <w:t xml:space="preserve"> </w:t>
      </w:r>
      <w:r w:rsidR="00543F5C" w:rsidRPr="00774A86">
        <w:t xml:space="preserve">imposes an obligation on </w:t>
      </w:r>
      <w:r w:rsidR="0037156C" w:rsidRPr="00774A86">
        <w:t>financial institutions to look through certain passive entities</w:t>
      </w:r>
      <w:r w:rsidR="00C33D28" w:rsidRPr="00774A86">
        <w:rPr>
          <w:sz w:val="22"/>
          <w:szCs w:val="22"/>
          <w:vertAlign w:val="superscript"/>
        </w:rPr>
        <w:footnoteReference w:id="8"/>
      </w:r>
      <w:r w:rsidR="0037156C" w:rsidRPr="00774A86">
        <w:t xml:space="preserve"> and report on </w:t>
      </w:r>
      <w:r w:rsidR="00EE5866" w:rsidRPr="00774A86">
        <w:t>c</w:t>
      </w:r>
      <w:r w:rsidR="00F1455B" w:rsidRPr="00774A86">
        <w:t xml:space="preserve">ontrolling </w:t>
      </w:r>
      <w:r w:rsidR="00EE5866" w:rsidRPr="00774A86">
        <w:t>p</w:t>
      </w:r>
      <w:r w:rsidR="00F1455B" w:rsidRPr="00774A86">
        <w:t>ersons</w:t>
      </w:r>
      <w:r w:rsidR="00F1455B" w:rsidRPr="00774A86">
        <w:rPr>
          <w:rStyle w:val="FootnoteReference"/>
          <w:sz w:val="22"/>
          <w:szCs w:val="22"/>
        </w:rPr>
        <w:footnoteReference w:id="9"/>
      </w:r>
      <w:r w:rsidR="00F1455B" w:rsidRPr="00774A86">
        <w:t xml:space="preserve"> </w:t>
      </w:r>
      <w:r w:rsidR="00C33D28" w:rsidRPr="00774A86">
        <w:t xml:space="preserve">who are from </w:t>
      </w:r>
      <w:r w:rsidR="00EE5866" w:rsidRPr="00774A86">
        <w:t>reportable jurisdiction</w:t>
      </w:r>
      <w:r w:rsidR="00C33D28" w:rsidRPr="00774A86">
        <w:t>s</w:t>
      </w:r>
      <w:r w:rsidR="00CB3324" w:rsidRPr="00774A86">
        <w:t>;</w:t>
      </w:r>
      <w:r w:rsidR="00F1455B" w:rsidRPr="00774A86">
        <w:rPr>
          <w:rStyle w:val="FootnoteReference"/>
          <w:sz w:val="22"/>
          <w:szCs w:val="22"/>
        </w:rPr>
        <w:footnoteReference w:id="10"/>
      </w:r>
      <w:r w:rsidR="005B5D85" w:rsidRPr="00774A86">
        <w:t xml:space="preserve"> and</w:t>
      </w:r>
    </w:p>
    <w:p w:rsidR="0037156C" w:rsidRPr="00774A86" w:rsidRDefault="003364DC" w:rsidP="00473EF4">
      <w:pPr>
        <w:pStyle w:val="Bullets"/>
        <w:spacing w:after="0"/>
      </w:pPr>
      <w:proofErr w:type="gramStart"/>
      <w:r w:rsidRPr="00774A86">
        <w:lastRenderedPageBreak/>
        <w:t>i</w:t>
      </w:r>
      <w:r w:rsidR="00007ACD" w:rsidRPr="00774A86">
        <w:t>t</w:t>
      </w:r>
      <w:proofErr w:type="gramEnd"/>
      <w:r w:rsidR="00007ACD" w:rsidRPr="00774A86">
        <w:t xml:space="preserve"> </w:t>
      </w:r>
      <w:r w:rsidR="00543F5C" w:rsidRPr="00774A86">
        <w:t xml:space="preserve">requires each implementing jurisdiction to introduce </w:t>
      </w:r>
      <w:r w:rsidR="00007ACD" w:rsidRPr="00774A86">
        <w:t xml:space="preserve">a </w:t>
      </w:r>
      <w:r w:rsidR="00543F5C" w:rsidRPr="00774A86">
        <w:t>domestic compliance regime.</w:t>
      </w:r>
      <w:r w:rsidR="00007ACD" w:rsidRPr="00774A86">
        <w:rPr>
          <w:rStyle w:val="FootnoteReference"/>
          <w:sz w:val="22"/>
          <w:szCs w:val="22"/>
        </w:rPr>
        <w:footnoteReference w:id="11"/>
      </w:r>
    </w:p>
    <w:p w:rsidR="00A235D0" w:rsidRDefault="00A235D0" w:rsidP="00A235D0">
      <w:pPr>
        <w:pStyle w:val="Chapter1"/>
        <w:numPr>
          <w:ilvl w:val="0"/>
          <w:numId w:val="0"/>
        </w:numPr>
      </w:pPr>
      <w:bookmarkStart w:id="25" w:name="_Toc443470071"/>
    </w:p>
    <w:p w:rsidR="00A235D0" w:rsidRDefault="00A235D0" w:rsidP="00A235D0">
      <w:pPr>
        <w:pStyle w:val="Chapter1"/>
        <w:numPr>
          <w:ilvl w:val="0"/>
          <w:numId w:val="0"/>
        </w:numPr>
      </w:pPr>
    </w:p>
    <w:p w:rsidR="00D67F13" w:rsidRPr="00774A86" w:rsidRDefault="00D67F13" w:rsidP="00556556">
      <w:pPr>
        <w:pStyle w:val="Heading1"/>
      </w:pPr>
      <w:r w:rsidRPr="00774A86">
        <w:t>The legal basis for exchange</w:t>
      </w:r>
      <w:bookmarkEnd w:id="25"/>
    </w:p>
    <w:p w:rsidR="00D67F13" w:rsidRPr="00774A86" w:rsidRDefault="00D67F13" w:rsidP="00D67F13">
      <w:pPr>
        <w:pStyle w:val="Chapter1"/>
        <w:numPr>
          <w:ilvl w:val="0"/>
          <w:numId w:val="0"/>
        </w:numPr>
      </w:pPr>
    </w:p>
    <w:p w:rsidR="00D67F13" w:rsidRPr="00774A86" w:rsidRDefault="00D67F13" w:rsidP="00016A08">
      <w:pPr>
        <w:pStyle w:val="Chapter1"/>
      </w:pPr>
      <w:r w:rsidRPr="00774A86">
        <w:t xml:space="preserve">Because of historical international and legal principles that otherwise impose barriers to countries assisting each other in enforcing their tax laws, forms of tax cooperation between jurisdictions such as exchange of information generally </w:t>
      </w:r>
      <w:r w:rsidR="000E2A13" w:rsidRPr="00774A86">
        <w:t>are typically</w:t>
      </w:r>
      <w:r w:rsidRPr="00774A86">
        <w:t xml:space="preserve"> conducted </w:t>
      </w:r>
      <w:r w:rsidR="000E2A13" w:rsidRPr="00774A86">
        <w:t>under</w:t>
      </w:r>
      <w:r w:rsidRPr="00774A86">
        <w:t xml:space="preserve"> tax treaties.  Although bilateral tax treaties such as double tax agreements (or DTAs) and tax information exchange agreements (or TIEAs) can be used for this purpose, the joint OECD/Council of Europe </w:t>
      </w:r>
      <w:r w:rsidRPr="00774A86">
        <w:rPr>
          <w:i/>
        </w:rPr>
        <w:t xml:space="preserve">Multilateral Convention on Mutual </w:t>
      </w:r>
      <w:r w:rsidR="00CB3324" w:rsidRPr="00774A86">
        <w:rPr>
          <w:i/>
        </w:rPr>
        <w:t xml:space="preserve">Administrative </w:t>
      </w:r>
      <w:r w:rsidRPr="00774A86">
        <w:rPr>
          <w:i/>
        </w:rPr>
        <w:t>Assistance in Tax Matters</w:t>
      </w:r>
      <w:r w:rsidRPr="00774A86">
        <w:t xml:space="preserve"> (the Multilateral Convention) has emerged internationally as the preeminent international instrument for tax cooperation generally.</w:t>
      </w:r>
      <w:r w:rsidRPr="00774A86">
        <w:rPr>
          <w:rStyle w:val="FootnoteReference"/>
          <w:sz w:val="22"/>
          <w:szCs w:val="22"/>
        </w:rPr>
        <w:footnoteReference w:id="12"/>
      </w:r>
      <w:r w:rsidRPr="00774A86">
        <w:t xml:space="preserve">  The Multilateral Convention has now been signed by over 100 jurisdictions.  New Zealand signed the Multilateral Convention on 26</w:t>
      </w:r>
      <w:r w:rsidR="005A086F" w:rsidRPr="00774A86">
        <w:t> </w:t>
      </w:r>
      <w:r w:rsidRPr="00774A86">
        <w:t>October 2012.</w:t>
      </w:r>
    </w:p>
    <w:p w:rsidR="00D67F13" w:rsidRPr="00774A86" w:rsidRDefault="00D67F13" w:rsidP="00016A08">
      <w:pPr>
        <w:pStyle w:val="Chapter1"/>
        <w:numPr>
          <w:ilvl w:val="0"/>
          <w:numId w:val="0"/>
        </w:numPr>
        <w:ind w:left="851" w:hanging="851"/>
      </w:pPr>
    </w:p>
    <w:p w:rsidR="00D67F13" w:rsidRPr="00774A86" w:rsidRDefault="00D67F13" w:rsidP="00016A08">
      <w:pPr>
        <w:pStyle w:val="Chapter1"/>
      </w:pPr>
      <w:r w:rsidRPr="00774A86">
        <w:t xml:space="preserve">It is anticipated that the majority of AEOI exchanges will take place under Article 6 of the Multilateral Convention.  (Note that AEOI exchanges under the Multilateral Convention will generally apply solely between two of the parties.  That is, on a bilateral basis.)  Article 6 refers to automatic exchange </w:t>
      </w:r>
      <w:r w:rsidR="0030367F" w:rsidRPr="00774A86">
        <w:t>“</w:t>
      </w:r>
      <w:r w:rsidRPr="00774A86">
        <w:t>in accordance with procedures which shall be determined by mutual agreement</w:t>
      </w:r>
      <w:r w:rsidR="0030367F" w:rsidRPr="00774A86">
        <w:t>”</w:t>
      </w:r>
      <w:r w:rsidRPr="00774A86">
        <w:t>.  To give effect to this requirement for mutually agreed procedures, a Multilateral Competent Authority Agreement (or MCAA) has been developed internationally</w:t>
      </w:r>
      <w:r w:rsidR="005E7521" w:rsidRPr="00774A86">
        <w:t>,</w:t>
      </w:r>
      <w:r w:rsidR="000E2A13" w:rsidRPr="00774A86">
        <w:rPr>
          <w:sz w:val="22"/>
          <w:szCs w:val="22"/>
          <w:vertAlign w:val="superscript"/>
        </w:rPr>
        <w:footnoteReference w:id="13"/>
      </w:r>
      <w:r w:rsidR="005E7521" w:rsidRPr="00774A86">
        <w:t xml:space="preserve"> based on the multilateral CAA provided in the AEOI Publication</w:t>
      </w:r>
      <w:r w:rsidRPr="00774A86">
        <w:t>.</w:t>
      </w:r>
    </w:p>
    <w:p w:rsidR="00D67F13" w:rsidRPr="00774A86" w:rsidRDefault="00D67F13" w:rsidP="00D67F13">
      <w:pPr>
        <w:pStyle w:val="Chapter1"/>
        <w:numPr>
          <w:ilvl w:val="0"/>
          <w:numId w:val="0"/>
        </w:numPr>
      </w:pPr>
    </w:p>
    <w:p w:rsidR="00D67F13" w:rsidRPr="00774A86" w:rsidRDefault="00D67F13" w:rsidP="00016A08">
      <w:pPr>
        <w:pStyle w:val="Chapter1"/>
      </w:pPr>
      <w:r w:rsidRPr="00774A86">
        <w:t xml:space="preserve">AEOI exchanges can potentially also be made under bilateral DTAs.  The majority of New Zealand’s DTA partners are also signatories to the Multilateral Convention, so for New Zealand the question of whether AEOI exchanges should be made under </w:t>
      </w:r>
      <w:r w:rsidR="000E2A13" w:rsidRPr="00774A86">
        <w:t xml:space="preserve">any of our </w:t>
      </w:r>
      <w:r w:rsidRPr="00774A86">
        <w:t>DTAs currently only applies in the case of 15 of our DTAs with jurisdictions that are not parties to the Multilateral Convention.</w:t>
      </w:r>
      <w:r w:rsidRPr="00774A86">
        <w:rPr>
          <w:rStyle w:val="FootnoteReference"/>
          <w:sz w:val="22"/>
          <w:szCs w:val="22"/>
        </w:rPr>
        <w:footnoteReference w:id="14"/>
      </w:r>
      <w:r w:rsidRPr="00774A86">
        <w:t xml:space="preserve">  However, resolving this question is not currently seen as a priority, especially as some of the 15 jurisdictions concerned may yet sign the Multilateral Convention.</w:t>
      </w:r>
    </w:p>
    <w:p w:rsidR="00D67F13" w:rsidRPr="00774A86" w:rsidRDefault="00D67F13" w:rsidP="00016A08">
      <w:pPr>
        <w:pStyle w:val="Chapter1"/>
        <w:numPr>
          <w:ilvl w:val="0"/>
          <w:numId w:val="0"/>
        </w:numPr>
        <w:ind w:left="851" w:hanging="851"/>
      </w:pPr>
    </w:p>
    <w:p w:rsidR="00A235D0" w:rsidRPr="00A235D0" w:rsidRDefault="00D67F13" w:rsidP="00A235D0">
      <w:pPr>
        <w:pStyle w:val="Chapter1"/>
      </w:pPr>
      <w:r w:rsidRPr="00774A86">
        <w:t xml:space="preserve">New Zealand only has </w:t>
      </w:r>
      <w:r w:rsidR="00CB7BA4">
        <w:t>three</w:t>
      </w:r>
      <w:r w:rsidRPr="00774A86">
        <w:t xml:space="preserve"> bilateral TIEAs in force with jurisdictions that have not signed the Multilateral Convention.  At present, TIEAs only provide for exchange of information on request, and automatic exchanges such as AEOI are not contemplated.  However, in recognition of the </w:t>
      </w:r>
      <w:r w:rsidR="000E2A13" w:rsidRPr="00774A86">
        <w:t>fact that</w:t>
      </w:r>
      <w:r w:rsidRPr="00774A86">
        <w:t xml:space="preserve"> TIEAs </w:t>
      </w:r>
      <w:r w:rsidR="000E2A13" w:rsidRPr="00774A86">
        <w:t>do not authorise</w:t>
      </w:r>
      <w:r w:rsidRPr="00774A86">
        <w:t xml:space="preserve"> AEOI, the OECD has developed a mechanism for amending TIEAs to allow them to be extended to automatic exchanges.  Again, New Zealand does not see amending our TIEAs as a current priority, as </w:t>
      </w:r>
      <w:r w:rsidR="000E2A13" w:rsidRPr="00774A86">
        <w:t xml:space="preserve">all of </w:t>
      </w:r>
      <w:r w:rsidRPr="00774A86">
        <w:t>our TIEA partners may yet sign the Multilateral Convention.</w:t>
      </w:r>
      <w:bookmarkStart w:id="26" w:name="_Toc443470072"/>
      <w:r w:rsidR="00A235D0">
        <w:br w:type="page"/>
      </w:r>
    </w:p>
    <w:p w:rsidR="00C2109B" w:rsidRPr="00774A86" w:rsidRDefault="00313F7C" w:rsidP="00C2109B">
      <w:pPr>
        <w:pStyle w:val="Heading1"/>
      </w:pPr>
      <w:r w:rsidRPr="00774A86">
        <w:lastRenderedPageBreak/>
        <w:t>Data confidentiality and safeguards</w:t>
      </w:r>
      <w:bookmarkEnd w:id="26"/>
    </w:p>
    <w:p w:rsidR="00C2109B" w:rsidRPr="00774A86" w:rsidRDefault="00C2109B" w:rsidP="00C2109B">
      <w:pPr>
        <w:pStyle w:val="Chapter1"/>
        <w:numPr>
          <w:ilvl w:val="0"/>
          <w:numId w:val="0"/>
        </w:numPr>
      </w:pPr>
    </w:p>
    <w:p w:rsidR="00D67F13" w:rsidRPr="00774A86" w:rsidRDefault="00D67F13" w:rsidP="00016A08">
      <w:pPr>
        <w:pStyle w:val="Chapter1"/>
      </w:pPr>
      <w:r w:rsidRPr="00774A86">
        <w:t>AEOI will involve the reporting and exchange of sensitive personal and financial information.  Understandably, taxpayers and other stakeholders are likely to be concerned about any potential risks to privacy from the reporting and exchange of their financial information, and in particular, that the information reported to Inland Revenue and exchanged with other jurisdictions is subject to high standards of confidentiality and data protection.  Addressing these concerns is essential if support for the initiative is to be maintained.</w:t>
      </w:r>
    </w:p>
    <w:p w:rsidR="00D67F13" w:rsidRPr="00774A86" w:rsidRDefault="00D67F13" w:rsidP="00016A08">
      <w:pPr>
        <w:pStyle w:val="Chapter1"/>
        <w:numPr>
          <w:ilvl w:val="0"/>
          <w:numId w:val="0"/>
        </w:numPr>
        <w:ind w:left="851" w:hanging="851"/>
      </w:pPr>
    </w:p>
    <w:p w:rsidR="00D67F13" w:rsidRPr="00774A86" w:rsidRDefault="00D67F13" w:rsidP="00016A08">
      <w:pPr>
        <w:pStyle w:val="Chapter1"/>
      </w:pPr>
      <w:r w:rsidRPr="00774A86">
        <w:t>Domestically, that will require a clear legislative framework to govern the collection and exchange of the relevant personal and financial information, including the limits on the permissible use of that information.</w:t>
      </w:r>
      <w:r w:rsidR="000E2A13" w:rsidRPr="00774A86">
        <w:t xml:space="preserve">  Officials consider that </w:t>
      </w:r>
      <w:r w:rsidR="00D67131" w:rsidRPr="00774A86">
        <w:t>the secrecy rules under which Inland Revenue currently operates (primarily set out at section 81 of the Tax Administration Act 1994) are adequate for this purpose.</w:t>
      </w:r>
    </w:p>
    <w:p w:rsidR="00D67F13" w:rsidRPr="00774A86" w:rsidRDefault="00D67F13" w:rsidP="00016A08">
      <w:pPr>
        <w:pStyle w:val="Chapter1"/>
        <w:numPr>
          <w:ilvl w:val="0"/>
          <w:numId w:val="0"/>
        </w:numPr>
        <w:ind w:left="851" w:hanging="851"/>
      </w:pPr>
    </w:p>
    <w:p w:rsidR="00C2109B" w:rsidRPr="00774A86" w:rsidRDefault="00D67F13" w:rsidP="00016A08">
      <w:pPr>
        <w:pStyle w:val="Chapter1"/>
      </w:pPr>
      <w:r w:rsidRPr="00774A86">
        <w:t>Internationally, that will require a high degree of confidence in the data protection arrangements in place in other participating jurisdictions.  To that end, the Global Forum will conduct peer reviews on data security and confidentiality arrangements (in addition to the general peer reviews referred to above).  The results of these confidentiality reviews will be available to implementing jurisdictions to help inform their decisions as to which countries they can safely exchange information with.  New Zealand can use these mechanisms to identify and (if necessary) restrict exchanges with jurisdictions</w:t>
      </w:r>
      <w:r w:rsidR="00960ED4" w:rsidRPr="00774A86">
        <w:t xml:space="preserve"> that do not comply with </w:t>
      </w:r>
      <w:r w:rsidR="00EB7F12" w:rsidRPr="00774A86">
        <w:t xml:space="preserve">the </w:t>
      </w:r>
      <w:r w:rsidR="00960ED4" w:rsidRPr="00774A86">
        <w:t>data security and confidentiality requirements.</w:t>
      </w:r>
    </w:p>
    <w:p w:rsidR="008C74C6" w:rsidRPr="00774A86" w:rsidRDefault="008C74C6" w:rsidP="008C74C6">
      <w:pPr>
        <w:pStyle w:val="Chapter1"/>
        <w:numPr>
          <w:ilvl w:val="0"/>
          <w:numId w:val="0"/>
        </w:numPr>
      </w:pPr>
    </w:p>
    <w:p w:rsidR="008C74C6" w:rsidRPr="00774A86" w:rsidRDefault="008C74C6" w:rsidP="008C74C6">
      <w:pPr>
        <w:pStyle w:val="Chapter1"/>
        <w:numPr>
          <w:ilvl w:val="0"/>
          <w:numId w:val="0"/>
        </w:numPr>
      </w:pPr>
    </w:p>
    <w:p w:rsidR="00F70C36" w:rsidRPr="00774A86" w:rsidRDefault="00F70C36" w:rsidP="00F70C36">
      <w:pPr>
        <w:pStyle w:val="Heading1"/>
      </w:pPr>
      <w:bookmarkStart w:id="27" w:name="_Toc443470073"/>
      <w:r w:rsidRPr="00774A86">
        <w:t>OECD documentation</w:t>
      </w:r>
      <w:bookmarkEnd w:id="27"/>
    </w:p>
    <w:p w:rsidR="00F70C36" w:rsidRPr="00774A86" w:rsidRDefault="00F70C36" w:rsidP="00F70C36">
      <w:pPr>
        <w:pStyle w:val="Chapter1"/>
        <w:numPr>
          <w:ilvl w:val="0"/>
          <w:numId w:val="0"/>
        </w:numPr>
      </w:pPr>
    </w:p>
    <w:p w:rsidR="00F70C36" w:rsidRPr="00774A86" w:rsidRDefault="00F70C36" w:rsidP="00016A08">
      <w:pPr>
        <w:pStyle w:val="Chapter1"/>
      </w:pPr>
      <w:r w:rsidRPr="00774A86">
        <w:t>In addition to the AEOI Publication, other important documentation relating to CRS implementation includes the following:</w:t>
      </w:r>
    </w:p>
    <w:p w:rsidR="00F70C36" w:rsidRPr="00774A86" w:rsidRDefault="00F70C36" w:rsidP="00F70C36">
      <w:pPr>
        <w:pStyle w:val="Chapter1"/>
        <w:numPr>
          <w:ilvl w:val="0"/>
          <w:numId w:val="0"/>
        </w:numPr>
        <w:ind w:left="720"/>
      </w:pPr>
    </w:p>
    <w:p w:rsidR="00F70C36" w:rsidRPr="00774A86" w:rsidRDefault="00F70C36" w:rsidP="00CF3461">
      <w:pPr>
        <w:pStyle w:val="Bullets"/>
        <w:jc w:val="left"/>
      </w:pPr>
      <w:r w:rsidRPr="00774A86">
        <w:t>The OECD’s Implementation Handbook published on 7 August 2015 (</w:t>
      </w:r>
      <w:r w:rsidR="001634BA">
        <w:t>s</w:t>
      </w:r>
      <w:r w:rsidRPr="00774A86">
        <w:t>ee http://www.oecd.org/tax/automatic-exchange)</w:t>
      </w:r>
      <w:r w:rsidR="001634BA">
        <w:t>.</w:t>
      </w:r>
    </w:p>
    <w:p w:rsidR="00F70C36" w:rsidRPr="00774A86" w:rsidRDefault="00F70C36" w:rsidP="00CF3461">
      <w:pPr>
        <w:pStyle w:val="Bullets"/>
        <w:jc w:val="left"/>
      </w:pPr>
      <w:r w:rsidRPr="00774A86">
        <w:t>The Multilateral Convention (</w:t>
      </w:r>
      <w:r w:rsidR="001634BA">
        <w:t>s</w:t>
      </w:r>
      <w:r w:rsidRPr="00774A86">
        <w:t>ee http://www.oecd.org/ctp/exchange-of-tax-information/conventiononmutualadministr</w:t>
      </w:r>
      <w:r w:rsidR="00CF3461" w:rsidRPr="00774A86">
        <w:t>ativeassistancein</w:t>
      </w:r>
      <w:r w:rsidR="00D64344" w:rsidRPr="00774A86">
        <w:br/>
      </w:r>
      <w:r w:rsidR="00CF3461" w:rsidRPr="00774A86">
        <w:t>taxmatters.htm</w:t>
      </w:r>
      <w:r w:rsidRPr="00774A86">
        <w:t>)</w:t>
      </w:r>
      <w:r w:rsidR="001634BA">
        <w:t>.</w:t>
      </w:r>
    </w:p>
    <w:p w:rsidR="00F70C36" w:rsidRPr="00774A86" w:rsidRDefault="00F70C36" w:rsidP="00CF3461">
      <w:pPr>
        <w:pStyle w:val="Bullets"/>
        <w:spacing w:after="0"/>
        <w:jc w:val="left"/>
      </w:pPr>
      <w:r w:rsidRPr="00774A86">
        <w:t>The MCAA (</w:t>
      </w:r>
      <w:r w:rsidR="001634BA">
        <w:t>s</w:t>
      </w:r>
      <w:r w:rsidRPr="00774A86">
        <w:t>ee http://www.oecd.org/tax/automatic-exchange/</w:t>
      </w:r>
      <w:r w:rsidR="00D64344" w:rsidRPr="00774A86">
        <w:br/>
      </w:r>
      <w:r w:rsidRPr="00774A86">
        <w:t>inte</w:t>
      </w:r>
      <w:r w:rsidR="00CF3461" w:rsidRPr="00774A86">
        <w:t>rnational-framework-for-the-</w:t>
      </w:r>
      <w:proofErr w:type="spellStart"/>
      <w:r w:rsidR="00CF3461" w:rsidRPr="00774A86">
        <w:t>crs</w:t>
      </w:r>
      <w:proofErr w:type="spellEnd"/>
      <w:r w:rsidRPr="00774A86">
        <w:t>)</w:t>
      </w:r>
      <w:r w:rsidR="001634BA">
        <w:t>.</w:t>
      </w:r>
    </w:p>
    <w:p w:rsidR="00F70C36" w:rsidRPr="00774A86" w:rsidRDefault="00F70C36" w:rsidP="00F70C36">
      <w:pPr>
        <w:pStyle w:val="Chapter1"/>
        <w:numPr>
          <w:ilvl w:val="0"/>
          <w:numId w:val="0"/>
        </w:numPr>
      </w:pPr>
    </w:p>
    <w:p w:rsidR="00F70C36" w:rsidRPr="00774A86" w:rsidRDefault="00F70C36" w:rsidP="001503F3">
      <w:pPr>
        <w:pStyle w:val="Chapter1"/>
      </w:pPr>
      <w:r w:rsidRPr="00774A86">
        <w:t xml:space="preserve">It is important that this issues paper is read in conjunction with </w:t>
      </w:r>
      <w:r w:rsidR="00850B96" w:rsidRPr="00774A86">
        <w:t xml:space="preserve">these </w:t>
      </w:r>
      <w:r w:rsidRPr="00774A86">
        <w:t xml:space="preserve">documents, as they contain technical detail </w:t>
      </w:r>
      <w:r w:rsidR="00B44155" w:rsidRPr="00774A86">
        <w:t>which cannot all be replicated in this paper</w:t>
      </w:r>
      <w:r w:rsidRPr="00774A86">
        <w:t>.</w:t>
      </w:r>
      <w:r w:rsidR="0068338D" w:rsidRPr="00774A86">
        <w:t xml:space="preserve"> </w:t>
      </w:r>
      <w:r w:rsidR="00850B96" w:rsidRPr="00774A86">
        <w:t xml:space="preserve"> </w:t>
      </w:r>
      <w:r w:rsidRPr="00774A86">
        <w:t xml:space="preserve">A </w:t>
      </w:r>
      <w:r w:rsidR="00F87FD6" w:rsidRPr="00774A86">
        <w:t>G</w:t>
      </w:r>
      <w:r w:rsidRPr="00774A86">
        <w:t>lossary is included at the end of this issues paper for general information.</w:t>
      </w:r>
      <w:r w:rsidR="00D67131" w:rsidRPr="00774A86">
        <w:t xml:space="preserve"> </w:t>
      </w:r>
      <w:r w:rsidRPr="00774A86">
        <w:t xml:space="preserve"> </w:t>
      </w:r>
      <w:r w:rsidR="00EB7F12" w:rsidRPr="00774A86">
        <w:t>The CRS due diligence procedures referred to in this issues paper are also elaborated upon in the Appendix.</w:t>
      </w:r>
      <w:r w:rsidR="008624ED" w:rsidRPr="00774A86">
        <w:t xml:space="preserve"> </w:t>
      </w:r>
      <w:r w:rsidR="00D67131" w:rsidRPr="00774A86">
        <w:t xml:space="preserve"> </w:t>
      </w:r>
      <w:r w:rsidRPr="00774A86">
        <w:t xml:space="preserve">Any inconsistencies between this issues paper on the one hand, and the CRS, its Commentaries, the </w:t>
      </w:r>
      <w:r w:rsidR="00D67131" w:rsidRPr="00774A86">
        <w:t xml:space="preserve">Implementation </w:t>
      </w:r>
      <w:r w:rsidRPr="00774A86">
        <w:t>Handbook, or any other OECD documentation on the other hand, are inadvertent</w:t>
      </w:r>
      <w:r w:rsidR="00850B96" w:rsidRPr="00774A86">
        <w:t xml:space="preserve">.  OECD documentation </w:t>
      </w:r>
      <w:r w:rsidRPr="00774A86">
        <w:t>should be treated as authoritative.</w:t>
      </w:r>
    </w:p>
    <w:p w:rsidR="00546249" w:rsidRPr="00774A86" w:rsidRDefault="00850B96" w:rsidP="00546249">
      <w:pPr>
        <w:pStyle w:val="Heading1"/>
      </w:pPr>
      <w:bookmarkStart w:id="28" w:name="_Toc443470074"/>
      <w:r w:rsidRPr="00774A86">
        <w:lastRenderedPageBreak/>
        <w:t>C</w:t>
      </w:r>
      <w:r w:rsidR="00546249" w:rsidRPr="00774A86">
        <w:t>onsultation questions</w:t>
      </w:r>
      <w:bookmarkEnd w:id="28"/>
    </w:p>
    <w:p w:rsidR="00546249" w:rsidRPr="00774A86" w:rsidRDefault="00546249" w:rsidP="00546249">
      <w:pPr>
        <w:pStyle w:val="Chapter1"/>
        <w:numPr>
          <w:ilvl w:val="0"/>
          <w:numId w:val="0"/>
        </w:numPr>
      </w:pPr>
    </w:p>
    <w:p w:rsidR="00546249" w:rsidRPr="00774A86" w:rsidRDefault="00850B96" w:rsidP="00016A08">
      <w:pPr>
        <w:pStyle w:val="Chapter1"/>
      </w:pPr>
      <w:r w:rsidRPr="00774A86">
        <w:t xml:space="preserve">To ensure global consistency, the CRS rules will be applied by participating jurisdictions as designed by the OECD.  </w:t>
      </w:r>
      <w:r w:rsidR="00546249" w:rsidRPr="00774A86">
        <w:t>(Indeed, the Global Forum will be conducting in-depth monitoring and peer reviews to ensure that jurisdictions implement the CRS correctly.)  However the CRS and its Commentaries provide flexibility and require implementation decisions on certain points.  This issues paper calls out these points</w:t>
      </w:r>
      <w:r w:rsidR="00381373" w:rsidRPr="00774A86">
        <w:t xml:space="preserve"> in </w:t>
      </w:r>
      <w:r w:rsidR="006E1E5C" w:rsidRPr="00774A86">
        <w:t>C</w:t>
      </w:r>
      <w:r w:rsidR="00381373" w:rsidRPr="00774A86">
        <w:t>hapter 5</w:t>
      </w:r>
      <w:r w:rsidR="00546249" w:rsidRPr="00774A86">
        <w:t>, and seeks your views.  We are particularly interested in understanding how (or if) exercise of any of the available optionality would assist in reducing compliance costs.</w:t>
      </w:r>
    </w:p>
    <w:p w:rsidR="00C97A70" w:rsidRPr="00774A86" w:rsidRDefault="00C97A70" w:rsidP="00016A08">
      <w:pPr>
        <w:pStyle w:val="Chapter1"/>
        <w:numPr>
          <w:ilvl w:val="0"/>
          <w:numId w:val="0"/>
        </w:numPr>
        <w:ind w:left="851" w:hanging="851"/>
      </w:pPr>
    </w:p>
    <w:p w:rsidR="0068338D" w:rsidRPr="00774A86" w:rsidRDefault="0068338D" w:rsidP="00016A08">
      <w:pPr>
        <w:pStyle w:val="Chapter1"/>
      </w:pPr>
      <w:r w:rsidRPr="00774A86">
        <w:t xml:space="preserve">Given that compliance costs of implementing by 1 July 2017 are likely to be high, officials have considered the possibility of transitional arrangements for financial institutions (within the confines of what is allowable under the CRS).  Such matters are dealt with in </w:t>
      </w:r>
      <w:r w:rsidR="006E1E5C" w:rsidRPr="00774A86">
        <w:t>C</w:t>
      </w:r>
      <w:r w:rsidRPr="00774A86">
        <w:t>hapters 2 through 4.</w:t>
      </w:r>
    </w:p>
    <w:p w:rsidR="00546249" w:rsidRPr="00774A86" w:rsidRDefault="00546249" w:rsidP="00016A08">
      <w:pPr>
        <w:pStyle w:val="Chapter1"/>
        <w:numPr>
          <w:ilvl w:val="0"/>
          <w:numId w:val="0"/>
        </w:numPr>
        <w:ind w:left="851" w:hanging="851"/>
      </w:pPr>
    </w:p>
    <w:p w:rsidR="00381373" w:rsidRPr="00774A86" w:rsidRDefault="00381373" w:rsidP="00016A08">
      <w:pPr>
        <w:pStyle w:val="Chapter1"/>
      </w:pPr>
      <w:r w:rsidRPr="00774A86">
        <w:t>Submissions on any other implementation issue are also welcome.</w:t>
      </w:r>
    </w:p>
    <w:p w:rsidR="008C74C6" w:rsidRPr="00774A86" w:rsidRDefault="008C74C6" w:rsidP="008C74C6">
      <w:pPr>
        <w:pStyle w:val="Chapter1"/>
        <w:numPr>
          <w:ilvl w:val="0"/>
          <w:numId w:val="0"/>
        </w:numPr>
      </w:pPr>
    </w:p>
    <w:p w:rsidR="008C74C6" w:rsidRPr="00774A86" w:rsidRDefault="008C74C6" w:rsidP="008C74C6">
      <w:pPr>
        <w:pStyle w:val="Chapter1"/>
        <w:numPr>
          <w:ilvl w:val="0"/>
          <w:numId w:val="0"/>
        </w:numPr>
      </w:pPr>
    </w:p>
    <w:p w:rsidR="009E5472" w:rsidRPr="00774A86" w:rsidRDefault="009E5472" w:rsidP="00E77050">
      <w:pPr>
        <w:pStyle w:val="Heading1"/>
      </w:pPr>
      <w:bookmarkStart w:id="29" w:name="_Toc443470075"/>
      <w:r w:rsidRPr="00774A86">
        <w:t>How to make a submission</w:t>
      </w:r>
      <w:bookmarkEnd w:id="29"/>
    </w:p>
    <w:p w:rsidR="009E5472" w:rsidRPr="00774A86" w:rsidRDefault="009E5472" w:rsidP="00E335B9">
      <w:pPr>
        <w:pStyle w:val="Chapter1"/>
        <w:numPr>
          <w:ilvl w:val="0"/>
          <w:numId w:val="0"/>
        </w:numPr>
      </w:pPr>
    </w:p>
    <w:p w:rsidR="006E1E5C" w:rsidRPr="00774A86" w:rsidRDefault="00FE01CD" w:rsidP="00016A08">
      <w:pPr>
        <w:pStyle w:val="Chapter1"/>
      </w:pPr>
      <w:r w:rsidRPr="00774A86">
        <w:t>Officials invite submissions on the suggested changes and points raised in this issues paper</w:t>
      </w:r>
      <w:r w:rsidR="0030367F" w:rsidRPr="00774A86">
        <w:t>.</w:t>
      </w:r>
    </w:p>
    <w:p w:rsidR="00CF3461" w:rsidRPr="00774A86" w:rsidRDefault="00CF3461" w:rsidP="00CF3461">
      <w:pPr>
        <w:pStyle w:val="Chapter1"/>
        <w:numPr>
          <w:ilvl w:val="0"/>
          <w:numId w:val="0"/>
        </w:numPr>
        <w:ind w:left="851"/>
      </w:pPr>
    </w:p>
    <w:p w:rsidR="00D64344" w:rsidRPr="00774A86" w:rsidRDefault="0030367F" w:rsidP="00016A08">
      <w:pPr>
        <w:pStyle w:val="Chapter1"/>
        <w:numPr>
          <w:ilvl w:val="0"/>
          <w:numId w:val="0"/>
        </w:numPr>
        <w:ind w:left="851"/>
      </w:pPr>
      <w:r w:rsidRPr="00774A86">
        <w:t>S</w:t>
      </w:r>
      <w:r w:rsidR="00FE01CD" w:rsidRPr="00774A86">
        <w:t>ub</w:t>
      </w:r>
      <w:r w:rsidR="00CF3461" w:rsidRPr="00774A86">
        <w:t xml:space="preserve">missions should be sent to </w:t>
      </w:r>
      <w:r w:rsidR="00C97A70" w:rsidRPr="00774A86">
        <w:t>policy.webmaster@ird.govt.nz with “Common Reporting Standard” in the subject line.</w:t>
      </w:r>
    </w:p>
    <w:p w:rsidR="00D64344" w:rsidRPr="00774A86" w:rsidRDefault="00D64344" w:rsidP="00016A08">
      <w:pPr>
        <w:pStyle w:val="Chapter1"/>
        <w:numPr>
          <w:ilvl w:val="0"/>
          <w:numId w:val="0"/>
        </w:numPr>
        <w:ind w:left="851"/>
      </w:pPr>
    </w:p>
    <w:p w:rsidR="00C97A70" w:rsidRPr="00774A86" w:rsidRDefault="00CF3461" w:rsidP="0051122F">
      <w:pPr>
        <w:pStyle w:val="Chapter1"/>
        <w:numPr>
          <w:ilvl w:val="0"/>
          <w:numId w:val="0"/>
        </w:numPr>
        <w:ind w:left="851"/>
      </w:pPr>
      <w:r w:rsidRPr="00774A86">
        <w:t>Submissions can also be sent to:</w:t>
      </w:r>
    </w:p>
    <w:p w:rsidR="0051122F" w:rsidRPr="00774A86" w:rsidRDefault="0051122F" w:rsidP="0051122F">
      <w:pPr>
        <w:pStyle w:val="Chapter1"/>
        <w:numPr>
          <w:ilvl w:val="0"/>
          <w:numId w:val="0"/>
        </w:numPr>
        <w:ind w:left="851"/>
      </w:pPr>
    </w:p>
    <w:p w:rsidR="00C97A70" w:rsidRPr="00774A86" w:rsidRDefault="00C97A70" w:rsidP="00016A08">
      <w:pPr>
        <w:pStyle w:val="Chapter1"/>
        <w:numPr>
          <w:ilvl w:val="0"/>
          <w:numId w:val="0"/>
        </w:numPr>
        <w:ind w:left="851"/>
      </w:pPr>
      <w:r w:rsidRPr="00774A86">
        <w:t>Common Reporting Standard</w:t>
      </w:r>
    </w:p>
    <w:p w:rsidR="00C97A70" w:rsidRPr="00774A86" w:rsidRDefault="00C97A70" w:rsidP="00016A08">
      <w:pPr>
        <w:pStyle w:val="Chapter1"/>
        <w:numPr>
          <w:ilvl w:val="0"/>
          <w:numId w:val="0"/>
        </w:numPr>
        <w:ind w:left="851"/>
      </w:pPr>
      <w:r w:rsidRPr="00774A86">
        <w:t>C/- Deputy Commissioner, Policy and Strategy</w:t>
      </w:r>
    </w:p>
    <w:p w:rsidR="00C97A70" w:rsidRPr="00774A86" w:rsidRDefault="00C97A70" w:rsidP="00016A08">
      <w:pPr>
        <w:pStyle w:val="Chapter1"/>
        <w:numPr>
          <w:ilvl w:val="0"/>
          <w:numId w:val="0"/>
        </w:numPr>
        <w:ind w:left="851"/>
      </w:pPr>
      <w:r w:rsidRPr="00774A86">
        <w:t>Inland Revenue Department</w:t>
      </w:r>
    </w:p>
    <w:p w:rsidR="00C97A70" w:rsidRPr="00774A86" w:rsidRDefault="00C97A70" w:rsidP="00016A08">
      <w:pPr>
        <w:pStyle w:val="Chapter1"/>
        <w:numPr>
          <w:ilvl w:val="0"/>
          <w:numId w:val="0"/>
        </w:numPr>
        <w:ind w:left="851"/>
      </w:pPr>
      <w:r w:rsidRPr="00774A86">
        <w:t>PO Box 2198</w:t>
      </w:r>
    </w:p>
    <w:p w:rsidR="00C97A70" w:rsidRPr="00774A86" w:rsidRDefault="00C97A70" w:rsidP="00B243C8">
      <w:pPr>
        <w:pStyle w:val="Chapter1"/>
        <w:numPr>
          <w:ilvl w:val="0"/>
          <w:numId w:val="0"/>
        </w:numPr>
        <w:ind w:left="851"/>
      </w:pPr>
      <w:r w:rsidRPr="00774A86">
        <w:t>Wellington 6140</w:t>
      </w:r>
    </w:p>
    <w:p w:rsidR="006E1E5C" w:rsidRPr="00774A86" w:rsidRDefault="006E1E5C" w:rsidP="006E1E5C">
      <w:pPr>
        <w:pStyle w:val="Chapter1"/>
        <w:numPr>
          <w:ilvl w:val="0"/>
          <w:numId w:val="0"/>
        </w:numPr>
        <w:ind w:left="851"/>
      </w:pPr>
    </w:p>
    <w:p w:rsidR="006E1E5C" w:rsidRPr="00774A86" w:rsidRDefault="006E1E5C" w:rsidP="006E1E5C">
      <w:pPr>
        <w:pStyle w:val="Chapter1"/>
        <w:numPr>
          <w:ilvl w:val="0"/>
          <w:numId w:val="0"/>
        </w:numPr>
        <w:ind w:left="851"/>
      </w:pPr>
      <w:r w:rsidRPr="00774A86">
        <w:t xml:space="preserve">The closing date for submissions is </w:t>
      </w:r>
      <w:r w:rsidRPr="00774A86">
        <w:rPr>
          <w:b/>
        </w:rPr>
        <w:t>31 March 2016</w:t>
      </w:r>
      <w:r w:rsidRPr="00774A86">
        <w:t>.</w:t>
      </w:r>
    </w:p>
    <w:p w:rsidR="00FE01CD" w:rsidRPr="00774A86" w:rsidRDefault="00FE01CD" w:rsidP="00E335B9">
      <w:pPr>
        <w:pStyle w:val="Chapter1"/>
        <w:numPr>
          <w:ilvl w:val="0"/>
          <w:numId w:val="0"/>
        </w:numPr>
      </w:pPr>
    </w:p>
    <w:p w:rsidR="00FE01CD" w:rsidRPr="00774A86" w:rsidRDefault="00FE01CD" w:rsidP="00016A08">
      <w:pPr>
        <w:pStyle w:val="Chapter1"/>
      </w:pPr>
      <w:r w:rsidRPr="00774A86">
        <w:t xml:space="preserve">Submissions should include a brief summary of major points and recommendations. </w:t>
      </w:r>
      <w:r w:rsidR="009641FA" w:rsidRPr="00774A86">
        <w:t xml:space="preserve"> </w:t>
      </w:r>
      <w:r w:rsidRPr="00774A86">
        <w:t>They should also indicate whether it would be acceptable for Inland Revenue and Treasury officials to contact those making the submission to discuss the points raised, if required.</w:t>
      </w:r>
    </w:p>
    <w:p w:rsidR="00FE01CD" w:rsidRPr="00774A86" w:rsidRDefault="00FE01CD" w:rsidP="00016A08">
      <w:pPr>
        <w:pStyle w:val="Chapter1"/>
        <w:numPr>
          <w:ilvl w:val="0"/>
          <w:numId w:val="0"/>
        </w:numPr>
        <w:ind w:left="851" w:hanging="851"/>
      </w:pPr>
    </w:p>
    <w:p w:rsidR="006E1E5C" w:rsidRPr="00774A86" w:rsidRDefault="00FE01CD" w:rsidP="0051122F">
      <w:pPr>
        <w:pStyle w:val="Chapter1"/>
      </w:pPr>
      <w:r w:rsidRPr="00774A86">
        <w:t>Submissions may be the subject of a request under the Official Information Act 1982, which may result in their release.</w:t>
      </w:r>
      <w:r w:rsidR="009641FA" w:rsidRPr="00774A86">
        <w:t xml:space="preserve"> </w:t>
      </w:r>
      <w:r w:rsidRPr="00774A86">
        <w:t xml:space="preserve"> The withholding of particular submissions, or parts thereof, on the grounds of privacy, or commercial sensitivity, or for any other reason, will be determined in accordance with that Act. </w:t>
      </w:r>
      <w:r w:rsidR="009641FA" w:rsidRPr="00774A86">
        <w:t xml:space="preserve"> </w:t>
      </w:r>
      <w:r w:rsidRPr="00774A86">
        <w:t>Those making a submission who consider that there is any part of it that should properly be withheld under the Act should clearly indicate this.</w:t>
      </w:r>
    </w:p>
    <w:p w:rsidR="006E1E5C" w:rsidRPr="00774A86" w:rsidRDefault="006E1E5C" w:rsidP="006E1E5C">
      <w:pPr>
        <w:pStyle w:val="Chapter1"/>
        <w:numPr>
          <w:ilvl w:val="0"/>
          <w:numId w:val="0"/>
        </w:numPr>
        <w:ind w:left="851" w:hanging="851"/>
      </w:pPr>
    </w:p>
    <w:p w:rsidR="007C4B4E" w:rsidRPr="00774A86" w:rsidRDefault="007C4B4E" w:rsidP="006E1E5C">
      <w:pPr>
        <w:pStyle w:val="Chapter1"/>
        <w:numPr>
          <w:ilvl w:val="0"/>
          <w:numId w:val="0"/>
        </w:numPr>
        <w:ind w:left="851" w:hanging="851"/>
      </w:pPr>
    </w:p>
    <w:p w:rsidR="006E1E5C" w:rsidRPr="00774A86" w:rsidRDefault="006E1E5C">
      <w:pPr>
        <w:jc w:val="left"/>
        <w:rPr>
          <w:rFonts w:ascii="Times New Roman Bold" w:hAnsi="Times New Roman Bold"/>
          <w:b/>
          <w:bCs/>
          <w:caps/>
          <w:sz w:val="28"/>
          <w:szCs w:val="28"/>
        </w:rPr>
      </w:pPr>
      <w:bookmarkStart w:id="30" w:name="Two"/>
      <w:bookmarkStart w:id="31" w:name="_Toc443051398"/>
      <w:bookmarkStart w:id="32" w:name="_Toc443380356"/>
      <w:bookmarkStart w:id="33" w:name="_Toc443380434"/>
      <w:bookmarkStart w:id="34" w:name="_Toc443393731"/>
      <w:bookmarkStart w:id="35" w:name="_Toc443409821"/>
      <w:bookmarkStart w:id="36" w:name="_Toc443409956"/>
      <w:bookmarkEnd w:id="30"/>
      <w:r w:rsidRPr="00774A86">
        <w:br w:type="page"/>
      </w:r>
    </w:p>
    <w:p w:rsidR="0077285A" w:rsidRPr="00774A86" w:rsidRDefault="0077285A" w:rsidP="0077285A">
      <w:pPr>
        <w:pStyle w:val="Chapterheading"/>
        <w:ind w:left="2835" w:firstLine="567"/>
        <w:jc w:val="both"/>
      </w:pPr>
      <w:bookmarkStart w:id="37" w:name="_Toc443470076"/>
      <w:r w:rsidRPr="00774A86">
        <w:lastRenderedPageBreak/>
        <w:t>CHAPTER 2</w:t>
      </w:r>
      <w:bookmarkEnd w:id="31"/>
      <w:bookmarkEnd w:id="32"/>
      <w:bookmarkEnd w:id="33"/>
      <w:bookmarkEnd w:id="34"/>
      <w:bookmarkEnd w:id="35"/>
      <w:bookmarkEnd w:id="36"/>
      <w:bookmarkEnd w:id="37"/>
    </w:p>
    <w:p w:rsidR="0077285A" w:rsidRPr="00774A86" w:rsidRDefault="0077285A" w:rsidP="0077285A">
      <w:pPr>
        <w:pStyle w:val="Chapterheading"/>
      </w:pPr>
    </w:p>
    <w:p w:rsidR="0077285A" w:rsidRPr="00774A86" w:rsidRDefault="0077285A" w:rsidP="0077285A">
      <w:pPr>
        <w:pStyle w:val="Chapterheading"/>
        <w:rPr>
          <w:caps w:val="0"/>
        </w:rPr>
      </w:pPr>
      <w:bookmarkStart w:id="38" w:name="_Toc442084875"/>
      <w:bookmarkStart w:id="39" w:name="_Toc442086877"/>
      <w:bookmarkStart w:id="40" w:name="_Toc443470077"/>
      <w:r w:rsidRPr="00774A86">
        <w:rPr>
          <w:caps w:val="0"/>
        </w:rPr>
        <w:t>Key C</w:t>
      </w:r>
      <w:r w:rsidR="00CF3461" w:rsidRPr="00774A86">
        <w:rPr>
          <w:caps w:val="0"/>
        </w:rPr>
        <w:t xml:space="preserve">ommon </w:t>
      </w:r>
      <w:r w:rsidRPr="00774A86">
        <w:rPr>
          <w:caps w:val="0"/>
        </w:rPr>
        <w:t>R</w:t>
      </w:r>
      <w:r w:rsidR="00CF3461" w:rsidRPr="00774A86">
        <w:rPr>
          <w:caps w:val="0"/>
        </w:rPr>
        <w:t xml:space="preserve">eporting </w:t>
      </w:r>
      <w:r w:rsidRPr="00774A86">
        <w:rPr>
          <w:caps w:val="0"/>
        </w:rPr>
        <w:t>S</w:t>
      </w:r>
      <w:r w:rsidR="00CF3461" w:rsidRPr="00774A86">
        <w:rPr>
          <w:caps w:val="0"/>
        </w:rPr>
        <w:t>tandard</w:t>
      </w:r>
      <w:r w:rsidRPr="00774A86">
        <w:rPr>
          <w:caps w:val="0"/>
        </w:rPr>
        <w:t xml:space="preserve"> due diligence</w:t>
      </w:r>
      <w:r w:rsidR="0051122F" w:rsidRPr="00774A86">
        <w:rPr>
          <w:caps w:val="0"/>
        </w:rPr>
        <w:t xml:space="preserve"> </w:t>
      </w:r>
      <w:r w:rsidRPr="00774A86">
        <w:rPr>
          <w:caps w:val="0"/>
        </w:rPr>
        <w:t xml:space="preserve">and </w:t>
      </w:r>
      <w:r w:rsidR="0051122F" w:rsidRPr="00774A86">
        <w:rPr>
          <w:caps w:val="0"/>
        </w:rPr>
        <w:br/>
      </w:r>
      <w:r w:rsidRPr="00774A86">
        <w:rPr>
          <w:caps w:val="0"/>
        </w:rPr>
        <w:t>reporting obligations</w:t>
      </w:r>
      <w:bookmarkEnd w:id="38"/>
      <w:bookmarkEnd w:id="39"/>
      <w:bookmarkEnd w:id="40"/>
    </w:p>
    <w:p w:rsidR="0077285A" w:rsidRPr="00774A86" w:rsidRDefault="0077285A" w:rsidP="0077285A">
      <w:pPr>
        <w:pStyle w:val="Chapter2"/>
        <w:numPr>
          <w:ilvl w:val="0"/>
          <w:numId w:val="0"/>
        </w:numPr>
        <w:ind w:left="720" w:hanging="720"/>
      </w:pPr>
    </w:p>
    <w:p w:rsidR="00CF3461" w:rsidRPr="00774A86" w:rsidRDefault="00CF3461" w:rsidP="0077285A">
      <w:pPr>
        <w:pStyle w:val="Chapter2"/>
        <w:numPr>
          <w:ilvl w:val="0"/>
          <w:numId w:val="0"/>
        </w:numPr>
        <w:ind w:left="720" w:hanging="720"/>
      </w:pPr>
    </w:p>
    <w:p w:rsidR="0077285A" w:rsidRPr="00774A86" w:rsidRDefault="00CF3461" w:rsidP="00016A08">
      <w:pPr>
        <w:pStyle w:val="Chapter2"/>
        <w:ind w:left="851" w:hanging="851"/>
      </w:pPr>
      <w:r w:rsidRPr="00774A86">
        <w:t>T</w:t>
      </w:r>
      <w:r w:rsidR="0077285A" w:rsidRPr="00774A86">
        <w:t>he CRS generally sets out the rules for:</w:t>
      </w:r>
    </w:p>
    <w:p w:rsidR="00C34E8B" w:rsidRPr="00774A86" w:rsidRDefault="00C34E8B" w:rsidP="00C34E8B">
      <w:pPr>
        <w:pStyle w:val="Chapter2"/>
        <w:numPr>
          <w:ilvl w:val="0"/>
          <w:numId w:val="0"/>
        </w:numPr>
      </w:pPr>
    </w:p>
    <w:p w:rsidR="0077285A" w:rsidRPr="00774A86" w:rsidRDefault="0077285A" w:rsidP="001503F3">
      <w:pPr>
        <w:pStyle w:val="Bullets"/>
      </w:pPr>
      <w:r w:rsidRPr="00774A86">
        <w:rPr>
          <w:i/>
        </w:rPr>
        <w:t>Due diligence</w:t>
      </w:r>
      <w:r w:rsidRPr="00774A86">
        <w:t xml:space="preserve">:  The conduct of due diligence by </w:t>
      </w:r>
      <w:r w:rsidR="00C97A70" w:rsidRPr="00774A86">
        <w:t>r</w:t>
      </w:r>
      <w:r w:rsidRPr="00774A86">
        <w:t xml:space="preserve">eporting </w:t>
      </w:r>
      <w:r w:rsidR="00C97A70" w:rsidRPr="00774A86">
        <w:t>f</w:t>
      </w:r>
      <w:r w:rsidRPr="00774A86">
        <w:t xml:space="preserve">inancial </w:t>
      </w:r>
      <w:r w:rsidR="00C97A70" w:rsidRPr="00774A86">
        <w:t>i</w:t>
      </w:r>
      <w:r w:rsidRPr="00774A86">
        <w:t xml:space="preserve">nstitutions on their non-exempt accounts to identify </w:t>
      </w:r>
      <w:r w:rsidR="00C97A70" w:rsidRPr="00774A86">
        <w:t>r</w:t>
      </w:r>
      <w:r w:rsidR="00EE5866" w:rsidRPr="00774A86">
        <w:t>eportable accounts</w:t>
      </w:r>
      <w:r w:rsidRPr="00774A86">
        <w:t xml:space="preserve"> and undocumented accounts.</w:t>
      </w:r>
      <w:r w:rsidRPr="00774A86">
        <w:rPr>
          <w:sz w:val="22"/>
          <w:szCs w:val="22"/>
          <w:vertAlign w:val="superscript"/>
        </w:rPr>
        <w:footnoteReference w:id="15"/>
      </w:r>
      <w:r w:rsidRPr="00774A86">
        <w:t xml:space="preserve"> </w:t>
      </w:r>
      <w:r w:rsidR="00FD33A0" w:rsidRPr="00774A86">
        <w:t xml:space="preserve"> (</w:t>
      </w:r>
      <w:r w:rsidRPr="00774A86">
        <w:t xml:space="preserve">There are different due diligence rules for </w:t>
      </w:r>
      <w:r w:rsidR="00C97A70" w:rsidRPr="00774A86">
        <w:t>p</w:t>
      </w:r>
      <w:r w:rsidRPr="00774A86">
        <w:t>re-</w:t>
      </w:r>
      <w:r w:rsidR="00C97A70" w:rsidRPr="00774A86">
        <w:t>e</w:t>
      </w:r>
      <w:r w:rsidRPr="00774A86">
        <w:t xml:space="preserve">xisting and </w:t>
      </w:r>
      <w:r w:rsidR="00C97A70" w:rsidRPr="00774A86">
        <w:t>n</w:t>
      </w:r>
      <w:r w:rsidRPr="00774A86">
        <w:t xml:space="preserve">ew </w:t>
      </w:r>
      <w:r w:rsidR="00C97A70" w:rsidRPr="00774A86">
        <w:t>a</w:t>
      </w:r>
      <w:r w:rsidRPr="00774A86">
        <w:t xml:space="preserve">ccounts, and </w:t>
      </w:r>
      <w:r w:rsidR="00171041" w:rsidRPr="00774A86">
        <w:t xml:space="preserve">individual </w:t>
      </w:r>
      <w:r w:rsidRPr="00774A86">
        <w:t xml:space="preserve">and </w:t>
      </w:r>
      <w:r w:rsidR="00C97A70" w:rsidRPr="00774A86">
        <w:t>e</w:t>
      </w:r>
      <w:r w:rsidRPr="00774A86">
        <w:t xml:space="preserve">ntity </w:t>
      </w:r>
      <w:r w:rsidR="00C97A70" w:rsidRPr="00774A86">
        <w:t>a</w:t>
      </w:r>
      <w:r w:rsidRPr="00774A86">
        <w:t>ccounts</w:t>
      </w:r>
      <w:r w:rsidR="0030367F" w:rsidRPr="00774A86">
        <w:t xml:space="preserve">.  </w:t>
      </w:r>
      <w:r w:rsidR="006C6152" w:rsidRPr="00774A86">
        <w:t>These procedures are elaborated upon in the Appendix and t</w:t>
      </w:r>
      <w:r w:rsidR="001503F3" w:rsidRPr="00774A86">
        <w:t xml:space="preserve">hese terms are set out in the </w:t>
      </w:r>
      <w:r w:rsidR="00F87FD6" w:rsidRPr="00774A86">
        <w:t>G</w:t>
      </w:r>
      <w:r w:rsidRPr="00774A86">
        <w:t>lossary</w:t>
      </w:r>
      <w:r w:rsidR="00426E60" w:rsidRPr="00774A86">
        <w:t xml:space="preserve"> </w:t>
      </w:r>
      <w:r w:rsidRPr="00774A86">
        <w:t>to this issues paper</w:t>
      </w:r>
      <w:r w:rsidR="00FD33A0" w:rsidRPr="00774A86">
        <w:t>);</w:t>
      </w:r>
    </w:p>
    <w:p w:rsidR="0077285A" w:rsidRPr="00774A86" w:rsidRDefault="0077285A" w:rsidP="00556556">
      <w:pPr>
        <w:pStyle w:val="Bullets"/>
      </w:pPr>
      <w:r w:rsidRPr="00774A86">
        <w:rPr>
          <w:i/>
        </w:rPr>
        <w:t>Collection of information</w:t>
      </w:r>
      <w:r w:rsidRPr="00774A86">
        <w:t xml:space="preserve">:  The collection by </w:t>
      </w:r>
      <w:r w:rsidR="00C10EC3" w:rsidRPr="00774A86">
        <w:t>r</w:t>
      </w:r>
      <w:r w:rsidRPr="00774A86">
        <w:t xml:space="preserve">eporting </w:t>
      </w:r>
      <w:r w:rsidR="00C10EC3" w:rsidRPr="00774A86">
        <w:t>f</w:t>
      </w:r>
      <w:r w:rsidRPr="00774A86">
        <w:t xml:space="preserve">inancial </w:t>
      </w:r>
      <w:r w:rsidR="00C10EC3" w:rsidRPr="00774A86">
        <w:t>i</w:t>
      </w:r>
      <w:r w:rsidRPr="00774A86">
        <w:t xml:space="preserve">nstitutions of details of </w:t>
      </w:r>
      <w:r w:rsidR="00C10EC3" w:rsidRPr="00774A86">
        <w:t>f</w:t>
      </w:r>
      <w:r w:rsidRPr="00774A86">
        <w:t xml:space="preserve">inancial </w:t>
      </w:r>
      <w:r w:rsidR="00C10EC3" w:rsidRPr="00774A86">
        <w:t>a</w:t>
      </w:r>
      <w:r w:rsidRPr="00774A86">
        <w:t xml:space="preserve">ssets and income in relation to any </w:t>
      </w:r>
      <w:r w:rsidR="00C10EC3" w:rsidRPr="00774A86">
        <w:t>r</w:t>
      </w:r>
      <w:r w:rsidR="00EE5866" w:rsidRPr="00774A86">
        <w:t>eportable accounts</w:t>
      </w:r>
      <w:r w:rsidRPr="00774A86">
        <w:t xml:space="preserve"> that they identify; and</w:t>
      </w:r>
    </w:p>
    <w:p w:rsidR="0077285A" w:rsidRPr="00774A86" w:rsidRDefault="0077285A" w:rsidP="00556556">
      <w:pPr>
        <w:pStyle w:val="Bullets"/>
        <w:spacing w:after="0"/>
      </w:pPr>
      <w:r w:rsidRPr="00774A86">
        <w:rPr>
          <w:i/>
        </w:rPr>
        <w:t>Reporting of information</w:t>
      </w:r>
      <w:r w:rsidRPr="00774A86">
        <w:t xml:space="preserve">:  Reporting information on </w:t>
      </w:r>
      <w:r w:rsidR="00C10EC3" w:rsidRPr="00774A86">
        <w:t>r</w:t>
      </w:r>
      <w:r w:rsidR="00EE5866" w:rsidRPr="00774A86">
        <w:t>eportable accounts</w:t>
      </w:r>
      <w:r w:rsidRPr="00774A86">
        <w:t xml:space="preserve"> and undocumented accounts to the tax administration in the </w:t>
      </w:r>
      <w:r w:rsidR="00C10EC3" w:rsidRPr="00774A86">
        <w:t>p</w:t>
      </w:r>
      <w:r w:rsidRPr="00774A86">
        <w:t xml:space="preserve">articipating </w:t>
      </w:r>
      <w:r w:rsidR="00C10EC3" w:rsidRPr="00774A86">
        <w:t>j</w:t>
      </w:r>
      <w:r w:rsidRPr="00774A86">
        <w:t xml:space="preserve">urisdiction in which the </w:t>
      </w:r>
      <w:r w:rsidR="00C10EC3" w:rsidRPr="00774A86">
        <w:t>r</w:t>
      </w:r>
      <w:r w:rsidRPr="00774A86">
        <w:t xml:space="preserve">eporting </w:t>
      </w:r>
      <w:r w:rsidR="00C10EC3" w:rsidRPr="00774A86">
        <w:t>f</w:t>
      </w:r>
      <w:r w:rsidRPr="00774A86">
        <w:t xml:space="preserve">inancial </w:t>
      </w:r>
      <w:r w:rsidR="00C10EC3" w:rsidRPr="00774A86">
        <w:t>i</w:t>
      </w:r>
      <w:r w:rsidRPr="00774A86">
        <w:t>nstitution is located (that is, for New Zealand</w:t>
      </w:r>
      <w:r w:rsidR="005B5D85" w:rsidRPr="00774A86">
        <w:t xml:space="preserve"> </w:t>
      </w:r>
      <w:r w:rsidR="00C10EC3" w:rsidRPr="00774A86">
        <w:t>r</w:t>
      </w:r>
      <w:r w:rsidR="005B5D85" w:rsidRPr="00774A86">
        <w:t xml:space="preserve">eporting </w:t>
      </w:r>
      <w:r w:rsidR="00C10EC3" w:rsidRPr="00774A86">
        <w:t>f</w:t>
      </w:r>
      <w:r w:rsidR="005B5D85" w:rsidRPr="00774A86">
        <w:t xml:space="preserve">inancial </w:t>
      </w:r>
      <w:r w:rsidR="00C10EC3" w:rsidRPr="00774A86">
        <w:t>i</w:t>
      </w:r>
      <w:r w:rsidR="005B5D85" w:rsidRPr="00774A86">
        <w:t>nstitutions</w:t>
      </w:r>
      <w:r w:rsidRPr="00774A86">
        <w:t>, the Inland Revenue Department).</w:t>
      </w:r>
    </w:p>
    <w:p w:rsidR="00016A08" w:rsidRPr="00774A86" w:rsidRDefault="00016A08" w:rsidP="005A086F">
      <w:pPr>
        <w:pStyle w:val="Chapter2"/>
        <w:numPr>
          <w:ilvl w:val="0"/>
          <w:numId w:val="0"/>
        </w:numPr>
      </w:pPr>
    </w:p>
    <w:p w:rsidR="0077285A" w:rsidRPr="00774A86" w:rsidRDefault="0077285A" w:rsidP="00016A08">
      <w:pPr>
        <w:pStyle w:val="Chapter2"/>
        <w:ind w:left="851" w:hanging="851"/>
      </w:pPr>
      <w:r w:rsidRPr="00774A86">
        <w:t>The CRS also includes important ancillary requirements, including:</w:t>
      </w:r>
    </w:p>
    <w:p w:rsidR="00C34E8B" w:rsidRPr="00774A86" w:rsidRDefault="00C34E8B" w:rsidP="00C34E8B">
      <w:pPr>
        <w:pStyle w:val="Chapter2"/>
        <w:numPr>
          <w:ilvl w:val="0"/>
          <w:numId w:val="0"/>
        </w:numPr>
      </w:pPr>
    </w:p>
    <w:p w:rsidR="0077285A" w:rsidRPr="00774A86" w:rsidRDefault="0077285A" w:rsidP="00426E60">
      <w:pPr>
        <w:pStyle w:val="Bullets"/>
      </w:pPr>
      <w:r w:rsidRPr="00774A86">
        <w:t xml:space="preserve">An obligation for </w:t>
      </w:r>
      <w:r w:rsidR="00C10EC3" w:rsidRPr="00774A86">
        <w:t>r</w:t>
      </w:r>
      <w:r w:rsidRPr="00774A86">
        <w:t xml:space="preserve">eporting </w:t>
      </w:r>
      <w:r w:rsidR="00C10EC3" w:rsidRPr="00774A86">
        <w:t>f</w:t>
      </w:r>
      <w:r w:rsidRPr="00774A86">
        <w:t xml:space="preserve">inancial </w:t>
      </w:r>
      <w:r w:rsidR="00C10EC3" w:rsidRPr="00774A86">
        <w:t>i</w:t>
      </w:r>
      <w:r w:rsidRPr="00774A86">
        <w:t xml:space="preserve">nstitutions to look through </w:t>
      </w:r>
      <w:r w:rsidR="00472CC4" w:rsidRPr="00774A86">
        <w:t>“</w:t>
      </w:r>
      <w:r w:rsidR="003364DC" w:rsidRPr="00774A86">
        <w:t>p</w:t>
      </w:r>
      <w:r w:rsidRPr="00774A86">
        <w:t xml:space="preserve">assive </w:t>
      </w:r>
      <w:r w:rsidR="00472CC4" w:rsidRPr="00774A86">
        <w:t xml:space="preserve">NFEs” </w:t>
      </w:r>
      <w:r w:rsidR="00444029" w:rsidRPr="00774A86">
        <w:t xml:space="preserve">(this is a defined technical term in the CRS – see </w:t>
      </w:r>
      <w:r w:rsidR="00426E60" w:rsidRPr="00774A86">
        <w:t xml:space="preserve">the </w:t>
      </w:r>
      <w:r w:rsidR="00F87FD6" w:rsidRPr="00774A86">
        <w:t>G</w:t>
      </w:r>
      <w:r w:rsidR="00444029" w:rsidRPr="00774A86">
        <w:t>lossary at the end of this paper)</w:t>
      </w:r>
      <w:r w:rsidRPr="00774A86">
        <w:t xml:space="preserve"> and report relevant </w:t>
      </w:r>
      <w:r w:rsidR="00171041" w:rsidRPr="00774A86">
        <w:t xml:space="preserve">controlling persons </w:t>
      </w:r>
      <w:r w:rsidRPr="00774A86">
        <w:t xml:space="preserve">from </w:t>
      </w:r>
      <w:r w:rsidR="00171041" w:rsidRPr="00774A86">
        <w:t xml:space="preserve">reportable </w:t>
      </w:r>
      <w:r w:rsidR="00EE5866" w:rsidRPr="00774A86">
        <w:t>jurisdiction</w:t>
      </w:r>
      <w:r w:rsidRPr="00774A86">
        <w:t>s; and</w:t>
      </w:r>
    </w:p>
    <w:p w:rsidR="0077285A" w:rsidRPr="00774A86" w:rsidRDefault="0077285A" w:rsidP="00556556">
      <w:pPr>
        <w:pStyle w:val="Bullets"/>
        <w:spacing w:after="0"/>
      </w:pPr>
      <w:r w:rsidRPr="00774A86">
        <w:t xml:space="preserve">Obligations on </w:t>
      </w:r>
      <w:r w:rsidR="00444029" w:rsidRPr="00774A86">
        <w:t xml:space="preserve">participating </w:t>
      </w:r>
      <w:r w:rsidR="00991E68" w:rsidRPr="00774A86">
        <w:t>jurisdictions</w:t>
      </w:r>
      <w:r w:rsidRPr="00774A86">
        <w:t xml:space="preserve"> to have rules and administrative procedures in place to ensure effective implementation of, and compliance with, the CRS reporting and due diligence procedures.</w:t>
      </w:r>
    </w:p>
    <w:p w:rsidR="00C34E8B" w:rsidRPr="00774A86" w:rsidRDefault="00C34E8B" w:rsidP="00C34E8B">
      <w:pPr>
        <w:pStyle w:val="Chapter2"/>
        <w:numPr>
          <w:ilvl w:val="0"/>
          <w:numId w:val="0"/>
        </w:numPr>
        <w:ind w:left="360" w:hanging="360"/>
      </w:pPr>
    </w:p>
    <w:p w:rsidR="0077285A" w:rsidRPr="00774A86" w:rsidRDefault="0077285A" w:rsidP="00016A08">
      <w:pPr>
        <w:pStyle w:val="Chapter2"/>
        <w:ind w:left="851" w:hanging="851"/>
      </w:pPr>
      <w:r w:rsidRPr="00774A86">
        <w:t xml:space="preserve">Participating </w:t>
      </w:r>
      <w:r w:rsidR="00C10EC3" w:rsidRPr="00774A86">
        <w:t>j</w:t>
      </w:r>
      <w:r w:rsidRPr="00774A86">
        <w:t xml:space="preserve">urisdictions are required to translate the CRS into domestic law, and to put in place the necessary systems and processes for giving it effect.  The Global Forum will conduct in-depth monitoring and peer review of </w:t>
      </w:r>
      <w:r w:rsidR="00171041" w:rsidRPr="00774A86">
        <w:t xml:space="preserve">participating </w:t>
      </w:r>
      <w:r w:rsidR="00C10EC3" w:rsidRPr="00774A86">
        <w:t>j</w:t>
      </w:r>
      <w:r w:rsidRPr="00774A86">
        <w:t>urisdictions to ensure that the CRS has been correctly implemented and that no shortcuts are taken that would weaken the global effectiveness of the CRS</w:t>
      </w:r>
      <w:r w:rsidR="0030367F" w:rsidRPr="00774A86">
        <w:t>.  A</w:t>
      </w:r>
      <w:r w:rsidRPr="00774A86">
        <w:t xml:space="preserve"> key element of this will be determining whether there has been effective implementation </w:t>
      </w:r>
      <w:proofErr w:type="gramStart"/>
      <w:r w:rsidRPr="00774A86">
        <w:t>of,</w:t>
      </w:r>
      <w:proofErr w:type="gramEnd"/>
      <w:r w:rsidRPr="00774A86">
        <w:t xml:space="preserve"> and compliance with, the CRS reporting and due diligence procedures.</w:t>
      </w:r>
    </w:p>
    <w:p w:rsidR="0077285A" w:rsidRPr="00774A86" w:rsidRDefault="0077285A" w:rsidP="00016A08">
      <w:pPr>
        <w:pStyle w:val="Chapter2"/>
        <w:numPr>
          <w:ilvl w:val="0"/>
          <w:numId w:val="0"/>
        </w:numPr>
        <w:ind w:left="851" w:hanging="851"/>
      </w:pPr>
    </w:p>
    <w:p w:rsidR="0077285A" w:rsidRPr="00774A86" w:rsidRDefault="0077285A" w:rsidP="00016A08">
      <w:pPr>
        <w:pStyle w:val="Chapter2"/>
        <w:ind w:left="851" w:hanging="851"/>
      </w:pPr>
      <w:r w:rsidRPr="00774A86">
        <w:t xml:space="preserve">However the CRS and its </w:t>
      </w:r>
      <w:r w:rsidR="004D6202" w:rsidRPr="00774A86">
        <w:t xml:space="preserve">Commentaries </w:t>
      </w:r>
      <w:r w:rsidRPr="00774A86">
        <w:t xml:space="preserve">provide flexibility, and provide </w:t>
      </w:r>
      <w:r w:rsidR="00444029" w:rsidRPr="00774A86">
        <w:t xml:space="preserve">participating </w:t>
      </w:r>
      <w:r w:rsidR="00991E68" w:rsidRPr="00774A86">
        <w:t>jurisdictions</w:t>
      </w:r>
      <w:r w:rsidRPr="00774A86">
        <w:t xml:space="preserve"> with options in certain areas, and in respect of these areas </w:t>
      </w:r>
      <w:r w:rsidR="00444029" w:rsidRPr="00774A86">
        <w:t xml:space="preserve">participating </w:t>
      </w:r>
      <w:r w:rsidR="00991E68" w:rsidRPr="00774A86">
        <w:t>jurisdictions</w:t>
      </w:r>
      <w:r w:rsidRPr="00774A86">
        <w:t xml:space="preserve"> need to decide which approach it will take.</w:t>
      </w:r>
    </w:p>
    <w:p w:rsidR="003003A2" w:rsidRPr="00774A86" w:rsidRDefault="003003A2" w:rsidP="005A086F">
      <w:pPr>
        <w:pStyle w:val="Chapter2"/>
        <w:numPr>
          <w:ilvl w:val="0"/>
          <w:numId w:val="0"/>
        </w:numPr>
        <w:ind w:left="851" w:hanging="851"/>
      </w:pPr>
    </w:p>
    <w:p w:rsidR="0077285A" w:rsidRPr="00774A86" w:rsidRDefault="00C34E8B" w:rsidP="00016A08">
      <w:pPr>
        <w:pStyle w:val="Chapter2"/>
        <w:ind w:left="851" w:hanging="851"/>
      </w:pPr>
      <w:r w:rsidRPr="00774A86">
        <w:lastRenderedPageBreak/>
        <w:t xml:space="preserve">This </w:t>
      </w:r>
      <w:r w:rsidR="0077285A" w:rsidRPr="00774A86">
        <w:t xml:space="preserve">chapter of the issues paper highlights some key areas where New Zealand is required, or able, to make implementation decisions regarding various CRS due diligence and reporting obligations (including </w:t>
      </w:r>
      <w:r w:rsidR="0077285A" w:rsidRPr="00774A86">
        <w:rPr>
          <w:i/>
        </w:rPr>
        <w:t>who</w:t>
      </w:r>
      <w:r w:rsidR="0077285A" w:rsidRPr="00774A86">
        <w:t xml:space="preserve"> will have such obligations, </w:t>
      </w:r>
      <w:r w:rsidR="0077285A" w:rsidRPr="00774A86">
        <w:rPr>
          <w:i/>
        </w:rPr>
        <w:t>what accounts</w:t>
      </w:r>
      <w:r w:rsidR="0077285A" w:rsidRPr="00774A86">
        <w:t xml:space="preserve"> will be the subject of such obligations, and </w:t>
      </w:r>
      <w:r w:rsidR="0077285A" w:rsidRPr="00774A86">
        <w:rPr>
          <w:i/>
        </w:rPr>
        <w:t>what non-resident jurisdictions</w:t>
      </w:r>
      <w:r w:rsidR="0077285A" w:rsidRPr="00774A86">
        <w:rPr>
          <w:b/>
        </w:rPr>
        <w:t xml:space="preserve"> </w:t>
      </w:r>
      <w:r w:rsidR="0077285A" w:rsidRPr="00774A86">
        <w:t xml:space="preserve">are within the scope of CRS due diligence and reporting), and seeks feedback on the design choices to be made in these areas. </w:t>
      </w:r>
      <w:r w:rsidR="001503F3" w:rsidRPr="00774A86">
        <w:t xml:space="preserve"> </w:t>
      </w:r>
      <w:r w:rsidR="005B5D85" w:rsidRPr="00774A86">
        <w:t>(</w:t>
      </w:r>
      <w:r w:rsidR="0077285A" w:rsidRPr="00774A86">
        <w:t>Other legislative issues or options relating to CRS due diligence and reporting obliga</w:t>
      </w:r>
      <w:r w:rsidR="005B5D85" w:rsidRPr="00774A86">
        <w:t>tions are set out in Chapters 4 and 5)</w:t>
      </w:r>
      <w:r w:rsidR="00EA755F" w:rsidRPr="00774A86">
        <w:t>.</w:t>
      </w:r>
    </w:p>
    <w:p w:rsidR="008C74C6" w:rsidRPr="00774A86" w:rsidRDefault="008C74C6" w:rsidP="00D64344">
      <w:pPr>
        <w:pStyle w:val="Chapter2"/>
        <w:numPr>
          <w:ilvl w:val="0"/>
          <w:numId w:val="0"/>
        </w:numPr>
      </w:pPr>
    </w:p>
    <w:p w:rsidR="008C74C6" w:rsidRPr="00774A86" w:rsidRDefault="008C74C6" w:rsidP="00D64344">
      <w:pPr>
        <w:pStyle w:val="Chapter2"/>
        <w:numPr>
          <w:ilvl w:val="0"/>
          <w:numId w:val="0"/>
        </w:numPr>
      </w:pPr>
    </w:p>
    <w:p w:rsidR="0077285A" w:rsidRPr="00774A86" w:rsidRDefault="00C10EC3" w:rsidP="0077285A">
      <w:pPr>
        <w:pStyle w:val="Heading1"/>
      </w:pPr>
      <w:bookmarkStart w:id="41" w:name="_Toc443470078"/>
      <w:r w:rsidRPr="00774A86">
        <w:t xml:space="preserve">Who </w:t>
      </w:r>
      <w:r w:rsidR="00444029" w:rsidRPr="00774A86">
        <w:t xml:space="preserve">must </w:t>
      </w:r>
      <w:r w:rsidRPr="00774A86">
        <w:t xml:space="preserve">conduct due </w:t>
      </w:r>
      <w:r w:rsidR="001074DD" w:rsidRPr="00774A86">
        <w:t>diligence</w:t>
      </w:r>
      <w:r w:rsidRPr="00774A86">
        <w:t>?</w:t>
      </w:r>
      <w:bookmarkEnd w:id="41"/>
    </w:p>
    <w:p w:rsidR="0077285A" w:rsidRPr="00774A86" w:rsidRDefault="0077285A" w:rsidP="00C34E8B">
      <w:pPr>
        <w:pStyle w:val="Chapter2"/>
        <w:numPr>
          <w:ilvl w:val="0"/>
          <w:numId w:val="0"/>
        </w:numPr>
        <w:ind w:left="360" w:hanging="360"/>
      </w:pPr>
    </w:p>
    <w:p w:rsidR="0077285A" w:rsidRPr="00774A86" w:rsidRDefault="0077285A" w:rsidP="00016A08">
      <w:pPr>
        <w:pStyle w:val="Chapter2"/>
        <w:ind w:left="851" w:hanging="851"/>
      </w:pPr>
      <w:r w:rsidRPr="00774A86">
        <w:t>CRS obligations apply to a broad range of entities, beyond simply banks</w:t>
      </w:r>
      <w:r w:rsidR="00472CC4" w:rsidRPr="00774A86">
        <w:t>,</w:t>
      </w:r>
      <w:r w:rsidRPr="00774A86">
        <w:t xml:space="preserve"> to include other </w:t>
      </w:r>
      <w:r w:rsidR="00C10EC3" w:rsidRPr="00774A86">
        <w:t>f</w:t>
      </w:r>
      <w:r w:rsidRPr="00774A86">
        <w:t xml:space="preserve">inancial </w:t>
      </w:r>
      <w:r w:rsidR="00C10EC3" w:rsidRPr="00774A86">
        <w:t>i</w:t>
      </w:r>
      <w:r w:rsidRPr="00774A86">
        <w:t xml:space="preserve">nstitutions such as </w:t>
      </w:r>
      <w:r w:rsidRPr="00774A86">
        <w:rPr>
          <w:i/>
        </w:rPr>
        <w:t>certain</w:t>
      </w:r>
      <w:r w:rsidRPr="00774A86">
        <w:t xml:space="preserve"> brokers, custodians, collective investment vehicles, managed entities, and insurance companies.  The specific definition of the term </w:t>
      </w:r>
      <w:r w:rsidR="0030367F" w:rsidRPr="00774A86">
        <w:t>“</w:t>
      </w:r>
      <w:r w:rsidR="00C10EC3" w:rsidRPr="00774A86">
        <w:t>f</w:t>
      </w:r>
      <w:r w:rsidRPr="00774A86">
        <w:t xml:space="preserve">inancial </w:t>
      </w:r>
      <w:r w:rsidR="00C10EC3" w:rsidRPr="00774A86">
        <w:t>i</w:t>
      </w:r>
      <w:r w:rsidRPr="00774A86">
        <w:t>nstitution</w:t>
      </w:r>
      <w:r w:rsidR="0030367F" w:rsidRPr="00774A86">
        <w:t>”</w:t>
      </w:r>
      <w:r w:rsidRPr="00774A86">
        <w:t xml:space="preserve"> in the CRS includes any: </w:t>
      </w:r>
      <w:r w:rsidR="0030367F" w:rsidRPr="00774A86">
        <w:t>“</w:t>
      </w:r>
      <w:r w:rsidR="00C10EC3" w:rsidRPr="00774A86">
        <w:t>d</w:t>
      </w:r>
      <w:r w:rsidRPr="00774A86">
        <w:t xml:space="preserve">epository </w:t>
      </w:r>
      <w:r w:rsidR="00C10EC3" w:rsidRPr="00774A86">
        <w:t>i</w:t>
      </w:r>
      <w:r w:rsidRPr="00774A86">
        <w:t>nstitution</w:t>
      </w:r>
      <w:r w:rsidR="0030367F" w:rsidRPr="00774A86">
        <w:t>”</w:t>
      </w:r>
      <w:r w:rsidRPr="00774A86">
        <w:t xml:space="preserve">, </w:t>
      </w:r>
      <w:r w:rsidR="0030367F" w:rsidRPr="00774A86">
        <w:t>“</w:t>
      </w:r>
      <w:r w:rsidR="00C10EC3" w:rsidRPr="00774A86">
        <w:t>c</w:t>
      </w:r>
      <w:r w:rsidRPr="00774A86">
        <w:t xml:space="preserve">ustodial </w:t>
      </w:r>
      <w:r w:rsidR="00C10EC3" w:rsidRPr="00774A86">
        <w:t>i</w:t>
      </w:r>
      <w:r w:rsidRPr="00774A86">
        <w:t>nstitution</w:t>
      </w:r>
      <w:r w:rsidR="0030367F" w:rsidRPr="00774A86">
        <w:t>”</w:t>
      </w:r>
      <w:r w:rsidRPr="00774A86">
        <w:t xml:space="preserve">, </w:t>
      </w:r>
      <w:r w:rsidR="0030367F" w:rsidRPr="00774A86">
        <w:t>“</w:t>
      </w:r>
      <w:r w:rsidR="00C10EC3" w:rsidRPr="00774A86">
        <w:t>i</w:t>
      </w:r>
      <w:r w:rsidRPr="00774A86">
        <w:t xml:space="preserve">nvestment </w:t>
      </w:r>
      <w:r w:rsidR="00C10EC3" w:rsidRPr="00774A86">
        <w:t>e</w:t>
      </w:r>
      <w:r w:rsidRPr="00774A86">
        <w:t>ntity</w:t>
      </w:r>
      <w:r w:rsidR="0030367F" w:rsidRPr="00774A86">
        <w:t>”</w:t>
      </w:r>
      <w:r w:rsidRPr="00774A86">
        <w:t xml:space="preserve">, or </w:t>
      </w:r>
      <w:r w:rsidR="0030367F" w:rsidRPr="00774A86">
        <w:t>“</w:t>
      </w:r>
      <w:r w:rsidR="00C10EC3" w:rsidRPr="00774A86">
        <w:t>s</w:t>
      </w:r>
      <w:r w:rsidRPr="00774A86">
        <w:t xml:space="preserve">pecified </w:t>
      </w:r>
      <w:r w:rsidR="00C10EC3" w:rsidRPr="00774A86">
        <w:t>i</w:t>
      </w:r>
      <w:r w:rsidRPr="00774A86">
        <w:t xml:space="preserve">nsurance </w:t>
      </w:r>
      <w:r w:rsidR="00C10EC3" w:rsidRPr="00774A86">
        <w:t>c</w:t>
      </w:r>
      <w:r w:rsidRPr="00774A86">
        <w:t>ompany</w:t>
      </w:r>
      <w:r w:rsidR="0030367F" w:rsidRPr="00774A86">
        <w:t>”.  T</w:t>
      </w:r>
      <w:r w:rsidRPr="00774A86">
        <w:t xml:space="preserve">hese specific categories are further defined in the CRS and its </w:t>
      </w:r>
      <w:r w:rsidR="004D6202" w:rsidRPr="00774A86">
        <w:t>Commentaries</w:t>
      </w:r>
      <w:r w:rsidRPr="00774A86">
        <w:t>.</w:t>
      </w:r>
    </w:p>
    <w:p w:rsidR="00482EDD" w:rsidRPr="00774A86" w:rsidRDefault="00482EDD" w:rsidP="00482EDD">
      <w:pPr>
        <w:pStyle w:val="Chapter2"/>
        <w:numPr>
          <w:ilvl w:val="0"/>
          <w:numId w:val="0"/>
        </w:numPr>
      </w:pPr>
    </w:p>
    <w:p w:rsidR="0077285A" w:rsidRPr="00774A86" w:rsidRDefault="00C34E8B" w:rsidP="00016A08">
      <w:pPr>
        <w:pStyle w:val="Chapter2"/>
        <w:ind w:left="851" w:hanging="851"/>
      </w:pPr>
      <w:r w:rsidRPr="00774A86">
        <w:t xml:space="preserve">New </w:t>
      </w:r>
      <w:r w:rsidR="0077285A" w:rsidRPr="00774A86">
        <w:t xml:space="preserve">Zealand is generally required to implement CRS obligations for any </w:t>
      </w:r>
      <w:r w:rsidR="0030367F" w:rsidRPr="00774A86">
        <w:t>“</w:t>
      </w:r>
      <w:r w:rsidR="00C10EC3" w:rsidRPr="00774A86">
        <w:t>p</w:t>
      </w:r>
      <w:r w:rsidR="0077285A" w:rsidRPr="00774A86">
        <w:t xml:space="preserve">articipating </w:t>
      </w:r>
      <w:r w:rsidR="00C10EC3" w:rsidRPr="00774A86">
        <w:t>j</w:t>
      </w:r>
      <w:r w:rsidR="0077285A" w:rsidRPr="00774A86">
        <w:t xml:space="preserve">urisdiction </w:t>
      </w:r>
      <w:r w:rsidR="00C10EC3" w:rsidRPr="00774A86">
        <w:t>f</w:t>
      </w:r>
      <w:r w:rsidR="0077285A" w:rsidRPr="00774A86">
        <w:t xml:space="preserve">inancial </w:t>
      </w:r>
      <w:r w:rsidR="00C10EC3" w:rsidRPr="00774A86">
        <w:t>i</w:t>
      </w:r>
      <w:r w:rsidR="0077285A" w:rsidRPr="00774A86">
        <w:t>nstitution</w:t>
      </w:r>
      <w:r w:rsidR="0030367F" w:rsidRPr="00774A86">
        <w:t>”.  F</w:t>
      </w:r>
      <w:r w:rsidR="00C10EC3" w:rsidRPr="00774A86">
        <w:t>or New Zealand t</w:t>
      </w:r>
      <w:r w:rsidR="0077285A" w:rsidRPr="00774A86">
        <w:t>his will include:</w:t>
      </w:r>
    </w:p>
    <w:p w:rsidR="0077285A" w:rsidRPr="00774A86" w:rsidRDefault="0077285A" w:rsidP="00C34E8B">
      <w:pPr>
        <w:pStyle w:val="Chapter2"/>
        <w:numPr>
          <w:ilvl w:val="0"/>
          <w:numId w:val="0"/>
        </w:numPr>
        <w:ind w:left="360" w:hanging="360"/>
      </w:pPr>
    </w:p>
    <w:p w:rsidR="0077285A" w:rsidRPr="00774A86" w:rsidRDefault="0077285A" w:rsidP="00556556">
      <w:pPr>
        <w:pStyle w:val="Bullets"/>
      </w:pPr>
      <w:r w:rsidRPr="00774A86">
        <w:t xml:space="preserve">Any </w:t>
      </w:r>
      <w:r w:rsidR="00C10EC3" w:rsidRPr="00774A86">
        <w:t>f</w:t>
      </w:r>
      <w:r w:rsidRPr="00774A86">
        <w:t xml:space="preserve">inancial </w:t>
      </w:r>
      <w:r w:rsidR="00C10EC3" w:rsidRPr="00774A86">
        <w:t>i</w:t>
      </w:r>
      <w:r w:rsidRPr="00774A86">
        <w:t>nstitution resident in New Zealand (but excluding any of its branches located outside New Zealand</w:t>
      </w:r>
      <w:r w:rsidR="00472CC4" w:rsidRPr="00774A86">
        <w:t xml:space="preserve">); </w:t>
      </w:r>
      <w:r w:rsidRPr="00774A86">
        <w:t>and</w:t>
      </w:r>
    </w:p>
    <w:p w:rsidR="0077285A" w:rsidRPr="00774A86" w:rsidRDefault="0077285A" w:rsidP="00556556">
      <w:pPr>
        <w:pStyle w:val="Bullets"/>
        <w:spacing w:after="0"/>
      </w:pPr>
      <w:r w:rsidRPr="00774A86">
        <w:t xml:space="preserve">Any branch of a non-resident </w:t>
      </w:r>
      <w:r w:rsidR="00C10EC3" w:rsidRPr="00774A86">
        <w:t>f</w:t>
      </w:r>
      <w:r w:rsidRPr="00774A86">
        <w:t xml:space="preserve">inancial </w:t>
      </w:r>
      <w:r w:rsidR="00C10EC3" w:rsidRPr="00774A86">
        <w:t>i</w:t>
      </w:r>
      <w:r w:rsidRPr="00774A86">
        <w:t>nstitution that is located in New Zealand.</w:t>
      </w:r>
    </w:p>
    <w:p w:rsidR="0077285A" w:rsidRPr="00774A86" w:rsidRDefault="0077285A" w:rsidP="00132976">
      <w:pPr>
        <w:pStyle w:val="Chapter2"/>
        <w:numPr>
          <w:ilvl w:val="0"/>
          <w:numId w:val="0"/>
        </w:numPr>
      </w:pPr>
    </w:p>
    <w:p w:rsidR="0077285A" w:rsidRPr="00774A86" w:rsidRDefault="00444029" w:rsidP="00016A08">
      <w:pPr>
        <w:pStyle w:val="Chapter2"/>
        <w:ind w:left="851" w:hanging="851"/>
      </w:pPr>
      <w:r w:rsidRPr="00774A86">
        <w:t xml:space="preserve">The </w:t>
      </w:r>
      <w:r w:rsidR="00C10EC3" w:rsidRPr="00774A86">
        <w:t xml:space="preserve">“residence” of a participating jurisdiction financial institution will be determined using domestic tax residence rules.  </w:t>
      </w:r>
      <w:r w:rsidR="0077285A" w:rsidRPr="00774A86">
        <w:t xml:space="preserve">However, </w:t>
      </w:r>
      <w:r w:rsidR="00C10EC3" w:rsidRPr="00774A86">
        <w:t>for</w:t>
      </w:r>
      <w:r w:rsidR="0077285A" w:rsidRPr="00774A86">
        <w:t xml:space="preserve"> trust</w:t>
      </w:r>
      <w:r w:rsidR="00C10EC3" w:rsidRPr="00774A86">
        <w:t>s</w:t>
      </w:r>
      <w:r w:rsidR="0077285A" w:rsidRPr="00774A86">
        <w:t xml:space="preserve">, or </w:t>
      </w:r>
      <w:r w:rsidR="00C10EC3" w:rsidRPr="00774A86">
        <w:t xml:space="preserve">financial institutions </w:t>
      </w:r>
      <w:r w:rsidR="0077285A" w:rsidRPr="00774A86">
        <w:t xml:space="preserve">that do not have residence for tax purposes (for example, because </w:t>
      </w:r>
      <w:r w:rsidR="00C10EC3" w:rsidRPr="00774A86">
        <w:t>they are</w:t>
      </w:r>
      <w:r w:rsidR="0077285A" w:rsidRPr="00774A86">
        <w:t xml:space="preserve"> treated as fiscally transparent, or located in a jurisdiction that does not have an income tax), the CRS </w:t>
      </w:r>
      <w:r w:rsidR="004D6202" w:rsidRPr="00774A86">
        <w:t xml:space="preserve">Commentaries </w:t>
      </w:r>
      <w:r w:rsidR="0077285A" w:rsidRPr="00774A86">
        <w:t>specif</w:t>
      </w:r>
      <w:r w:rsidR="005B5D85" w:rsidRPr="00774A86">
        <w:t>y</w:t>
      </w:r>
      <w:r w:rsidR="0077285A" w:rsidRPr="00774A86">
        <w:t xml:space="preserve"> how a </w:t>
      </w:r>
      <w:r w:rsidR="00C10EC3" w:rsidRPr="00774A86">
        <w:t>p</w:t>
      </w:r>
      <w:r w:rsidR="0077285A" w:rsidRPr="00774A86">
        <w:t xml:space="preserve">articipating </w:t>
      </w:r>
      <w:r w:rsidR="00C10EC3" w:rsidRPr="00774A86">
        <w:t>j</w:t>
      </w:r>
      <w:r w:rsidR="0077285A" w:rsidRPr="00774A86">
        <w:t>urisdiction is to determine residence.</w:t>
      </w:r>
    </w:p>
    <w:p w:rsidR="0077285A" w:rsidRPr="00774A86" w:rsidRDefault="0077285A" w:rsidP="00016A08">
      <w:pPr>
        <w:pStyle w:val="Chapter2"/>
        <w:numPr>
          <w:ilvl w:val="0"/>
          <w:numId w:val="0"/>
        </w:numPr>
        <w:ind w:left="851" w:hanging="851"/>
      </w:pPr>
    </w:p>
    <w:p w:rsidR="0077285A" w:rsidRPr="00774A86" w:rsidRDefault="0077285A" w:rsidP="00016A08">
      <w:pPr>
        <w:pStyle w:val="Chapter2"/>
        <w:ind w:left="851" w:hanging="851"/>
      </w:pPr>
      <w:r w:rsidRPr="00774A86">
        <w:t xml:space="preserve">Only those </w:t>
      </w:r>
      <w:r w:rsidR="00C10EC3" w:rsidRPr="00774A86">
        <w:t>p</w:t>
      </w:r>
      <w:r w:rsidRPr="00774A86">
        <w:t xml:space="preserve">articipating </w:t>
      </w:r>
      <w:r w:rsidR="00C10EC3" w:rsidRPr="00774A86">
        <w:t>j</w:t>
      </w:r>
      <w:r w:rsidRPr="00774A86">
        <w:t xml:space="preserve">urisdiction </w:t>
      </w:r>
      <w:r w:rsidR="00C10EC3" w:rsidRPr="00774A86">
        <w:t>f</w:t>
      </w:r>
      <w:r w:rsidRPr="00774A86">
        <w:t xml:space="preserve">inancial </w:t>
      </w:r>
      <w:r w:rsidR="00C10EC3" w:rsidRPr="00774A86">
        <w:t>i</w:t>
      </w:r>
      <w:r w:rsidRPr="00774A86">
        <w:t>nstitutions that are “</w:t>
      </w:r>
      <w:r w:rsidR="00C10EC3" w:rsidRPr="00774A86">
        <w:t>r</w:t>
      </w:r>
      <w:r w:rsidRPr="00774A86">
        <w:t xml:space="preserve">eporting </w:t>
      </w:r>
      <w:r w:rsidR="00C10EC3" w:rsidRPr="00774A86">
        <w:t>f</w:t>
      </w:r>
      <w:r w:rsidRPr="00774A86">
        <w:t xml:space="preserve">inancial </w:t>
      </w:r>
      <w:r w:rsidR="00C10EC3" w:rsidRPr="00774A86">
        <w:t>i</w:t>
      </w:r>
      <w:r w:rsidRPr="00774A86">
        <w:t>nstitutions</w:t>
      </w:r>
      <w:r w:rsidR="00444029" w:rsidRPr="00774A86">
        <w:t>”</w:t>
      </w:r>
      <w:r w:rsidRPr="00774A86">
        <w:t xml:space="preserve"> will (upon implementation in New Zealand) be required to carry out CRS due diligence on their non-exempt </w:t>
      </w:r>
      <w:r w:rsidR="00444029" w:rsidRPr="00774A86">
        <w:t xml:space="preserve">financial accounts </w:t>
      </w:r>
      <w:r w:rsidRPr="00774A86">
        <w:t xml:space="preserve">to identify whether they have </w:t>
      </w:r>
      <w:r w:rsidR="00C10EC3" w:rsidRPr="00774A86">
        <w:t>r</w:t>
      </w:r>
      <w:r w:rsidR="00EE5866" w:rsidRPr="00774A86">
        <w:t>eportable accounts</w:t>
      </w:r>
      <w:r w:rsidRPr="00774A86">
        <w:t xml:space="preserve"> or undocumented accounts. </w:t>
      </w:r>
      <w:r w:rsidR="005B5D85" w:rsidRPr="00774A86">
        <w:t xml:space="preserve"> </w:t>
      </w:r>
      <w:r w:rsidRPr="00774A86">
        <w:t xml:space="preserve">The New Zealand </w:t>
      </w:r>
      <w:r w:rsidR="00C10EC3" w:rsidRPr="00774A86">
        <w:t>r</w:t>
      </w:r>
      <w:r w:rsidRPr="00774A86">
        <w:t xml:space="preserve">eporting </w:t>
      </w:r>
      <w:r w:rsidR="00C10EC3" w:rsidRPr="00774A86">
        <w:t>f</w:t>
      </w:r>
      <w:r w:rsidRPr="00774A86">
        <w:t xml:space="preserve">inancial </w:t>
      </w:r>
      <w:r w:rsidR="00C10EC3" w:rsidRPr="00774A86">
        <w:t>i</w:t>
      </w:r>
      <w:r w:rsidRPr="00774A86">
        <w:t xml:space="preserve">nstitution would need to report such accounts to Inland Revenue. </w:t>
      </w:r>
      <w:r w:rsidR="005B5D85" w:rsidRPr="00774A86">
        <w:t xml:space="preserve"> </w:t>
      </w:r>
      <w:r w:rsidR="00444029" w:rsidRPr="00774A86">
        <w:t xml:space="preserve">In this issues paper, </w:t>
      </w:r>
      <w:r w:rsidRPr="00774A86">
        <w:t xml:space="preserve">such </w:t>
      </w:r>
      <w:r w:rsidR="00C10EC3" w:rsidRPr="00774A86">
        <w:t>f</w:t>
      </w:r>
      <w:r w:rsidRPr="00774A86">
        <w:t xml:space="preserve">inancial </w:t>
      </w:r>
      <w:r w:rsidR="00C10EC3" w:rsidRPr="00774A86">
        <w:t>i</w:t>
      </w:r>
      <w:r w:rsidRPr="00774A86">
        <w:t xml:space="preserve">nstitutions </w:t>
      </w:r>
      <w:r w:rsidR="005B5D85" w:rsidRPr="00774A86">
        <w:t xml:space="preserve">(that have CRS due diligence and reporting obligations) </w:t>
      </w:r>
      <w:r w:rsidRPr="00774A86">
        <w:t xml:space="preserve">will be referred to as </w:t>
      </w:r>
      <w:r w:rsidR="00522274" w:rsidRPr="00774A86">
        <w:t>New Zealand</w:t>
      </w:r>
      <w:r w:rsidRPr="00774A86">
        <w:t xml:space="preserve"> </w:t>
      </w:r>
      <w:r w:rsidR="00C10EC3" w:rsidRPr="00774A86">
        <w:t>r</w:t>
      </w:r>
      <w:r w:rsidRPr="00774A86">
        <w:t xml:space="preserve">eporting </w:t>
      </w:r>
      <w:r w:rsidR="00C10EC3" w:rsidRPr="00774A86">
        <w:t>f</w:t>
      </w:r>
      <w:r w:rsidRPr="00774A86">
        <w:t xml:space="preserve">inancial </w:t>
      </w:r>
      <w:r w:rsidR="00C10EC3" w:rsidRPr="00774A86">
        <w:t>i</w:t>
      </w:r>
      <w:r w:rsidRPr="00774A86">
        <w:t xml:space="preserve">nstitutions. </w:t>
      </w:r>
      <w:r w:rsidR="00BF2D3B" w:rsidRPr="00774A86">
        <w:t xml:space="preserve"> (</w:t>
      </w:r>
      <w:r w:rsidRPr="00774A86">
        <w:t xml:space="preserve">Note that a </w:t>
      </w:r>
      <w:r w:rsidR="00522274" w:rsidRPr="00774A86">
        <w:t>New Zealand</w:t>
      </w:r>
      <w:r w:rsidRPr="00774A86">
        <w:t xml:space="preserve"> </w:t>
      </w:r>
      <w:r w:rsidR="00C10EC3" w:rsidRPr="00774A86">
        <w:t>r</w:t>
      </w:r>
      <w:r w:rsidRPr="00774A86">
        <w:t xml:space="preserve">eporting </w:t>
      </w:r>
      <w:r w:rsidR="00C10EC3" w:rsidRPr="00774A86">
        <w:t>f</w:t>
      </w:r>
      <w:r w:rsidRPr="00774A86">
        <w:t xml:space="preserve">inancial </w:t>
      </w:r>
      <w:r w:rsidR="00C10EC3" w:rsidRPr="00774A86">
        <w:t>i</w:t>
      </w:r>
      <w:r w:rsidRPr="00774A86">
        <w:t xml:space="preserve">nstitution may conduct due diligence on its accounts but not identify any </w:t>
      </w:r>
      <w:r w:rsidR="00C10EC3" w:rsidRPr="00774A86">
        <w:t>r</w:t>
      </w:r>
      <w:r w:rsidR="00EE5866" w:rsidRPr="00774A86">
        <w:t>eportable accounts</w:t>
      </w:r>
      <w:r w:rsidRPr="00774A86">
        <w:t xml:space="preserve"> or undocumented accounts</w:t>
      </w:r>
      <w:r w:rsidR="00BF2D3B" w:rsidRPr="00774A86">
        <w:t>).</w:t>
      </w:r>
    </w:p>
    <w:p w:rsidR="00BF2D3B" w:rsidRPr="00774A86" w:rsidRDefault="00BF2D3B" w:rsidP="0051122F">
      <w:pPr>
        <w:pStyle w:val="Chapter2"/>
        <w:numPr>
          <w:ilvl w:val="0"/>
          <w:numId w:val="0"/>
        </w:numPr>
        <w:ind w:left="851" w:hanging="851"/>
        <w:rPr>
          <w:highlight w:val="yellow"/>
        </w:rPr>
      </w:pPr>
    </w:p>
    <w:p w:rsidR="0077285A" w:rsidRPr="00774A86" w:rsidRDefault="0077285A" w:rsidP="00016A08">
      <w:pPr>
        <w:pStyle w:val="Chapter2"/>
        <w:ind w:left="851" w:hanging="851"/>
      </w:pPr>
      <w:r w:rsidRPr="00774A86">
        <w:t xml:space="preserve">The due diligence procedures that a </w:t>
      </w:r>
      <w:r w:rsidR="00D41DA1" w:rsidRPr="00774A86">
        <w:t>p</w:t>
      </w:r>
      <w:r w:rsidRPr="00774A86">
        <w:t xml:space="preserve">articipating </w:t>
      </w:r>
      <w:r w:rsidR="00D41DA1" w:rsidRPr="00774A86">
        <w:t>j</w:t>
      </w:r>
      <w:r w:rsidRPr="00774A86">
        <w:t xml:space="preserve">urisdiction must put in place for </w:t>
      </w:r>
      <w:r w:rsidR="00D41DA1" w:rsidRPr="00774A86">
        <w:t>r</w:t>
      </w:r>
      <w:r w:rsidRPr="00774A86">
        <w:t xml:space="preserve">eporting </w:t>
      </w:r>
      <w:r w:rsidR="00D41DA1" w:rsidRPr="00774A86">
        <w:t>f</w:t>
      </w:r>
      <w:r w:rsidRPr="00774A86">
        <w:t xml:space="preserve">inancial </w:t>
      </w:r>
      <w:r w:rsidR="00D41DA1" w:rsidRPr="00774A86">
        <w:t>i</w:t>
      </w:r>
      <w:r w:rsidRPr="00774A86">
        <w:t>nstitutions to use in determining whether a non-</w:t>
      </w:r>
      <w:r w:rsidRPr="00774A86">
        <w:lastRenderedPageBreak/>
        <w:t xml:space="preserve">exempt account they maintain is a </w:t>
      </w:r>
      <w:r w:rsidR="00D41DA1" w:rsidRPr="00774A86">
        <w:t>r</w:t>
      </w:r>
      <w:r w:rsidRPr="00774A86">
        <w:t xml:space="preserve">eportable </w:t>
      </w:r>
      <w:r w:rsidR="00D41DA1" w:rsidRPr="00774A86">
        <w:t>a</w:t>
      </w:r>
      <w:r w:rsidRPr="00774A86">
        <w:t>ccount (held or controlled</w:t>
      </w:r>
      <w:r w:rsidRPr="00774A86">
        <w:rPr>
          <w:sz w:val="22"/>
          <w:szCs w:val="22"/>
          <w:vertAlign w:val="superscript"/>
        </w:rPr>
        <w:footnoteReference w:id="16"/>
      </w:r>
      <w:r w:rsidRPr="00774A86">
        <w:t xml:space="preserve"> by a </w:t>
      </w:r>
      <w:r w:rsidR="00D41DA1" w:rsidRPr="00774A86">
        <w:t>r</w:t>
      </w:r>
      <w:r w:rsidRPr="00774A86">
        <w:t xml:space="preserve">eportable </w:t>
      </w:r>
      <w:r w:rsidR="00D41DA1" w:rsidRPr="00774A86">
        <w:t>p</w:t>
      </w:r>
      <w:r w:rsidRPr="00774A86">
        <w:t xml:space="preserve">erson) or an undocumented account, are set out in Sections II to VII of the CRS.  A </w:t>
      </w:r>
      <w:r w:rsidR="00D41DA1" w:rsidRPr="00774A86">
        <w:t>r</w:t>
      </w:r>
      <w:r w:rsidRPr="00774A86">
        <w:t xml:space="preserve">eportable </w:t>
      </w:r>
      <w:r w:rsidR="00D41DA1" w:rsidRPr="00774A86">
        <w:t>p</w:t>
      </w:r>
      <w:r w:rsidRPr="00774A86">
        <w:t xml:space="preserve">erson is a non-exempt </w:t>
      </w:r>
      <w:r w:rsidR="00D41DA1" w:rsidRPr="00774A86">
        <w:t>n</w:t>
      </w:r>
      <w:r w:rsidRPr="00774A86">
        <w:t xml:space="preserve">atural </w:t>
      </w:r>
      <w:r w:rsidR="00D41DA1" w:rsidRPr="00774A86">
        <w:t>p</w:t>
      </w:r>
      <w:r w:rsidRPr="00774A86">
        <w:t xml:space="preserve">erson or </w:t>
      </w:r>
      <w:r w:rsidR="00D41DA1" w:rsidRPr="00774A86">
        <w:t>e</w:t>
      </w:r>
      <w:r w:rsidRPr="00774A86">
        <w:t>ntity</w:t>
      </w:r>
      <w:r w:rsidRPr="00774A86">
        <w:rPr>
          <w:sz w:val="22"/>
          <w:szCs w:val="22"/>
          <w:vertAlign w:val="superscript"/>
        </w:rPr>
        <w:footnoteReference w:id="17"/>
      </w:r>
      <w:r w:rsidRPr="00774A86">
        <w:t xml:space="preserve"> that is </w:t>
      </w:r>
      <w:r w:rsidR="00472CC4" w:rsidRPr="00774A86">
        <w:t>tax-</w:t>
      </w:r>
      <w:r w:rsidRPr="00774A86">
        <w:t xml:space="preserve">resident (including sometimes treated as resident based on indicia that is not “cured”) in a </w:t>
      </w:r>
      <w:r w:rsidR="00D41DA1" w:rsidRPr="00774A86">
        <w:t xml:space="preserve">participating </w:t>
      </w:r>
      <w:r w:rsidRPr="00774A86">
        <w:t>jurisdiction</w:t>
      </w:r>
      <w:r w:rsidR="00171041" w:rsidRPr="00774A86">
        <w:t>.</w:t>
      </w:r>
      <w:r w:rsidRPr="00774A86">
        <w:rPr>
          <w:sz w:val="22"/>
          <w:szCs w:val="22"/>
          <w:vertAlign w:val="superscript"/>
        </w:rPr>
        <w:footnoteReference w:id="18"/>
      </w:r>
      <w:r w:rsidRPr="00774A86">
        <w:t xml:space="preserve"> </w:t>
      </w:r>
      <w:r w:rsidR="00D41DA1" w:rsidRPr="00774A86">
        <w:t xml:space="preserve"> A reportable person can also be a </w:t>
      </w:r>
      <w:r w:rsidR="005B5D85" w:rsidRPr="00774A86">
        <w:t>non-exempt</w:t>
      </w:r>
      <w:r w:rsidRPr="00774A86">
        <w:t xml:space="preserve"> </w:t>
      </w:r>
      <w:r w:rsidR="00D41DA1" w:rsidRPr="00774A86">
        <w:t>e</w:t>
      </w:r>
      <w:r w:rsidRPr="00774A86">
        <w:t>ntity (such as a partnership, limited liability partnership, or similar legal arrangement) that has no jurisdiction for tax purposes</w:t>
      </w:r>
      <w:r w:rsidR="00171041" w:rsidRPr="00774A86">
        <w:t>,</w:t>
      </w:r>
      <w:r w:rsidRPr="00774A86">
        <w:t xml:space="preserve"> </w:t>
      </w:r>
      <w:r w:rsidR="00171041" w:rsidRPr="00774A86">
        <w:t>in which case the CRS looks to</w:t>
      </w:r>
      <w:r w:rsidRPr="00774A86">
        <w:t xml:space="preserve"> the </w:t>
      </w:r>
      <w:r w:rsidR="00D41DA1" w:rsidRPr="00774A86">
        <w:t xml:space="preserve">participating </w:t>
      </w:r>
      <w:r w:rsidRPr="00774A86">
        <w:t xml:space="preserve">jurisdiction in which </w:t>
      </w:r>
      <w:r w:rsidR="003364DC" w:rsidRPr="00774A86">
        <w:t xml:space="preserve">the </w:t>
      </w:r>
      <w:r w:rsidRPr="00774A86">
        <w:t>place of effective management is situated</w:t>
      </w:r>
      <w:r w:rsidR="00D41DA1" w:rsidRPr="00774A86">
        <w:t xml:space="preserve">. </w:t>
      </w:r>
      <w:r w:rsidRPr="00774A86">
        <w:t xml:space="preserve"> </w:t>
      </w:r>
      <w:r w:rsidR="003364DC" w:rsidRPr="00774A86">
        <w:t xml:space="preserve">For CRS purposes, </w:t>
      </w:r>
      <w:r w:rsidR="003364DC" w:rsidRPr="00774A86">
        <w:rPr>
          <w:b/>
        </w:rPr>
        <w:t>t</w:t>
      </w:r>
      <w:r w:rsidRPr="00774A86">
        <w:rPr>
          <w:b/>
        </w:rPr>
        <w:t xml:space="preserve">hese are </w:t>
      </w:r>
      <w:r w:rsidR="00D41DA1" w:rsidRPr="00774A86">
        <w:rPr>
          <w:b/>
        </w:rPr>
        <w:t>p</w:t>
      </w:r>
      <w:r w:rsidRPr="00774A86">
        <w:rPr>
          <w:b/>
        </w:rPr>
        <w:t xml:space="preserve">ersons resident in </w:t>
      </w:r>
      <w:r w:rsidR="00D41DA1" w:rsidRPr="00774A86">
        <w:rPr>
          <w:b/>
        </w:rPr>
        <w:t>r</w:t>
      </w:r>
      <w:r w:rsidR="00EE5866" w:rsidRPr="00774A86">
        <w:rPr>
          <w:b/>
        </w:rPr>
        <w:t xml:space="preserve">eportable </w:t>
      </w:r>
      <w:r w:rsidR="00D41DA1" w:rsidRPr="00774A86">
        <w:rPr>
          <w:b/>
        </w:rPr>
        <w:t>j</w:t>
      </w:r>
      <w:r w:rsidR="00EE5866" w:rsidRPr="00774A86">
        <w:rPr>
          <w:b/>
        </w:rPr>
        <w:t>urisdiction</w:t>
      </w:r>
      <w:r w:rsidRPr="00774A86">
        <w:rPr>
          <w:b/>
        </w:rPr>
        <w:t>s</w:t>
      </w:r>
      <w:r w:rsidRPr="00774A86">
        <w:t>.</w:t>
      </w:r>
    </w:p>
    <w:p w:rsidR="0077285A" w:rsidRPr="00774A86" w:rsidRDefault="0077285A" w:rsidP="00016A08">
      <w:pPr>
        <w:pStyle w:val="Chapter2"/>
        <w:numPr>
          <w:ilvl w:val="0"/>
          <w:numId w:val="0"/>
        </w:numPr>
        <w:ind w:left="851" w:hanging="851"/>
        <w:rPr>
          <w:highlight w:val="yellow"/>
        </w:rPr>
      </w:pPr>
    </w:p>
    <w:p w:rsidR="0077285A" w:rsidRPr="00774A86" w:rsidRDefault="0077285A" w:rsidP="00016A08">
      <w:pPr>
        <w:pStyle w:val="Chapter2"/>
        <w:ind w:left="851" w:hanging="851"/>
      </w:pPr>
      <w:r w:rsidRPr="00774A86">
        <w:t xml:space="preserve">The CRS due diligence procedures that </w:t>
      </w:r>
      <w:r w:rsidR="00D41DA1" w:rsidRPr="00774A86">
        <w:t>r</w:t>
      </w:r>
      <w:r w:rsidRPr="00774A86">
        <w:t xml:space="preserve">eporting </w:t>
      </w:r>
      <w:r w:rsidR="00D41DA1" w:rsidRPr="00774A86">
        <w:t>f</w:t>
      </w:r>
      <w:r w:rsidRPr="00774A86">
        <w:t xml:space="preserve">inancial </w:t>
      </w:r>
      <w:r w:rsidR="00D41DA1" w:rsidRPr="00774A86">
        <w:t>i</w:t>
      </w:r>
      <w:r w:rsidRPr="00774A86">
        <w:t xml:space="preserve">nstitutions need to apply to identify such </w:t>
      </w:r>
      <w:r w:rsidR="00D41DA1" w:rsidRPr="00774A86">
        <w:t>r</w:t>
      </w:r>
      <w:r w:rsidR="00EE5866" w:rsidRPr="00774A86">
        <w:t>eportable accounts</w:t>
      </w:r>
      <w:r w:rsidRPr="00774A86">
        <w:t xml:space="preserve"> and undocumented accounts vary depending on whether the account is a </w:t>
      </w:r>
      <w:r w:rsidR="00D41DA1" w:rsidRPr="00774A86">
        <w:t>p</w:t>
      </w:r>
      <w:r w:rsidRPr="00774A86">
        <w:t>re</w:t>
      </w:r>
      <w:r w:rsidR="00522274" w:rsidRPr="00774A86">
        <w:t>-</w:t>
      </w:r>
      <w:r w:rsidRPr="00774A86">
        <w:t xml:space="preserve">existing account or a </w:t>
      </w:r>
      <w:r w:rsidR="00D41DA1" w:rsidRPr="00774A86">
        <w:t>n</w:t>
      </w:r>
      <w:r w:rsidRPr="00774A86">
        <w:t xml:space="preserve">ew </w:t>
      </w:r>
      <w:r w:rsidR="00D41DA1" w:rsidRPr="00774A86">
        <w:t>a</w:t>
      </w:r>
      <w:r w:rsidRPr="00774A86">
        <w:t xml:space="preserve">ccount and whether the account is held by an </w:t>
      </w:r>
      <w:r w:rsidR="00D41DA1" w:rsidRPr="00774A86">
        <w:t>i</w:t>
      </w:r>
      <w:r w:rsidRPr="00774A86">
        <w:t xml:space="preserve">ndividual or an </w:t>
      </w:r>
      <w:r w:rsidR="00D41DA1" w:rsidRPr="00774A86">
        <w:t>e</w:t>
      </w:r>
      <w:r w:rsidRPr="00774A86">
        <w:t>ntity.</w:t>
      </w:r>
      <w:r w:rsidR="005B5D85" w:rsidRPr="00774A86">
        <w:t xml:space="preserve"> </w:t>
      </w:r>
      <w:r w:rsidRPr="00774A86">
        <w:t xml:space="preserve"> In broad terms, a </w:t>
      </w:r>
      <w:r w:rsidR="00D41DA1" w:rsidRPr="00774A86">
        <w:t>p</w:t>
      </w:r>
      <w:r w:rsidRPr="00774A86">
        <w:t>re</w:t>
      </w:r>
      <w:r w:rsidR="00522274" w:rsidRPr="00774A86">
        <w:t>-</w:t>
      </w:r>
      <w:r w:rsidRPr="00774A86">
        <w:t xml:space="preserve">existing account will be an account </w:t>
      </w:r>
      <w:r w:rsidR="00D41DA1" w:rsidRPr="00774A86">
        <w:t xml:space="preserve">maintained by a reporting financial institution </w:t>
      </w:r>
      <w:r w:rsidRPr="00774A86">
        <w:t>immediately before the date of implementation of the CRS (</w:t>
      </w:r>
      <w:r w:rsidR="00472CC4" w:rsidRPr="00774A86">
        <w:t>for example,</w:t>
      </w:r>
      <w:r w:rsidRPr="00774A86">
        <w:t xml:space="preserve"> 30 June 2017) and a </w:t>
      </w:r>
      <w:r w:rsidR="00D41DA1" w:rsidRPr="00774A86">
        <w:t>n</w:t>
      </w:r>
      <w:r w:rsidRPr="00774A86">
        <w:t xml:space="preserve">ew </w:t>
      </w:r>
      <w:r w:rsidR="00D41DA1" w:rsidRPr="00774A86">
        <w:t>a</w:t>
      </w:r>
      <w:r w:rsidRPr="00774A86">
        <w:t>ccount will be an account opened on or after the date of implementation of the CRS (</w:t>
      </w:r>
      <w:r w:rsidR="00472CC4" w:rsidRPr="00774A86">
        <w:t>for example,</w:t>
      </w:r>
      <w:r w:rsidRPr="00774A86">
        <w:t xml:space="preserve"> 1 July 2017).</w:t>
      </w:r>
    </w:p>
    <w:p w:rsidR="0077285A" w:rsidRPr="00774A86" w:rsidRDefault="0077285A" w:rsidP="00016A08">
      <w:pPr>
        <w:pStyle w:val="Chapter2"/>
        <w:numPr>
          <w:ilvl w:val="0"/>
          <w:numId w:val="0"/>
        </w:numPr>
        <w:ind w:left="851" w:hanging="851"/>
      </w:pPr>
    </w:p>
    <w:p w:rsidR="0077285A" w:rsidRPr="00774A86" w:rsidRDefault="0077285A" w:rsidP="0051122F">
      <w:pPr>
        <w:pStyle w:val="Chapter2"/>
        <w:ind w:left="851" w:hanging="851"/>
      </w:pPr>
      <w:r w:rsidRPr="00774A86">
        <w:t xml:space="preserve">The different CRS due diligence procedures for </w:t>
      </w:r>
      <w:r w:rsidR="00654AF0" w:rsidRPr="00774A86">
        <w:t>p</w:t>
      </w:r>
      <w:r w:rsidRPr="00774A86">
        <w:t>re</w:t>
      </w:r>
      <w:r w:rsidR="00522274" w:rsidRPr="00774A86">
        <w:t>-</w:t>
      </w:r>
      <w:r w:rsidRPr="00774A86">
        <w:t xml:space="preserve">existing and </w:t>
      </w:r>
      <w:r w:rsidR="00654AF0" w:rsidRPr="00774A86">
        <w:t>n</w:t>
      </w:r>
      <w:r w:rsidRPr="00774A86">
        <w:t xml:space="preserve">ew </w:t>
      </w:r>
      <w:r w:rsidR="00654AF0" w:rsidRPr="00774A86">
        <w:t>a</w:t>
      </w:r>
      <w:r w:rsidRPr="00774A86">
        <w:t xml:space="preserve">ccounts are largely in recognition of the fact that it may be more difficult and costly for </w:t>
      </w:r>
      <w:r w:rsidR="00654AF0" w:rsidRPr="00774A86">
        <w:t>r</w:t>
      </w:r>
      <w:r w:rsidRPr="00774A86">
        <w:t xml:space="preserve">eporting </w:t>
      </w:r>
      <w:r w:rsidR="00654AF0" w:rsidRPr="00774A86">
        <w:t>f</w:t>
      </w:r>
      <w:r w:rsidRPr="00774A86">
        <w:t xml:space="preserve">inancial </w:t>
      </w:r>
      <w:r w:rsidR="00654AF0" w:rsidRPr="00774A86">
        <w:t>i</w:t>
      </w:r>
      <w:r w:rsidRPr="00774A86">
        <w:t xml:space="preserve">nstitutions to collect information for </w:t>
      </w:r>
      <w:r w:rsidR="00654AF0" w:rsidRPr="00774A86">
        <w:t>p</w:t>
      </w:r>
      <w:r w:rsidRPr="00774A86">
        <w:t>re</w:t>
      </w:r>
      <w:r w:rsidR="00522274" w:rsidRPr="00774A86">
        <w:t>-</w:t>
      </w:r>
      <w:r w:rsidRPr="00774A86">
        <w:t xml:space="preserve">existing </w:t>
      </w:r>
      <w:r w:rsidR="00654AF0" w:rsidRPr="00774A86">
        <w:t>a</w:t>
      </w:r>
      <w:r w:rsidRPr="00774A86">
        <w:t xml:space="preserve">ccounts than when opening a </w:t>
      </w:r>
      <w:r w:rsidR="00654AF0" w:rsidRPr="00774A86">
        <w:t>n</w:t>
      </w:r>
      <w:r w:rsidRPr="00774A86">
        <w:t xml:space="preserve">ew </w:t>
      </w:r>
      <w:r w:rsidR="00654AF0" w:rsidRPr="00774A86">
        <w:t>a</w:t>
      </w:r>
      <w:r w:rsidRPr="00774A86">
        <w:t>ccount</w:t>
      </w:r>
      <w:r w:rsidR="0030367F" w:rsidRPr="00774A86">
        <w:t>.  T</w:t>
      </w:r>
      <w:r w:rsidRPr="00774A86">
        <w:t xml:space="preserve">he different procedures for </w:t>
      </w:r>
      <w:r w:rsidR="00654AF0" w:rsidRPr="00774A86">
        <w:t>i</w:t>
      </w:r>
      <w:r w:rsidRPr="00774A86">
        <w:t xml:space="preserve">ndividual and </w:t>
      </w:r>
      <w:r w:rsidR="00654AF0" w:rsidRPr="00774A86">
        <w:t>e</w:t>
      </w:r>
      <w:r w:rsidRPr="00774A86">
        <w:t xml:space="preserve">ntity accounts also reflect the fact that a </w:t>
      </w:r>
      <w:r w:rsidR="00654AF0" w:rsidRPr="00774A86">
        <w:t>r</w:t>
      </w:r>
      <w:r w:rsidRPr="00774A86">
        <w:t xml:space="preserve">eportable </w:t>
      </w:r>
      <w:r w:rsidR="00654AF0" w:rsidRPr="00774A86">
        <w:t>p</w:t>
      </w:r>
      <w:r w:rsidRPr="00774A86">
        <w:t xml:space="preserve">erson may hold an account directly or through an </w:t>
      </w:r>
      <w:r w:rsidR="00654AF0" w:rsidRPr="00774A86">
        <w:t>e</w:t>
      </w:r>
      <w:r w:rsidRPr="00774A86">
        <w:t>ntity</w:t>
      </w:r>
      <w:r w:rsidR="0030367F" w:rsidRPr="00774A86">
        <w:t>.  T</w:t>
      </w:r>
      <w:r w:rsidR="00AB3FDB" w:rsidRPr="00774A86">
        <w:t xml:space="preserve">here are also aggregation rules that apply where the </w:t>
      </w:r>
      <w:r w:rsidR="00654AF0" w:rsidRPr="00774A86">
        <w:t>a</w:t>
      </w:r>
      <w:r w:rsidR="00AB3FDB" w:rsidRPr="00774A86">
        <w:t xml:space="preserve">ccount </w:t>
      </w:r>
      <w:r w:rsidR="00654AF0" w:rsidRPr="00774A86">
        <w:t>h</w:t>
      </w:r>
      <w:r w:rsidR="00AB3FDB" w:rsidRPr="00774A86">
        <w:t xml:space="preserve">older has multiple accounts with a </w:t>
      </w:r>
      <w:r w:rsidR="00654AF0" w:rsidRPr="00774A86">
        <w:t>r</w:t>
      </w:r>
      <w:r w:rsidR="00AB3FDB" w:rsidRPr="00774A86">
        <w:t xml:space="preserve">eporting </w:t>
      </w:r>
      <w:r w:rsidR="00654AF0" w:rsidRPr="00774A86">
        <w:t>f</w:t>
      </w:r>
      <w:r w:rsidR="00AB3FDB" w:rsidRPr="00774A86">
        <w:t xml:space="preserve">inancial </w:t>
      </w:r>
      <w:r w:rsidR="00654AF0" w:rsidRPr="00774A86">
        <w:t>i</w:t>
      </w:r>
      <w:r w:rsidR="00AB3FDB" w:rsidRPr="00774A86">
        <w:t xml:space="preserve">nstitution (including a </w:t>
      </w:r>
      <w:r w:rsidR="00654AF0" w:rsidRPr="00774A86">
        <w:t>r</w:t>
      </w:r>
      <w:r w:rsidR="00AB3FDB" w:rsidRPr="00774A86">
        <w:t xml:space="preserve">elated </w:t>
      </w:r>
      <w:r w:rsidR="00654AF0" w:rsidRPr="00774A86">
        <w:t>e</w:t>
      </w:r>
      <w:r w:rsidR="00AB3FDB" w:rsidRPr="00774A86">
        <w:t>ntity) in defined circumstances</w:t>
      </w:r>
      <w:r w:rsidR="0030367F" w:rsidRPr="00774A86">
        <w:t>.  T</w:t>
      </w:r>
      <w:r w:rsidRPr="00774A86">
        <w:t>he</w:t>
      </w:r>
      <w:r w:rsidR="00AB3FDB" w:rsidRPr="00774A86">
        <w:t xml:space="preserve">se </w:t>
      </w:r>
      <w:r w:rsidR="005B5D85" w:rsidRPr="00774A86">
        <w:t>types of accounts</w:t>
      </w:r>
      <w:r w:rsidR="00AB3FDB" w:rsidRPr="00774A86">
        <w:t xml:space="preserve"> and the</w:t>
      </w:r>
      <w:r w:rsidRPr="00774A86">
        <w:t xml:space="preserve"> due diligence procedures that apply to these types of accounts are set out in detail in the</w:t>
      </w:r>
      <w:r w:rsidR="00AB3FDB" w:rsidRPr="00774A86">
        <w:t xml:space="preserve"> </w:t>
      </w:r>
      <w:r w:rsidR="001503F3" w:rsidRPr="00774A86">
        <w:t>Appendix and G</w:t>
      </w:r>
      <w:r w:rsidR="00AB3FDB" w:rsidRPr="00774A86">
        <w:t>lossary</w:t>
      </w:r>
      <w:r w:rsidRPr="00774A86">
        <w:t>.</w:t>
      </w:r>
    </w:p>
    <w:p w:rsidR="0077285A" w:rsidRPr="00774A86" w:rsidRDefault="0077285A" w:rsidP="00C34E8B">
      <w:pPr>
        <w:pStyle w:val="Chapter2"/>
        <w:numPr>
          <w:ilvl w:val="0"/>
          <w:numId w:val="0"/>
        </w:numPr>
        <w:ind w:left="360" w:hanging="360"/>
      </w:pPr>
    </w:p>
    <w:p w:rsidR="0077285A" w:rsidRPr="00774A86" w:rsidRDefault="0077285A" w:rsidP="007905E2">
      <w:pPr>
        <w:pStyle w:val="Chapter2"/>
        <w:ind w:left="709" w:hanging="709"/>
      </w:pPr>
      <w:r w:rsidRPr="00774A86">
        <w:t xml:space="preserve">Under the CRS, a </w:t>
      </w:r>
      <w:r w:rsidR="00654AF0" w:rsidRPr="00774A86">
        <w:t>p</w:t>
      </w:r>
      <w:r w:rsidRPr="00774A86">
        <w:t xml:space="preserve">articipating </w:t>
      </w:r>
      <w:r w:rsidR="00654AF0" w:rsidRPr="00774A86">
        <w:t>j</w:t>
      </w:r>
      <w:r w:rsidRPr="00774A86">
        <w:t xml:space="preserve">urisdiction </w:t>
      </w:r>
      <w:r w:rsidR="00654AF0" w:rsidRPr="00774A86">
        <w:t>f</w:t>
      </w:r>
      <w:r w:rsidRPr="00774A86">
        <w:t xml:space="preserve">inancial </w:t>
      </w:r>
      <w:r w:rsidR="00654AF0" w:rsidRPr="00774A86">
        <w:t>i</w:t>
      </w:r>
      <w:r w:rsidRPr="00774A86">
        <w:t xml:space="preserve">nstitution (such as a </w:t>
      </w:r>
      <w:r w:rsidR="00522274" w:rsidRPr="00774A86">
        <w:t>New Zealand</w:t>
      </w:r>
      <w:r w:rsidRPr="00774A86">
        <w:t xml:space="preserve"> </w:t>
      </w:r>
      <w:r w:rsidR="00654AF0" w:rsidRPr="00774A86">
        <w:t>f</w:t>
      </w:r>
      <w:r w:rsidRPr="00774A86">
        <w:t xml:space="preserve">inancial </w:t>
      </w:r>
      <w:r w:rsidR="00654AF0" w:rsidRPr="00774A86">
        <w:t>i</w:t>
      </w:r>
      <w:r w:rsidRPr="00774A86">
        <w:t xml:space="preserve">nstitution) will be a </w:t>
      </w:r>
      <w:r w:rsidR="0030367F" w:rsidRPr="00774A86">
        <w:t>“</w:t>
      </w:r>
      <w:r w:rsidR="00654AF0" w:rsidRPr="00774A86">
        <w:t>r</w:t>
      </w:r>
      <w:r w:rsidRPr="00774A86">
        <w:t xml:space="preserve">eporting </w:t>
      </w:r>
      <w:r w:rsidR="00654AF0" w:rsidRPr="00774A86">
        <w:t>f</w:t>
      </w:r>
      <w:r w:rsidRPr="00774A86">
        <w:t xml:space="preserve">inancial </w:t>
      </w:r>
      <w:r w:rsidR="00654AF0" w:rsidRPr="00774A86">
        <w:t>i</w:t>
      </w:r>
      <w:r w:rsidRPr="00774A86">
        <w:t>nstitution</w:t>
      </w:r>
      <w:r w:rsidR="0030367F" w:rsidRPr="00774A86">
        <w:t>”</w:t>
      </w:r>
      <w:r w:rsidRPr="00774A86">
        <w:t xml:space="preserve"> </w:t>
      </w:r>
      <w:r w:rsidRPr="00774A86">
        <w:rPr>
          <w:u w:val="single"/>
        </w:rPr>
        <w:t>if</w:t>
      </w:r>
      <w:r w:rsidRPr="00774A86">
        <w:t xml:space="preserve"> it does not fall within any of the categories of </w:t>
      </w:r>
      <w:r w:rsidR="0030367F" w:rsidRPr="00774A86">
        <w:t>“</w:t>
      </w:r>
      <w:r w:rsidR="00654AF0" w:rsidRPr="00774A86">
        <w:t>n</w:t>
      </w:r>
      <w:r w:rsidRPr="00774A86">
        <w:t>on-</w:t>
      </w:r>
      <w:r w:rsidR="00654AF0" w:rsidRPr="00774A86">
        <w:t>r</w:t>
      </w:r>
      <w:r w:rsidRPr="00774A86">
        <w:t xml:space="preserve">eporting </w:t>
      </w:r>
      <w:r w:rsidR="00654AF0" w:rsidRPr="00774A86">
        <w:t>f</w:t>
      </w:r>
      <w:r w:rsidRPr="00774A86">
        <w:t xml:space="preserve">inancial </w:t>
      </w:r>
      <w:r w:rsidR="00654AF0" w:rsidRPr="00774A86">
        <w:t>i</w:t>
      </w:r>
      <w:r w:rsidRPr="00774A86">
        <w:t>nstitution</w:t>
      </w:r>
      <w:r w:rsidR="0030367F" w:rsidRPr="00774A86">
        <w:t>”</w:t>
      </w:r>
      <w:r w:rsidRPr="00774A86">
        <w:t xml:space="preserve"> set out in the CRS and its </w:t>
      </w:r>
      <w:r w:rsidR="009F5A08" w:rsidRPr="00774A86">
        <w:t>Commentaries</w:t>
      </w:r>
      <w:r w:rsidRPr="00774A86">
        <w:t>.</w:t>
      </w:r>
    </w:p>
    <w:p w:rsidR="0077285A" w:rsidRPr="00774A86" w:rsidRDefault="0077285A" w:rsidP="007905E2">
      <w:pPr>
        <w:pStyle w:val="Chapter2"/>
        <w:numPr>
          <w:ilvl w:val="0"/>
          <w:numId w:val="0"/>
        </w:numPr>
        <w:ind w:left="360" w:hanging="360"/>
      </w:pPr>
    </w:p>
    <w:p w:rsidR="0077285A" w:rsidRPr="00774A86" w:rsidRDefault="0077285A" w:rsidP="00016A08">
      <w:pPr>
        <w:pStyle w:val="Chapter2"/>
        <w:ind w:left="851" w:hanging="851"/>
      </w:pPr>
      <w:r w:rsidRPr="00774A86">
        <w:t xml:space="preserve">The CRS sets out the following specific categories of </w:t>
      </w:r>
      <w:r w:rsidR="00654AF0" w:rsidRPr="00774A86">
        <w:t>n</w:t>
      </w:r>
      <w:r w:rsidRPr="00774A86">
        <w:t>on-</w:t>
      </w:r>
      <w:r w:rsidR="00654AF0" w:rsidRPr="00774A86">
        <w:t>r</w:t>
      </w:r>
      <w:r w:rsidRPr="00774A86">
        <w:t xml:space="preserve">eporting </w:t>
      </w:r>
      <w:r w:rsidR="00654AF0" w:rsidRPr="00774A86">
        <w:t>f</w:t>
      </w:r>
      <w:r w:rsidRPr="00774A86">
        <w:t xml:space="preserve">inancial </w:t>
      </w:r>
      <w:r w:rsidR="00654AF0" w:rsidRPr="00774A86">
        <w:t>i</w:t>
      </w:r>
      <w:r w:rsidRPr="00774A86">
        <w:t>nstitution (that are not required to carry out due diligence procedures or report), together with the criteria for identifying them:</w:t>
      </w:r>
    </w:p>
    <w:p w:rsidR="0077285A" w:rsidRPr="00774A86" w:rsidRDefault="0077285A" w:rsidP="00016A08">
      <w:pPr>
        <w:pStyle w:val="Chapter2"/>
        <w:numPr>
          <w:ilvl w:val="0"/>
          <w:numId w:val="0"/>
        </w:numPr>
        <w:ind w:left="851" w:hanging="851"/>
      </w:pPr>
    </w:p>
    <w:p w:rsidR="0077285A" w:rsidRPr="00774A86" w:rsidRDefault="00B12951" w:rsidP="007905E2">
      <w:pPr>
        <w:pStyle w:val="Bullets"/>
      </w:pPr>
      <w:r w:rsidRPr="00774A86">
        <w:t xml:space="preserve">a </w:t>
      </w:r>
      <w:r w:rsidR="0030367F" w:rsidRPr="00774A86">
        <w:t>“</w:t>
      </w:r>
      <w:r w:rsidR="00654AF0" w:rsidRPr="00774A86">
        <w:t>g</w:t>
      </w:r>
      <w:r w:rsidR="0077285A" w:rsidRPr="00774A86">
        <w:t xml:space="preserve">overnmental </w:t>
      </w:r>
      <w:r w:rsidR="00654AF0" w:rsidRPr="00774A86">
        <w:t>e</w:t>
      </w:r>
      <w:r w:rsidR="0077285A" w:rsidRPr="00774A86">
        <w:t>ntity</w:t>
      </w:r>
      <w:r w:rsidR="0030367F" w:rsidRPr="00774A86">
        <w:t>”</w:t>
      </w:r>
      <w:r w:rsidR="0077285A" w:rsidRPr="00774A86">
        <w:t xml:space="preserve">, </w:t>
      </w:r>
      <w:r w:rsidR="0030367F" w:rsidRPr="00774A86">
        <w:t>“</w:t>
      </w:r>
      <w:r w:rsidR="00654AF0" w:rsidRPr="00774A86">
        <w:t>i</w:t>
      </w:r>
      <w:r w:rsidR="0077285A" w:rsidRPr="00774A86">
        <w:t xml:space="preserve">nternational </w:t>
      </w:r>
      <w:r w:rsidR="00654AF0" w:rsidRPr="00774A86">
        <w:t>o</w:t>
      </w:r>
      <w:r w:rsidR="0077285A" w:rsidRPr="00774A86">
        <w:t>rganisation</w:t>
      </w:r>
      <w:r w:rsidR="0030367F" w:rsidRPr="00774A86">
        <w:t>”</w:t>
      </w:r>
      <w:r w:rsidR="0077285A" w:rsidRPr="00774A86">
        <w:t xml:space="preserve">, or </w:t>
      </w:r>
      <w:r w:rsidR="0030367F" w:rsidRPr="00774A86">
        <w:t>“</w:t>
      </w:r>
      <w:r w:rsidR="00654AF0" w:rsidRPr="00774A86">
        <w:t>c</w:t>
      </w:r>
      <w:r w:rsidR="0077285A" w:rsidRPr="00774A86">
        <w:t xml:space="preserve">entral </w:t>
      </w:r>
      <w:r w:rsidR="00654AF0" w:rsidRPr="00774A86">
        <w:t>b</w:t>
      </w:r>
      <w:r w:rsidR="0077285A" w:rsidRPr="00774A86">
        <w:t>ank</w:t>
      </w:r>
      <w:r w:rsidR="0030367F" w:rsidRPr="00774A86">
        <w:t>”</w:t>
      </w:r>
      <w:r w:rsidR="0077285A" w:rsidRPr="00774A86">
        <w:t>;</w:t>
      </w:r>
      <w:r w:rsidR="0077285A" w:rsidRPr="00774A86">
        <w:rPr>
          <w:sz w:val="22"/>
          <w:szCs w:val="22"/>
          <w:vertAlign w:val="superscript"/>
        </w:rPr>
        <w:footnoteReference w:id="19"/>
      </w:r>
    </w:p>
    <w:p w:rsidR="0077285A" w:rsidRPr="00774A86" w:rsidRDefault="00B12951" w:rsidP="007905E2">
      <w:pPr>
        <w:pStyle w:val="Bullets"/>
      </w:pPr>
      <w:r w:rsidRPr="00774A86">
        <w:t xml:space="preserve">a </w:t>
      </w:r>
      <w:r w:rsidR="0030367F" w:rsidRPr="00774A86">
        <w:t>“</w:t>
      </w:r>
      <w:r w:rsidR="00654AF0" w:rsidRPr="00774A86">
        <w:t>b</w:t>
      </w:r>
      <w:r w:rsidR="0077285A" w:rsidRPr="00774A86">
        <w:t xml:space="preserve">road </w:t>
      </w:r>
      <w:r w:rsidR="00654AF0" w:rsidRPr="00774A86">
        <w:t>p</w:t>
      </w:r>
      <w:r w:rsidR="0077285A" w:rsidRPr="00774A86">
        <w:t xml:space="preserve">articipation </w:t>
      </w:r>
      <w:r w:rsidR="00654AF0" w:rsidRPr="00774A86">
        <w:t>r</w:t>
      </w:r>
      <w:r w:rsidR="0077285A" w:rsidRPr="00774A86">
        <w:t xml:space="preserve">etirement </w:t>
      </w:r>
      <w:r w:rsidR="00654AF0" w:rsidRPr="00774A86">
        <w:t>f</w:t>
      </w:r>
      <w:r w:rsidR="0077285A" w:rsidRPr="00774A86">
        <w:t>und</w:t>
      </w:r>
      <w:r w:rsidR="0030367F" w:rsidRPr="00774A86">
        <w:t>”</w:t>
      </w:r>
      <w:r w:rsidR="0077285A" w:rsidRPr="00774A86">
        <w:t xml:space="preserve">, </w:t>
      </w:r>
      <w:r w:rsidR="0030367F" w:rsidRPr="00774A86">
        <w:t>“</w:t>
      </w:r>
      <w:r w:rsidR="00654AF0" w:rsidRPr="00774A86">
        <w:t>n</w:t>
      </w:r>
      <w:r w:rsidR="0077285A" w:rsidRPr="00774A86">
        <w:t xml:space="preserve">arrow </w:t>
      </w:r>
      <w:r w:rsidR="00654AF0" w:rsidRPr="00774A86">
        <w:t>p</w:t>
      </w:r>
      <w:r w:rsidR="0077285A" w:rsidRPr="00774A86">
        <w:t xml:space="preserve">articipation </w:t>
      </w:r>
      <w:r w:rsidR="00991E68" w:rsidRPr="00774A86">
        <w:t>r</w:t>
      </w:r>
      <w:r w:rsidR="0077285A" w:rsidRPr="00774A86">
        <w:t xml:space="preserve">etirement </w:t>
      </w:r>
      <w:r w:rsidR="00991E68" w:rsidRPr="00774A86">
        <w:t>f</w:t>
      </w:r>
      <w:r w:rsidR="0077285A" w:rsidRPr="00774A86">
        <w:t>und</w:t>
      </w:r>
      <w:r w:rsidR="0030367F" w:rsidRPr="00774A86">
        <w:t>”</w:t>
      </w:r>
      <w:r w:rsidR="0077285A" w:rsidRPr="00774A86">
        <w:t xml:space="preserve">, </w:t>
      </w:r>
      <w:r w:rsidR="0030367F" w:rsidRPr="00774A86">
        <w:t>“</w:t>
      </w:r>
      <w:r w:rsidR="00654AF0" w:rsidRPr="00774A86">
        <w:t>p</w:t>
      </w:r>
      <w:r w:rsidR="0077285A" w:rsidRPr="00774A86">
        <w:t xml:space="preserve">ension </w:t>
      </w:r>
      <w:r w:rsidR="00654AF0" w:rsidRPr="00774A86">
        <w:t>f</w:t>
      </w:r>
      <w:r w:rsidR="0077285A" w:rsidRPr="00774A86">
        <w:t>und</w:t>
      </w:r>
      <w:r w:rsidR="0030367F" w:rsidRPr="00774A86">
        <w:t>”</w:t>
      </w:r>
      <w:r w:rsidR="0077285A" w:rsidRPr="00774A86">
        <w:t xml:space="preserve"> of a </w:t>
      </w:r>
      <w:r w:rsidR="00654AF0" w:rsidRPr="00774A86">
        <w:t>g</w:t>
      </w:r>
      <w:r w:rsidR="0077285A" w:rsidRPr="00774A86">
        <w:t xml:space="preserve">overnmental </w:t>
      </w:r>
      <w:r w:rsidR="00991E68" w:rsidRPr="00774A86">
        <w:t>e</w:t>
      </w:r>
      <w:r w:rsidR="0077285A" w:rsidRPr="00774A86">
        <w:t xml:space="preserve">ntity, </w:t>
      </w:r>
      <w:r w:rsidR="00991E68" w:rsidRPr="00774A86">
        <w:lastRenderedPageBreak/>
        <w:t>i</w:t>
      </w:r>
      <w:r w:rsidR="0077285A" w:rsidRPr="00774A86">
        <w:t xml:space="preserve">nternational </w:t>
      </w:r>
      <w:r w:rsidR="00991E68" w:rsidRPr="00774A86">
        <w:t>o</w:t>
      </w:r>
      <w:r w:rsidR="0077285A" w:rsidRPr="00774A86">
        <w:t xml:space="preserve">rganisation, or </w:t>
      </w:r>
      <w:r w:rsidR="00991E68" w:rsidRPr="00774A86">
        <w:t>c</w:t>
      </w:r>
      <w:r w:rsidR="0077285A" w:rsidRPr="00774A86">
        <w:t xml:space="preserve">entral </w:t>
      </w:r>
      <w:r w:rsidR="00991E68" w:rsidRPr="00774A86">
        <w:t>b</w:t>
      </w:r>
      <w:r w:rsidR="0077285A" w:rsidRPr="00774A86">
        <w:t xml:space="preserve">ank, or a </w:t>
      </w:r>
      <w:r w:rsidR="0030367F" w:rsidRPr="00774A86">
        <w:t>“</w:t>
      </w:r>
      <w:r w:rsidR="00991E68" w:rsidRPr="00774A86">
        <w:t>q</w:t>
      </w:r>
      <w:r w:rsidR="0077285A" w:rsidRPr="00774A86">
        <w:t xml:space="preserve">ualified </w:t>
      </w:r>
      <w:r w:rsidR="00991E68" w:rsidRPr="00774A86">
        <w:t>c</w:t>
      </w:r>
      <w:r w:rsidR="0077285A" w:rsidRPr="00774A86">
        <w:t xml:space="preserve">redit </w:t>
      </w:r>
      <w:r w:rsidR="00991E68" w:rsidRPr="00774A86">
        <w:t>c</w:t>
      </w:r>
      <w:r w:rsidR="0077285A" w:rsidRPr="00774A86">
        <w:t xml:space="preserve">ard </w:t>
      </w:r>
      <w:r w:rsidR="00991E68" w:rsidRPr="00774A86">
        <w:t>i</w:t>
      </w:r>
      <w:r w:rsidR="0077285A" w:rsidRPr="00774A86">
        <w:t>ssuer</w:t>
      </w:r>
      <w:r w:rsidR="0030367F" w:rsidRPr="00774A86">
        <w:t>”</w:t>
      </w:r>
      <w:r w:rsidR="0077285A" w:rsidRPr="00774A86">
        <w:t>;</w:t>
      </w:r>
    </w:p>
    <w:p w:rsidR="0077285A" w:rsidRPr="00774A86" w:rsidRDefault="00B12951" w:rsidP="007905E2">
      <w:pPr>
        <w:pStyle w:val="Bullets"/>
      </w:pPr>
      <w:r w:rsidRPr="00774A86">
        <w:t xml:space="preserve">any </w:t>
      </w:r>
      <w:r w:rsidR="0077285A" w:rsidRPr="00774A86">
        <w:t xml:space="preserve">other </w:t>
      </w:r>
      <w:r w:rsidR="00991E68" w:rsidRPr="00774A86">
        <w:t>e</w:t>
      </w:r>
      <w:r w:rsidR="0077285A" w:rsidRPr="00774A86">
        <w:t xml:space="preserve">ntity that presents a low risk of being used to evade tax, has substantially similar characteristics to the above-mentioned </w:t>
      </w:r>
      <w:r w:rsidR="00991E68" w:rsidRPr="00774A86">
        <w:t>e</w:t>
      </w:r>
      <w:r w:rsidR="0077285A" w:rsidRPr="00774A86">
        <w:t xml:space="preserve">ntities, </w:t>
      </w:r>
      <w:r w:rsidR="0077285A" w:rsidRPr="00774A86">
        <w:rPr>
          <w:b/>
        </w:rPr>
        <w:t>and</w:t>
      </w:r>
      <w:r w:rsidR="0077285A" w:rsidRPr="00774A86">
        <w:t xml:space="preserve"> which is defined in domestic law as a </w:t>
      </w:r>
      <w:r w:rsidR="00991E68" w:rsidRPr="00774A86">
        <w:t>n</w:t>
      </w:r>
      <w:r w:rsidR="0077285A" w:rsidRPr="00774A86">
        <w:t>on-</w:t>
      </w:r>
      <w:r w:rsidR="00991E68" w:rsidRPr="00774A86">
        <w:t>r</w:t>
      </w:r>
      <w:r w:rsidR="0077285A" w:rsidRPr="00774A86">
        <w:t xml:space="preserve">eporting </w:t>
      </w:r>
      <w:r w:rsidR="00991E68" w:rsidRPr="00774A86">
        <w:t>f</w:t>
      </w:r>
      <w:r w:rsidR="0077285A" w:rsidRPr="00774A86">
        <w:t xml:space="preserve">inancial </w:t>
      </w:r>
      <w:r w:rsidR="00991E68" w:rsidRPr="00774A86">
        <w:t>i</w:t>
      </w:r>
      <w:r w:rsidR="0077285A" w:rsidRPr="00774A86">
        <w:t>nstitution;</w:t>
      </w:r>
      <w:r w:rsidR="0077285A" w:rsidRPr="00774A86">
        <w:rPr>
          <w:sz w:val="22"/>
          <w:szCs w:val="22"/>
          <w:vertAlign w:val="superscript"/>
        </w:rPr>
        <w:footnoteReference w:id="20"/>
      </w:r>
    </w:p>
    <w:p w:rsidR="0077285A" w:rsidRPr="00774A86" w:rsidRDefault="00B12951" w:rsidP="007905E2">
      <w:pPr>
        <w:pStyle w:val="Bullets"/>
      </w:pPr>
      <w:r w:rsidRPr="00774A86">
        <w:t xml:space="preserve">an </w:t>
      </w:r>
      <w:r w:rsidR="0030367F" w:rsidRPr="00774A86">
        <w:t>“</w:t>
      </w:r>
      <w:r w:rsidR="00BD2395" w:rsidRPr="00774A86">
        <w:t>e</w:t>
      </w:r>
      <w:r w:rsidR="0077285A" w:rsidRPr="00774A86">
        <w:t xml:space="preserve">xempt </w:t>
      </w:r>
      <w:r w:rsidR="00BD2395" w:rsidRPr="00774A86">
        <w:t>c</w:t>
      </w:r>
      <w:r w:rsidR="0077285A" w:rsidRPr="00774A86">
        <w:t xml:space="preserve">ollective </w:t>
      </w:r>
      <w:r w:rsidR="00BD2395" w:rsidRPr="00774A86">
        <w:t>i</w:t>
      </w:r>
      <w:r w:rsidR="0077285A" w:rsidRPr="00774A86">
        <w:t xml:space="preserve">nvestment </w:t>
      </w:r>
      <w:r w:rsidR="00BD2395" w:rsidRPr="00774A86">
        <w:t>v</w:t>
      </w:r>
      <w:r w:rsidR="0077285A" w:rsidRPr="00774A86">
        <w:t>ehicle</w:t>
      </w:r>
      <w:r w:rsidR="0030367F" w:rsidRPr="00774A86">
        <w:t>”</w:t>
      </w:r>
      <w:r w:rsidR="0077285A" w:rsidRPr="00774A86">
        <w:t>; and</w:t>
      </w:r>
    </w:p>
    <w:p w:rsidR="0077285A" w:rsidRPr="00774A86" w:rsidRDefault="00B12951" w:rsidP="007905E2">
      <w:pPr>
        <w:pStyle w:val="Bullets"/>
        <w:spacing w:after="0"/>
      </w:pPr>
      <w:r w:rsidRPr="00774A86">
        <w:t xml:space="preserve">a </w:t>
      </w:r>
      <w:r w:rsidR="0077285A" w:rsidRPr="00774A86">
        <w:t xml:space="preserve">trust to the extent that the trustee of the trust is itself a </w:t>
      </w:r>
      <w:r w:rsidR="00BD2395" w:rsidRPr="00774A86">
        <w:t>r</w:t>
      </w:r>
      <w:r w:rsidR="0077285A" w:rsidRPr="00774A86">
        <w:t xml:space="preserve">eporting </w:t>
      </w:r>
      <w:r w:rsidR="00BD2395" w:rsidRPr="00774A86">
        <w:t>f</w:t>
      </w:r>
      <w:r w:rsidR="0077285A" w:rsidRPr="00774A86">
        <w:t xml:space="preserve">inancial </w:t>
      </w:r>
      <w:r w:rsidR="00BD2395" w:rsidRPr="00774A86">
        <w:t>i</w:t>
      </w:r>
      <w:r w:rsidR="0077285A" w:rsidRPr="00774A86">
        <w:t>nstitution, and reports all required information in relation to the trust.</w:t>
      </w:r>
    </w:p>
    <w:p w:rsidR="0077285A" w:rsidRPr="00774A86" w:rsidRDefault="0077285A" w:rsidP="007905E2">
      <w:pPr>
        <w:pStyle w:val="Chapter2"/>
        <w:numPr>
          <w:ilvl w:val="0"/>
          <w:numId w:val="0"/>
        </w:numPr>
        <w:ind w:left="360" w:hanging="360"/>
      </w:pPr>
    </w:p>
    <w:p w:rsidR="0077285A" w:rsidRPr="00774A86" w:rsidRDefault="0077285A" w:rsidP="00016A08">
      <w:pPr>
        <w:pStyle w:val="Chapter2"/>
        <w:ind w:left="851" w:hanging="851"/>
      </w:pPr>
      <w:r w:rsidRPr="00774A86">
        <w:t xml:space="preserve">Each </w:t>
      </w:r>
      <w:r w:rsidR="00991E68" w:rsidRPr="00774A86">
        <w:t>participating jurisdiction</w:t>
      </w:r>
      <w:r w:rsidRPr="00774A86">
        <w:t xml:space="preserve"> (including </w:t>
      </w:r>
      <w:r w:rsidR="00522274" w:rsidRPr="00774A86">
        <w:t>New Zealand</w:t>
      </w:r>
      <w:r w:rsidRPr="00774A86">
        <w:t xml:space="preserve">) will need to identify the specific </w:t>
      </w:r>
      <w:r w:rsidR="00BD2395" w:rsidRPr="00774A86">
        <w:t>f</w:t>
      </w:r>
      <w:r w:rsidR="00991E68" w:rsidRPr="00774A86">
        <w:t>inancial institutions</w:t>
      </w:r>
      <w:r w:rsidRPr="00774A86">
        <w:t xml:space="preserve"> in its </w:t>
      </w:r>
      <w:r w:rsidR="00B12951" w:rsidRPr="00774A86">
        <w:t xml:space="preserve">jurisdiction </w:t>
      </w:r>
      <w:r w:rsidRPr="00774A86">
        <w:t xml:space="preserve">that will qualify as </w:t>
      </w:r>
      <w:r w:rsidR="00BD2395" w:rsidRPr="00774A86">
        <w:t>n</w:t>
      </w:r>
      <w:r w:rsidRPr="00774A86">
        <w:t>on-</w:t>
      </w:r>
      <w:r w:rsidR="00BD2395" w:rsidRPr="00774A86">
        <w:t>r</w:t>
      </w:r>
      <w:r w:rsidRPr="00774A86">
        <w:t xml:space="preserve">eporting </w:t>
      </w:r>
      <w:r w:rsidR="00BD2395" w:rsidRPr="00774A86">
        <w:t>f</w:t>
      </w:r>
      <w:r w:rsidR="00991E68" w:rsidRPr="00774A86">
        <w:t>inancial institutions</w:t>
      </w:r>
      <w:r w:rsidRPr="00774A86">
        <w:t>.</w:t>
      </w:r>
      <w:r w:rsidR="005B5D85" w:rsidRPr="00774A86">
        <w:t xml:space="preserve"> </w:t>
      </w:r>
      <w:r w:rsidRPr="00774A86">
        <w:t xml:space="preserve"> Those coming under the category set out in CRS Section </w:t>
      </w:r>
      <w:proofErr w:type="gramStart"/>
      <w:r w:rsidRPr="00774A86">
        <w:t>VIII.B(</w:t>
      </w:r>
      <w:proofErr w:type="gramEnd"/>
      <w:r w:rsidRPr="00774A86">
        <w:t xml:space="preserve">1)(c) of “any other </w:t>
      </w:r>
      <w:r w:rsidR="00BD2395" w:rsidRPr="00774A86">
        <w:t>e</w:t>
      </w:r>
      <w:r w:rsidRPr="00774A86">
        <w:t xml:space="preserve">ntity that presents a low risk of being used to evade tax” </w:t>
      </w:r>
      <w:r w:rsidRPr="00774A86">
        <w:rPr>
          <w:i/>
        </w:rPr>
        <w:t>and</w:t>
      </w:r>
      <w:r w:rsidRPr="00774A86">
        <w:rPr>
          <w:b/>
        </w:rPr>
        <w:t xml:space="preserve"> </w:t>
      </w:r>
      <w:r w:rsidRPr="00774A86">
        <w:t xml:space="preserve">that have </w:t>
      </w:r>
      <w:r w:rsidR="00BD2395" w:rsidRPr="00774A86">
        <w:t>“</w:t>
      </w:r>
      <w:r w:rsidRPr="00774A86">
        <w:t>substantially similar characteristics</w:t>
      </w:r>
      <w:r w:rsidR="00BD2395" w:rsidRPr="00774A86">
        <w:t>”</w:t>
      </w:r>
      <w:r w:rsidRPr="00774A86">
        <w:t xml:space="preserve"> to the relevant types of entities that are mentioned in the CRS, may be defined in domestic law as </w:t>
      </w:r>
      <w:r w:rsidR="00BD2395" w:rsidRPr="00774A86">
        <w:t>n</w:t>
      </w:r>
      <w:r w:rsidRPr="00774A86">
        <w:t>on-</w:t>
      </w:r>
      <w:r w:rsidR="00BD2395" w:rsidRPr="00774A86">
        <w:t>r</w:t>
      </w:r>
      <w:r w:rsidRPr="00774A86">
        <w:t xml:space="preserve">eporting </w:t>
      </w:r>
      <w:r w:rsidR="00BD2395" w:rsidRPr="00774A86">
        <w:t>f</w:t>
      </w:r>
      <w:r w:rsidR="00991E68" w:rsidRPr="00774A86">
        <w:t>inancial institutions</w:t>
      </w:r>
      <w:r w:rsidRPr="00774A86">
        <w:t xml:space="preserve"> </w:t>
      </w:r>
      <w:r w:rsidRPr="00774A86">
        <w:rPr>
          <w:i/>
        </w:rPr>
        <w:t>provided they meet the specific requirements of the CRS</w:t>
      </w:r>
      <w:r w:rsidRPr="00774A86">
        <w:t xml:space="preserve">, and their classification </w:t>
      </w:r>
      <w:r w:rsidRPr="00774A86">
        <w:rPr>
          <w:i/>
        </w:rPr>
        <w:t>does not frustrate the purposes of the CRS</w:t>
      </w:r>
      <w:r w:rsidRPr="00774A86">
        <w:t xml:space="preserve">. </w:t>
      </w:r>
      <w:r w:rsidR="005B5D85" w:rsidRPr="00774A86">
        <w:t xml:space="preserve"> </w:t>
      </w:r>
      <w:r w:rsidRPr="00774A86">
        <w:t xml:space="preserve">Therefore, the scope for New Zealand to define a </w:t>
      </w:r>
      <w:r w:rsidR="00BD2395" w:rsidRPr="00774A86">
        <w:t>f</w:t>
      </w:r>
      <w:r w:rsidRPr="00774A86">
        <w:t xml:space="preserve">inancial </w:t>
      </w:r>
      <w:r w:rsidR="00BD2395" w:rsidRPr="00774A86">
        <w:t>i</w:t>
      </w:r>
      <w:r w:rsidRPr="00774A86">
        <w:t xml:space="preserve">nstitution as a </w:t>
      </w:r>
      <w:r w:rsidR="00522274" w:rsidRPr="00774A86">
        <w:t>New Zealand</w:t>
      </w:r>
      <w:r w:rsidRPr="00774A86">
        <w:t xml:space="preserve"> </w:t>
      </w:r>
      <w:r w:rsidR="00BD2395" w:rsidRPr="00774A86">
        <w:t>n</w:t>
      </w:r>
      <w:r w:rsidRPr="00774A86">
        <w:t>on-</w:t>
      </w:r>
      <w:r w:rsidR="00BD2395" w:rsidRPr="00774A86">
        <w:t>r</w:t>
      </w:r>
      <w:r w:rsidRPr="00774A86">
        <w:t xml:space="preserve">eporting </w:t>
      </w:r>
      <w:r w:rsidR="00BD2395" w:rsidRPr="00774A86">
        <w:t>f</w:t>
      </w:r>
      <w:r w:rsidRPr="00774A86">
        <w:t xml:space="preserve">inancial </w:t>
      </w:r>
      <w:r w:rsidR="00BD2395" w:rsidRPr="00774A86">
        <w:t>i</w:t>
      </w:r>
      <w:r w:rsidRPr="00774A86">
        <w:t xml:space="preserve">nstitution (under this part of the definition of </w:t>
      </w:r>
      <w:r w:rsidR="00BD2395" w:rsidRPr="00774A86">
        <w:t>n</w:t>
      </w:r>
      <w:r w:rsidRPr="00774A86">
        <w:t>on-</w:t>
      </w:r>
      <w:r w:rsidR="00BD2395" w:rsidRPr="00774A86">
        <w:t>r</w:t>
      </w:r>
      <w:r w:rsidRPr="00774A86">
        <w:t xml:space="preserve">eporting </w:t>
      </w:r>
      <w:r w:rsidR="00BD2395" w:rsidRPr="00774A86">
        <w:t>f</w:t>
      </w:r>
      <w:r w:rsidRPr="00774A86">
        <w:t xml:space="preserve">inancial </w:t>
      </w:r>
      <w:r w:rsidR="00BD2395" w:rsidRPr="00774A86">
        <w:t>i</w:t>
      </w:r>
      <w:r w:rsidRPr="00774A86">
        <w:t xml:space="preserve">nstitution) is </w:t>
      </w:r>
      <w:r w:rsidRPr="00774A86">
        <w:rPr>
          <w:i/>
        </w:rPr>
        <w:t>limited</w:t>
      </w:r>
      <w:r w:rsidRPr="00774A86">
        <w:rPr>
          <w:b/>
        </w:rPr>
        <w:t xml:space="preserve"> </w:t>
      </w:r>
      <w:r w:rsidRPr="00774A86">
        <w:t>and would need to be based on these narrow criteria being satisfied.</w:t>
      </w:r>
    </w:p>
    <w:p w:rsidR="0077285A" w:rsidRPr="00774A86" w:rsidRDefault="0077285A" w:rsidP="00016A08">
      <w:pPr>
        <w:pStyle w:val="Chapter2"/>
        <w:numPr>
          <w:ilvl w:val="0"/>
          <w:numId w:val="0"/>
        </w:numPr>
        <w:ind w:left="851" w:hanging="851"/>
      </w:pPr>
    </w:p>
    <w:p w:rsidR="0077285A" w:rsidRPr="00774A86" w:rsidRDefault="0077285A" w:rsidP="00016A08">
      <w:pPr>
        <w:pStyle w:val="Chapter2"/>
        <w:ind w:left="851" w:hanging="851"/>
      </w:pPr>
      <w:r w:rsidRPr="00774A86">
        <w:t xml:space="preserve">The Global Forum has advised that the decisions made in this regard will be subject to stringent international scrutiny to ensure that the aims of the CRS are not frustrated. </w:t>
      </w:r>
      <w:r w:rsidR="005B5D85" w:rsidRPr="00774A86">
        <w:t xml:space="preserve"> </w:t>
      </w:r>
      <w:r w:rsidRPr="00774A86">
        <w:t xml:space="preserve">The expectation is that New Zealand will be able to clearly document its reasons for exempting any particular </w:t>
      </w:r>
      <w:r w:rsidR="00BD2395" w:rsidRPr="00774A86">
        <w:t>f</w:t>
      </w:r>
      <w:r w:rsidRPr="00774A86">
        <w:t xml:space="preserve">inancial </w:t>
      </w:r>
      <w:r w:rsidR="00BD2395" w:rsidRPr="00774A86">
        <w:t>i</w:t>
      </w:r>
      <w:r w:rsidRPr="00774A86">
        <w:t xml:space="preserve">nstitution as a </w:t>
      </w:r>
      <w:r w:rsidR="00522274" w:rsidRPr="00774A86">
        <w:t>New Zealand</w:t>
      </w:r>
      <w:r w:rsidRPr="00774A86">
        <w:t xml:space="preserve"> </w:t>
      </w:r>
      <w:r w:rsidR="00BD2395" w:rsidRPr="00774A86">
        <w:t>n</w:t>
      </w:r>
      <w:r w:rsidRPr="00774A86">
        <w:t>on-</w:t>
      </w:r>
      <w:r w:rsidR="00BD2395" w:rsidRPr="00774A86">
        <w:t>r</w:t>
      </w:r>
      <w:r w:rsidRPr="00774A86">
        <w:t xml:space="preserve">eporting </w:t>
      </w:r>
      <w:r w:rsidR="00BD2395" w:rsidRPr="00774A86">
        <w:t>f</w:t>
      </w:r>
      <w:r w:rsidRPr="00774A86">
        <w:t xml:space="preserve">inancial </w:t>
      </w:r>
      <w:r w:rsidR="00BD2395" w:rsidRPr="00774A86">
        <w:t>i</w:t>
      </w:r>
      <w:r w:rsidRPr="00774A86">
        <w:t>nstitution under domestic law (and in terms of the specific requirements of the CRS).</w:t>
      </w:r>
    </w:p>
    <w:p w:rsidR="0077285A" w:rsidRPr="00774A86" w:rsidRDefault="0077285A" w:rsidP="007905E2">
      <w:pPr>
        <w:pStyle w:val="Chapter2"/>
        <w:numPr>
          <w:ilvl w:val="0"/>
          <w:numId w:val="0"/>
        </w:numPr>
        <w:ind w:left="360" w:hanging="360"/>
      </w:pPr>
    </w:p>
    <w:p w:rsidR="0077285A" w:rsidRPr="00774A86" w:rsidRDefault="0077285A" w:rsidP="00016A08">
      <w:pPr>
        <w:pStyle w:val="Chapter2"/>
        <w:ind w:left="851" w:hanging="851"/>
      </w:pPr>
      <w:r w:rsidRPr="00774A86">
        <w:t xml:space="preserve">Note that the range of </w:t>
      </w:r>
      <w:r w:rsidR="00522274" w:rsidRPr="00774A86">
        <w:t>New Zealand</w:t>
      </w:r>
      <w:r w:rsidRPr="00774A86">
        <w:t xml:space="preserve"> </w:t>
      </w:r>
      <w:r w:rsidR="00BD2395" w:rsidRPr="00774A86">
        <w:t>r</w:t>
      </w:r>
      <w:r w:rsidRPr="00774A86">
        <w:t xml:space="preserve">eporting </w:t>
      </w:r>
      <w:r w:rsidR="00BD2395" w:rsidRPr="00774A86">
        <w:t>f</w:t>
      </w:r>
      <w:r w:rsidR="00991E68" w:rsidRPr="00774A86">
        <w:t xml:space="preserve">inancial </w:t>
      </w:r>
      <w:r w:rsidR="00BD2395" w:rsidRPr="00774A86">
        <w:t>i</w:t>
      </w:r>
      <w:r w:rsidR="00991E68" w:rsidRPr="00774A86">
        <w:t>nstitutions</w:t>
      </w:r>
      <w:r w:rsidRPr="00774A86">
        <w:t xml:space="preserve"> </w:t>
      </w:r>
      <w:r w:rsidR="005B5D85" w:rsidRPr="00774A86">
        <w:t xml:space="preserve">that will be </w:t>
      </w:r>
      <w:r w:rsidRPr="00774A86">
        <w:t xml:space="preserve">required to carry out CRS due diligence and reporting will not necessarily be the same as those that are currently exempted under </w:t>
      </w:r>
      <w:r w:rsidR="009F5A08" w:rsidRPr="00774A86">
        <w:t xml:space="preserve">US </w:t>
      </w:r>
      <w:r w:rsidRPr="00774A86">
        <w:t>FATCA</w:t>
      </w:r>
      <w:r w:rsidR="0030367F" w:rsidRPr="00774A86">
        <w:t>.  F</w:t>
      </w:r>
      <w:r w:rsidRPr="00774A86">
        <w:t>or example, Annex II to the New Zealand/US</w:t>
      </w:r>
      <w:r w:rsidR="0030367F" w:rsidRPr="00774A86">
        <w:t xml:space="preserve"> F</w:t>
      </w:r>
      <w:r w:rsidRPr="00774A86">
        <w:t xml:space="preserve">ATCA intergovernmental agreement (IGA) exempts New Zealand </w:t>
      </w:r>
      <w:r w:rsidR="00BD2395" w:rsidRPr="00774A86">
        <w:t>f</w:t>
      </w:r>
      <w:r w:rsidR="00991E68" w:rsidRPr="00774A86">
        <w:t xml:space="preserve">inancial </w:t>
      </w:r>
      <w:r w:rsidR="00BD2395" w:rsidRPr="00774A86">
        <w:t>i</w:t>
      </w:r>
      <w:r w:rsidR="00991E68" w:rsidRPr="00774A86">
        <w:t>nstitutions</w:t>
      </w:r>
      <w:r w:rsidRPr="00774A86">
        <w:t xml:space="preserve"> with a local client base or which only have low value accounts.  However, no similar exemptions apply under the CRS to treat these as </w:t>
      </w:r>
      <w:r w:rsidR="00BD2395" w:rsidRPr="00774A86">
        <w:t>n</w:t>
      </w:r>
      <w:r w:rsidRPr="00774A86">
        <w:t>on-</w:t>
      </w:r>
      <w:r w:rsidR="00BD2395" w:rsidRPr="00774A86">
        <w:t>r</w:t>
      </w:r>
      <w:r w:rsidRPr="00774A86">
        <w:t xml:space="preserve">eporting </w:t>
      </w:r>
      <w:r w:rsidR="00BD2395" w:rsidRPr="00774A86">
        <w:t>f</w:t>
      </w:r>
      <w:r w:rsidR="00991E68" w:rsidRPr="00774A86">
        <w:t>inancial institutions</w:t>
      </w:r>
      <w:r w:rsidRPr="00774A86">
        <w:t xml:space="preserve"> for CRS purposes.</w:t>
      </w:r>
      <w:r w:rsidRPr="00774A86">
        <w:rPr>
          <w:rStyle w:val="FootnoteReference"/>
          <w:sz w:val="22"/>
          <w:szCs w:val="22"/>
        </w:rPr>
        <w:footnoteReference w:id="21"/>
      </w:r>
      <w:r w:rsidRPr="00774A86">
        <w:t xml:space="preserve"> </w:t>
      </w:r>
      <w:r w:rsidR="007D47D7" w:rsidRPr="00774A86">
        <w:t xml:space="preserve"> </w:t>
      </w:r>
      <w:r w:rsidRPr="00774A86">
        <w:t xml:space="preserve">Instead, the exemption of any entity as being a </w:t>
      </w:r>
      <w:r w:rsidR="00522274" w:rsidRPr="00774A86">
        <w:t>New Zealand</w:t>
      </w:r>
      <w:r w:rsidRPr="00774A86">
        <w:t xml:space="preserve"> </w:t>
      </w:r>
      <w:r w:rsidR="00BD2395" w:rsidRPr="00774A86">
        <w:t>n</w:t>
      </w:r>
      <w:r w:rsidRPr="00774A86">
        <w:t>on-</w:t>
      </w:r>
      <w:r w:rsidR="00BD2395" w:rsidRPr="00774A86">
        <w:t>r</w:t>
      </w:r>
      <w:r w:rsidRPr="00774A86">
        <w:t xml:space="preserve">eporting </w:t>
      </w:r>
      <w:r w:rsidR="00BD2395" w:rsidRPr="00774A86">
        <w:t>f</w:t>
      </w:r>
      <w:r w:rsidRPr="00774A86">
        <w:t xml:space="preserve">inancial </w:t>
      </w:r>
      <w:r w:rsidR="00BD2395" w:rsidRPr="00774A86">
        <w:t>i</w:t>
      </w:r>
      <w:r w:rsidRPr="00774A86">
        <w:t>nstitution would need to be based on the narrow CRS criteria (referred to above) being satisfied.</w:t>
      </w:r>
    </w:p>
    <w:p w:rsidR="0077285A" w:rsidRPr="00774A86" w:rsidRDefault="0077285A" w:rsidP="008C74C6">
      <w:pPr>
        <w:pStyle w:val="Chapter2"/>
        <w:numPr>
          <w:ilvl w:val="0"/>
          <w:numId w:val="0"/>
        </w:numPr>
        <w:ind w:left="360" w:hanging="360"/>
      </w:pPr>
    </w:p>
    <w:p w:rsidR="008C74C6" w:rsidRPr="00774A86" w:rsidRDefault="008C74C6" w:rsidP="008C74C6">
      <w:pPr>
        <w:pStyle w:val="Chapter2"/>
        <w:numPr>
          <w:ilvl w:val="0"/>
          <w:numId w:val="0"/>
        </w:numPr>
        <w:ind w:left="360" w:hanging="360"/>
      </w:pPr>
    </w:p>
    <w:p w:rsidR="00F87FD6" w:rsidRPr="00774A86" w:rsidRDefault="00F87FD6">
      <w:pPr>
        <w:jc w:val="left"/>
        <w:rPr>
          <w:rFonts w:ascii="Times New Roman Bold" w:hAnsi="Times New Roman Bold"/>
          <w:b/>
          <w:kern w:val="28"/>
          <w:szCs w:val="24"/>
        </w:rPr>
      </w:pPr>
      <w:bookmarkStart w:id="42" w:name="_Toc443393734"/>
      <w:r w:rsidRPr="00774A86">
        <w:br w:type="page"/>
      </w:r>
    </w:p>
    <w:p w:rsidR="0077285A" w:rsidRPr="001634BA" w:rsidRDefault="0077285A" w:rsidP="001634BA">
      <w:pPr>
        <w:pStyle w:val="Chapter2"/>
        <w:numPr>
          <w:ilvl w:val="0"/>
          <w:numId w:val="0"/>
        </w:numPr>
        <w:ind w:left="360" w:hanging="360"/>
        <w:rPr>
          <w:b/>
        </w:rPr>
      </w:pPr>
      <w:r w:rsidRPr="001634BA">
        <w:rPr>
          <w:b/>
        </w:rPr>
        <w:lastRenderedPageBreak/>
        <w:t>Consultation question</w:t>
      </w:r>
      <w:bookmarkEnd w:id="42"/>
    </w:p>
    <w:p w:rsidR="00C54743" w:rsidRPr="00774A86" w:rsidRDefault="00C54743" w:rsidP="007905E2">
      <w:pPr>
        <w:pStyle w:val="Chapter2"/>
        <w:numPr>
          <w:ilvl w:val="0"/>
          <w:numId w:val="0"/>
        </w:numPr>
        <w:ind w:left="360" w:hanging="360"/>
      </w:pPr>
    </w:p>
    <w:p w:rsidR="00A571DE" w:rsidRPr="00774A86" w:rsidRDefault="00C54743" w:rsidP="00016A08">
      <w:pPr>
        <w:pStyle w:val="Chapter2"/>
        <w:ind w:left="851" w:hanging="851"/>
      </w:pPr>
      <w:r w:rsidRPr="00774A86">
        <w:t xml:space="preserve">We would appreciate your submissions regarding what entities would </w:t>
      </w:r>
      <w:r w:rsidRPr="00774A86">
        <w:rPr>
          <w:i/>
        </w:rPr>
        <w:t>satisfy the CRS criteria</w:t>
      </w:r>
      <w:r w:rsidRPr="00774A86">
        <w:rPr>
          <w:b/>
        </w:rPr>
        <w:t xml:space="preserve"> </w:t>
      </w:r>
      <w:r w:rsidRPr="00774A86">
        <w:t>(referred to in paragraph 2.15) for being New Zealand non-reporting financial institutions and, therefore, should be exempted from CRS due diligence and reporting obligations.</w:t>
      </w:r>
    </w:p>
    <w:p w:rsidR="0077285A" w:rsidRPr="00774A86" w:rsidRDefault="0077285A" w:rsidP="007905E2">
      <w:pPr>
        <w:pStyle w:val="Chapter2"/>
        <w:numPr>
          <w:ilvl w:val="0"/>
          <w:numId w:val="0"/>
        </w:numPr>
        <w:ind w:left="360" w:hanging="360"/>
      </w:pPr>
    </w:p>
    <w:p w:rsidR="0077285A" w:rsidRPr="00774A86" w:rsidRDefault="00BD2395" w:rsidP="00782EDA">
      <w:pPr>
        <w:pStyle w:val="Bullets"/>
      </w:pPr>
      <w:r w:rsidRPr="00774A86">
        <w:t>Submissions on this point should confirm that the specific criteria set out in paragraph 2.15 and in CRS Section VIII.B.1(c) of the CRS have been met, or if not, then explain any substitute requirements relied on and how they are substantially similar.</w:t>
      </w:r>
    </w:p>
    <w:p w:rsidR="008C74C6" w:rsidRPr="00774A86" w:rsidRDefault="008C74C6" w:rsidP="008C74C6">
      <w:pPr>
        <w:pStyle w:val="Chapter2"/>
        <w:numPr>
          <w:ilvl w:val="0"/>
          <w:numId w:val="0"/>
        </w:numPr>
        <w:ind w:left="360" w:hanging="360"/>
      </w:pPr>
    </w:p>
    <w:p w:rsidR="008C74C6" w:rsidRPr="00774A86" w:rsidRDefault="008C74C6" w:rsidP="008C74C6">
      <w:pPr>
        <w:pStyle w:val="Chapter2"/>
        <w:numPr>
          <w:ilvl w:val="0"/>
          <w:numId w:val="0"/>
        </w:numPr>
        <w:ind w:left="360" w:hanging="360"/>
      </w:pPr>
    </w:p>
    <w:p w:rsidR="0077285A" w:rsidRPr="00774A86" w:rsidRDefault="0077285A" w:rsidP="00590FF3">
      <w:pPr>
        <w:pStyle w:val="Heading1"/>
        <w:jc w:val="both"/>
      </w:pPr>
      <w:bookmarkStart w:id="43" w:name="_Toc443470079"/>
      <w:r w:rsidRPr="00774A86">
        <w:t xml:space="preserve">Determining which </w:t>
      </w:r>
      <w:r w:rsidR="00BD2395" w:rsidRPr="00774A86">
        <w:t>f</w:t>
      </w:r>
      <w:r w:rsidRPr="00774A86">
        <w:t xml:space="preserve">inancial </w:t>
      </w:r>
      <w:r w:rsidR="00BD2395" w:rsidRPr="00774A86">
        <w:t>a</w:t>
      </w:r>
      <w:r w:rsidRPr="00774A86">
        <w:t>ccounts will be the subject of CRS due diligence and reporting</w:t>
      </w:r>
      <w:bookmarkEnd w:id="43"/>
    </w:p>
    <w:p w:rsidR="0077285A" w:rsidRPr="00774A86" w:rsidRDefault="0077285A" w:rsidP="005A086F">
      <w:pPr>
        <w:pStyle w:val="Chapter2"/>
        <w:numPr>
          <w:ilvl w:val="0"/>
          <w:numId w:val="0"/>
        </w:numPr>
        <w:ind w:left="851" w:hanging="851"/>
      </w:pPr>
    </w:p>
    <w:p w:rsidR="0077285A" w:rsidRPr="00774A86" w:rsidRDefault="0077285A" w:rsidP="00016A08">
      <w:pPr>
        <w:pStyle w:val="Chapter2"/>
        <w:ind w:left="851" w:hanging="851"/>
      </w:pPr>
      <w:r w:rsidRPr="00774A86">
        <w:t xml:space="preserve">The CRS sets out rules for </w:t>
      </w:r>
      <w:r w:rsidR="00BD2395" w:rsidRPr="00774A86">
        <w:t>r</w:t>
      </w:r>
      <w:r w:rsidRPr="00774A86">
        <w:t xml:space="preserve">eporting </w:t>
      </w:r>
      <w:r w:rsidR="00BD2395" w:rsidRPr="00774A86">
        <w:t>f</w:t>
      </w:r>
      <w:r w:rsidR="00991E68" w:rsidRPr="00774A86">
        <w:t>inancial institutions</w:t>
      </w:r>
      <w:r w:rsidRPr="00774A86">
        <w:t xml:space="preserve"> conducting due diligence on non-exempt (excluded accounts or accounts exempted by threshold)</w:t>
      </w:r>
      <w:r w:rsidRPr="00774A86">
        <w:rPr>
          <w:rStyle w:val="FootnoteReference"/>
          <w:sz w:val="22"/>
          <w:szCs w:val="22"/>
        </w:rPr>
        <w:footnoteReference w:id="22"/>
      </w:r>
      <w:r w:rsidRPr="00774A86">
        <w:t xml:space="preserve"> </w:t>
      </w:r>
      <w:r w:rsidR="00286A7F" w:rsidRPr="00774A86">
        <w:t xml:space="preserve">financial </w:t>
      </w:r>
      <w:r w:rsidR="00BD2395" w:rsidRPr="00774A86">
        <w:t>a</w:t>
      </w:r>
      <w:r w:rsidRPr="00774A86">
        <w:t xml:space="preserve">ccounts that they maintain to identify </w:t>
      </w:r>
      <w:r w:rsidR="00BD2395" w:rsidRPr="00774A86">
        <w:t>r</w:t>
      </w:r>
      <w:r w:rsidR="00EE5866" w:rsidRPr="00774A86">
        <w:t>eportable accounts</w:t>
      </w:r>
      <w:r w:rsidRPr="00774A86">
        <w:rPr>
          <w:i/>
        </w:rPr>
        <w:t xml:space="preserve"> </w:t>
      </w:r>
      <w:r w:rsidRPr="00774A86">
        <w:t>and undocumented accounts.</w:t>
      </w:r>
    </w:p>
    <w:p w:rsidR="00482EDD" w:rsidRPr="00774A86" w:rsidRDefault="00482EDD" w:rsidP="005A086F">
      <w:pPr>
        <w:pStyle w:val="Chapter2"/>
        <w:numPr>
          <w:ilvl w:val="0"/>
          <w:numId w:val="0"/>
        </w:numPr>
        <w:ind w:left="851" w:hanging="851"/>
      </w:pPr>
    </w:p>
    <w:p w:rsidR="00482EDD" w:rsidRPr="00774A86" w:rsidRDefault="00482EDD" w:rsidP="00016A08">
      <w:pPr>
        <w:pStyle w:val="Chapter2"/>
        <w:ind w:left="851" w:hanging="851"/>
      </w:pPr>
      <w:r w:rsidRPr="00774A86">
        <w:t>In broad terms, the point of the CRS rules is for the reporting financial institution to conduct due diligence on their non-exempt financial accounts to identify reportable accounts that are held or controlled</w:t>
      </w:r>
      <w:r w:rsidRPr="00774A86">
        <w:rPr>
          <w:rStyle w:val="FootnoteReference"/>
          <w:sz w:val="22"/>
          <w:szCs w:val="22"/>
        </w:rPr>
        <w:footnoteReference w:id="23"/>
      </w:r>
      <w:r w:rsidRPr="00774A86">
        <w:t xml:space="preserve"> by reportable persons, who are generally non-resident individuals or entities</w:t>
      </w:r>
      <w:r w:rsidRPr="00774A86">
        <w:rPr>
          <w:rStyle w:val="FootnoteReference"/>
          <w:sz w:val="22"/>
          <w:szCs w:val="22"/>
        </w:rPr>
        <w:footnoteReference w:id="24"/>
      </w:r>
      <w:r w:rsidRPr="00774A86">
        <w:t xml:space="preserve"> that are tax resident</w:t>
      </w:r>
      <w:r w:rsidRPr="00774A86">
        <w:rPr>
          <w:rStyle w:val="FootnoteReference"/>
          <w:sz w:val="22"/>
          <w:szCs w:val="22"/>
        </w:rPr>
        <w:footnoteReference w:id="25"/>
      </w:r>
      <w:r w:rsidRPr="00774A86">
        <w:t xml:space="preserve"> in participating jurisdictions that New Zealand has CRS obligations to exchange information with (reportable jurisdictions).</w:t>
      </w:r>
      <w:r w:rsidRPr="00774A86">
        <w:rPr>
          <w:rStyle w:val="FootnoteReference"/>
          <w:sz w:val="22"/>
          <w:szCs w:val="22"/>
        </w:rPr>
        <w:footnoteReference w:id="26"/>
      </w:r>
    </w:p>
    <w:p w:rsidR="00482EDD" w:rsidRPr="00774A86" w:rsidRDefault="00482EDD" w:rsidP="00482EDD">
      <w:pPr>
        <w:pStyle w:val="Chapter2"/>
        <w:numPr>
          <w:ilvl w:val="0"/>
          <w:numId w:val="0"/>
        </w:numPr>
        <w:ind w:left="851" w:hanging="851"/>
      </w:pPr>
    </w:p>
    <w:p w:rsidR="0077285A" w:rsidRPr="00774A86" w:rsidRDefault="0077285A" w:rsidP="00016A08">
      <w:pPr>
        <w:pStyle w:val="Chapter2"/>
        <w:ind w:left="851" w:hanging="851"/>
      </w:pPr>
      <w:r w:rsidRPr="00774A86">
        <w:t xml:space="preserve">However, some </w:t>
      </w:r>
      <w:r w:rsidR="004A69EE" w:rsidRPr="00774A86">
        <w:t>f</w:t>
      </w:r>
      <w:r w:rsidRPr="00774A86">
        <w:t xml:space="preserve">inancial </w:t>
      </w:r>
      <w:r w:rsidR="004A69EE" w:rsidRPr="00774A86">
        <w:t>a</w:t>
      </w:r>
      <w:r w:rsidRPr="00774A86">
        <w:t>ccounts are not subject to CRS due diligence or reporting, provided specific requirements are satisfied.</w:t>
      </w:r>
      <w:r w:rsidRPr="00774A86">
        <w:rPr>
          <w:sz w:val="22"/>
          <w:szCs w:val="22"/>
          <w:vertAlign w:val="superscript"/>
        </w:rPr>
        <w:footnoteReference w:id="27"/>
      </w:r>
      <w:r w:rsidRPr="00774A86">
        <w:t xml:space="preserve"> These accounts are referred to as </w:t>
      </w:r>
      <w:r w:rsidR="0030367F" w:rsidRPr="00774A86">
        <w:t>“</w:t>
      </w:r>
      <w:r w:rsidR="004A69EE" w:rsidRPr="00774A86">
        <w:t>e</w:t>
      </w:r>
      <w:r w:rsidRPr="00774A86">
        <w:t xml:space="preserve">xcluded </w:t>
      </w:r>
      <w:r w:rsidR="004A69EE" w:rsidRPr="00774A86">
        <w:t>a</w:t>
      </w:r>
      <w:r w:rsidRPr="00774A86">
        <w:t>ccounts</w:t>
      </w:r>
      <w:r w:rsidR="0030367F" w:rsidRPr="00774A86">
        <w:t>”.  E</w:t>
      </w:r>
      <w:r w:rsidRPr="00774A86">
        <w:t xml:space="preserve">xamples of </w:t>
      </w:r>
      <w:r w:rsidR="004A69EE" w:rsidRPr="00774A86">
        <w:t>e</w:t>
      </w:r>
      <w:r w:rsidRPr="00774A86">
        <w:t xml:space="preserve">xcluded </w:t>
      </w:r>
      <w:r w:rsidR="004A69EE" w:rsidRPr="00774A86">
        <w:t>a</w:t>
      </w:r>
      <w:r w:rsidRPr="00774A86">
        <w:t>ccounts include:</w:t>
      </w:r>
    </w:p>
    <w:p w:rsidR="0077285A" w:rsidRPr="00774A86" w:rsidRDefault="0077285A" w:rsidP="00016A08">
      <w:pPr>
        <w:pStyle w:val="Chapter2"/>
        <w:numPr>
          <w:ilvl w:val="0"/>
          <w:numId w:val="0"/>
        </w:numPr>
        <w:ind w:left="851" w:hanging="851"/>
      </w:pPr>
    </w:p>
    <w:p w:rsidR="0077285A" w:rsidRPr="00774A86" w:rsidRDefault="004A69EE" w:rsidP="004A69EE">
      <w:pPr>
        <w:pStyle w:val="Bullets"/>
      </w:pPr>
      <w:r w:rsidRPr="00774A86">
        <w:t>c</w:t>
      </w:r>
      <w:r w:rsidR="0077285A" w:rsidRPr="00774A86">
        <w:t xml:space="preserve">ertain </w:t>
      </w:r>
      <w:r w:rsidRPr="00774A86">
        <w:t>r</w:t>
      </w:r>
      <w:r w:rsidR="0077285A" w:rsidRPr="00774A86">
        <w:t xml:space="preserve">etirement or </w:t>
      </w:r>
      <w:r w:rsidRPr="00774A86">
        <w:t>p</w:t>
      </w:r>
      <w:r w:rsidR="0077285A" w:rsidRPr="00774A86">
        <w:t xml:space="preserve">ension </w:t>
      </w:r>
      <w:r w:rsidRPr="00774A86">
        <w:t>a</w:t>
      </w:r>
      <w:r w:rsidR="0077285A" w:rsidRPr="00774A86">
        <w:t>ccounts;</w:t>
      </w:r>
    </w:p>
    <w:p w:rsidR="0077285A" w:rsidRPr="00774A86" w:rsidRDefault="004A69EE" w:rsidP="004A69EE">
      <w:pPr>
        <w:pStyle w:val="Bullets"/>
      </w:pPr>
      <w:r w:rsidRPr="00774A86">
        <w:t>c</w:t>
      </w:r>
      <w:r w:rsidR="0077285A" w:rsidRPr="00774A86">
        <w:t xml:space="preserve">ertain </w:t>
      </w:r>
      <w:r w:rsidRPr="00774A86">
        <w:t>n</w:t>
      </w:r>
      <w:r w:rsidR="0077285A" w:rsidRPr="00774A86">
        <w:t>on-</w:t>
      </w:r>
      <w:r w:rsidRPr="00774A86">
        <w:t>r</w:t>
      </w:r>
      <w:r w:rsidR="0077285A" w:rsidRPr="00774A86">
        <w:t xml:space="preserve">etirement regulated tax-favoured </w:t>
      </w:r>
      <w:r w:rsidRPr="00774A86">
        <w:t>a</w:t>
      </w:r>
      <w:r w:rsidR="0077285A" w:rsidRPr="00774A86">
        <w:t>ccounts;</w:t>
      </w:r>
    </w:p>
    <w:p w:rsidR="0077285A" w:rsidRPr="00774A86" w:rsidRDefault="004A69EE" w:rsidP="004A69EE">
      <w:pPr>
        <w:pStyle w:val="Bullets"/>
      </w:pPr>
      <w:r w:rsidRPr="00774A86">
        <w:t>a</w:t>
      </w:r>
      <w:r w:rsidR="0077285A" w:rsidRPr="00774A86">
        <w:t xml:space="preserve"> certain type of </w:t>
      </w:r>
      <w:r w:rsidRPr="00774A86">
        <w:t>l</w:t>
      </w:r>
      <w:r w:rsidR="0077285A" w:rsidRPr="00774A86">
        <w:t xml:space="preserve">ife </w:t>
      </w:r>
      <w:r w:rsidRPr="00774A86">
        <w:t>i</w:t>
      </w:r>
      <w:r w:rsidR="0077285A" w:rsidRPr="00774A86">
        <w:t xml:space="preserve">nsurance </w:t>
      </w:r>
      <w:r w:rsidRPr="00774A86">
        <w:t>c</w:t>
      </w:r>
      <w:r w:rsidR="0077285A" w:rsidRPr="00774A86">
        <w:t>ontract;</w:t>
      </w:r>
    </w:p>
    <w:p w:rsidR="0077285A" w:rsidRPr="00774A86" w:rsidRDefault="004A69EE" w:rsidP="004A69EE">
      <w:pPr>
        <w:pStyle w:val="Bullets"/>
      </w:pPr>
      <w:r w:rsidRPr="00774A86">
        <w:t>a</w:t>
      </w:r>
      <w:r w:rsidR="0077285A" w:rsidRPr="00774A86">
        <w:t xml:space="preserve">n </w:t>
      </w:r>
      <w:r w:rsidRPr="00774A86">
        <w:t>a</w:t>
      </w:r>
      <w:r w:rsidR="0077285A" w:rsidRPr="00774A86">
        <w:t xml:space="preserve">ccount held solely by an </w:t>
      </w:r>
      <w:r w:rsidRPr="00774A86">
        <w:t>e</w:t>
      </w:r>
      <w:r w:rsidR="0077285A" w:rsidRPr="00774A86">
        <w:t>state if certain requirements are satisfied;</w:t>
      </w:r>
    </w:p>
    <w:p w:rsidR="0077285A" w:rsidRPr="00774A86" w:rsidRDefault="004A69EE" w:rsidP="004A69EE">
      <w:pPr>
        <w:pStyle w:val="Bullets"/>
      </w:pPr>
      <w:r w:rsidRPr="00774A86">
        <w:t>c</w:t>
      </w:r>
      <w:r w:rsidR="0077285A" w:rsidRPr="00774A86">
        <w:t xml:space="preserve">ertain </w:t>
      </w:r>
      <w:r w:rsidRPr="00774A86">
        <w:t>e</w:t>
      </w:r>
      <w:r w:rsidR="0077285A" w:rsidRPr="00774A86">
        <w:t xml:space="preserve">scrow </w:t>
      </w:r>
      <w:r w:rsidRPr="00774A86">
        <w:t>a</w:t>
      </w:r>
      <w:r w:rsidR="0077285A" w:rsidRPr="00774A86">
        <w:t>ccounts; and</w:t>
      </w:r>
    </w:p>
    <w:p w:rsidR="0077285A" w:rsidRPr="00774A86" w:rsidRDefault="004A69EE" w:rsidP="004A69EE">
      <w:pPr>
        <w:pStyle w:val="Bullets"/>
        <w:spacing w:after="0"/>
      </w:pPr>
      <w:r w:rsidRPr="00774A86">
        <w:lastRenderedPageBreak/>
        <w:t>c</w:t>
      </w:r>
      <w:r w:rsidR="0077285A" w:rsidRPr="00774A86">
        <w:t xml:space="preserve">ertain </w:t>
      </w:r>
      <w:r w:rsidRPr="00774A86">
        <w:t>d</w:t>
      </w:r>
      <w:r w:rsidR="0077285A" w:rsidRPr="00774A86">
        <w:t xml:space="preserve">epository </w:t>
      </w:r>
      <w:r w:rsidRPr="00774A86">
        <w:t>a</w:t>
      </w:r>
      <w:r w:rsidR="0077285A" w:rsidRPr="00774A86">
        <w:t>ccounts that exist solely because a customer makes a payment in excess of a balance due with respect to a credit card or other revolving credit facility and the overpayment is not immediately returned to the customer.</w:t>
      </w:r>
    </w:p>
    <w:p w:rsidR="0077285A" w:rsidRPr="00774A86" w:rsidRDefault="0077285A" w:rsidP="007905E2">
      <w:pPr>
        <w:pStyle w:val="Chapter2"/>
        <w:numPr>
          <w:ilvl w:val="0"/>
          <w:numId w:val="0"/>
        </w:numPr>
        <w:ind w:left="360" w:hanging="360"/>
      </w:pPr>
    </w:p>
    <w:p w:rsidR="0077285A" w:rsidRPr="00774A86" w:rsidRDefault="0077285A" w:rsidP="00016A08">
      <w:pPr>
        <w:pStyle w:val="Chapter2"/>
        <w:ind w:left="851" w:hanging="851"/>
      </w:pPr>
      <w:r w:rsidRPr="00774A86">
        <w:t xml:space="preserve">The CRS also defines in CRS Section VIII.C.17 (g) an </w:t>
      </w:r>
      <w:r w:rsidR="00286A7F" w:rsidRPr="00774A86">
        <w:t xml:space="preserve">excluded account </w:t>
      </w:r>
      <w:r w:rsidRPr="00774A86">
        <w:t xml:space="preserve">as including any other account that presents a low risk of being used to evade tax, has substantially similar characteristics to the other </w:t>
      </w:r>
      <w:r w:rsidR="00286A7F" w:rsidRPr="00774A86">
        <w:t>excluded accounts</w:t>
      </w:r>
      <w:r w:rsidRPr="00774A86">
        <w:t xml:space="preserve">, and which is defined in domestic law as an </w:t>
      </w:r>
      <w:r w:rsidR="00286A7F" w:rsidRPr="00774A86">
        <w:t>excluded account</w:t>
      </w:r>
      <w:r w:rsidRPr="00774A86">
        <w:t xml:space="preserve">, provided that the status of such account as an </w:t>
      </w:r>
      <w:r w:rsidR="004A69EE" w:rsidRPr="00774A86">
        <w:t>e</w:t>
      </w:r>
      <w:r w:rsidRPr="00774A86">
        <w:t xml:space="preserve">xcluded </w:t>
      </w:r>
      <w:r w:rsidR="004A69EE" w:rsidRPr="00774A86">
        <w:t>a</w:t>
      </w:r>
      <w:r w:rsidRPr="00774A86">
        <w:t>ccount does not frustrate the purposes of the CRS.</w:t>
      </w:r>
    </w:p>
    <w:p w:rsidR="0077285A" w:rsidRPr="00774A86" w:rsidRDefault="0077285A" w:rsidP="00016A08">
      <w:pPr>
        <w:pStyle w:val="Chapter2"/>
        <w:numPr>
          <w:ilvl w:val="0"/>
          <w:numId w:val="0"/>
        </w:numPr>
        <w:ind w:left="851" w:hanging="851"/>
      </w:pPr>
    </w:p>
    <w:p w:rsidR="0077285A" w:rsidRPr="00774A86" w:rsidRDefault="0077285A" w:rsidP="00016A08">
      <w:pPr>
        <w:pStyle w:val="Chapter2"/>
        <w:ind w:left="851" w:hanging="851"/>
      </w:pPr>
      <w:r w:rsidRPr="00774A86">
        <w:t xml:space="preserve">Therefore, the scope for New Zealand to define a </w:t>
      </w:r>
      <w:r w:rsidR="004A69EE" w:rsidRPr="00774A86">
        <w:t>f</w:t>
      </w:r>
      <w:r w:rsidRPr="00774A86">
        <w:t xml:space="preserve">inancial </w:t>
      </w:r>
      <w:r w:rsidR="004A69EE" w:rsidRPr="00774A86">
        <w:t>a</w:t>
      </w:r>
      <w:r w:rsidRPr="00774A86">
        <w:t>ccount as being an “</w:t>
      </w:r>
      <w:r w:rsidR="004A69EE" w:rsidRPr="00774A86">
        <w:t>e</w:t>
      </w:r>
      <w:r w:rsidRPr="00774A86">
        <w:t xml:space="preserve">xcluded </w:t>
      </w:r>
      <w:r w:rsidR="004A69EE" w:rsidRPr="00774A86">
        <w:t>a</w:t>
      </w:r>
      <w:r w:rsidRPr="00774A86">
        <w:t xml:space="preserve">ccount” (under this part of the definition of </w:t>
      </w:r>
      <w:r w:rsidR="004A69EE" w:rsidRPr="00774A86">
        <w:t>e</w:t>
      </w:r>
      <w:r w:rsidRPr="00774A86">
        <w:t xml:space="preserve">xcluded </w:t>
      </w:r>
      <w:r w:rsidR="004A69EE" w:rsidRPr="00774A86">
        <w:t>a</w:t>
      </w:r>
      <w:r w:rsidRPr="00774A86">
        <w:t>ccount) is limited</w:t>
      </w:r>
      <w:r w:rsidRPr="00774A86">
        <w:rPr>
          <w:b/>
        </w:rPr>
        <w:t xml:space="preserve"> </w:t>
      </w:r>
      <w:r w:rsidRPr="00774A86">
        <w:t xml:space="preserve">and </w:t>
      </w:r>
      <w:r w:rsidR="00BA28B8" w:rsidRPr="00774A86">
        <w:t xml:space="preserve">will </w:t>
      </w:r>
      <w:r w:rsidRPr="00774A86">
        <w:t>need to be based on these narrow criteria being satisfied.</w:t>
      </w:r>
    </w:p>
    <w:p w:rsidR="0077285A" w:rsidRPr="00774A86" w:rsidRDefault="0077285A" w:rsidP="00016A08">
      <w:pPr>
        <w:pStyle w:val="Chapter2"/>
        <w:numPr>
          <w:ilvl w:val="0"/>
          <w:numId w:val="0"/>
        </w:numPr>
        <w:ind w:left="851" w:hanging="851"/>
      </w:pPr>
    </w:p>
    <w:p w:rsidR="0077285A" w:rsidRPr="00774A86" w:rsidRDefault="0077285A" w:rsidP="00016A08">
      <w:pPr>
        <w:pStyle w:val="Chapter2"/>
        <w:ind w:left="851" w:hanging="851"/>
      </w:pPr>
      <w:r w:rsidRPr="00774A86">
        <w:t>The Global Forum has advised that the decisions made in this regard will be subject to stringent international scrutiny to ensure that the aims of the CRS are not frustrated</w:t>
      </w:r>
      <w:r w:rsidR="0030367F" w:rsidRPr="00774A86">
        <w:t>.  T</w:t>
      </w:r>
      <w:r w:rsidRPr="00774A86">
        <w:t xml:space="preserve">he expectation is that New Zealand will be able to clearly document its reasons for treating any particular </w:t>
      </w:r>
      <w:r w:rsidR="004A69EE" w:rsidRPr="00774A86">
        <w:t>f</w:t>
      </w:r>
      <w:r w:rsidRPr="00774A86">
        <w:t xml:space="preserve">inancial </w:t>
      </w:r>
      <w:r w:rsidR="004A69EE" w:rsidRPr="00774A86">
        <w:t>a</w:t>
      </w:r>
      <w:r w:rsidRPr="00774A86">
        <w:t>ccount as being an “</w:t>
      </w:r>
      <w:r w:rsidR="004A69EE" w:rsidRPr="00774A86">
        <w:t>e</w:t>
      </w:r>
      <w:r w:rsidRPr="00774A86">
        <w:t xml:space="preserve">xcluded </w:t>
      </w:r>
      <w:r w:rsidR="004A69EE" w:rsidRPr="00774A86">
        <w:t>a</w:t>
      </w:r>
      <w:r w:rsidRPr="00774A86">
        <w:t>ccount” under domestic law (and in terms of the specific requirements of the CRS).</w:t>
      </w:r>
    </w:p>
    <w:p w:rsidR="0077285A" w:rsidRPr="00774A86" w:rsidRDefault="0077285A" w:rsidP="00016A08">
      <w:pPr>
        <w:pStyle w:val="Chapter2"/>
        <w:numPr>
          <w:ilvl w:val="0"/>
          <w:numId w:val="0"/>
        </w:numPr>
        <w:ind w:left="851" w:hanging="851"/>
      </w:pPr>
    </w:p>
    <w:p w:rsidR="0077285A" w:rsidRPr="00774A86" w:rsidRDefault="0077285A" w:rsidP="00016A08">
      <w:pPr>
        <w:pStyle w:val="Chapter2"/>
        <w:ind w:left="851" w:hanging="851"/>
      </w:pPr>
      <w:r w:rsidRPr="00774A86">
        <w:t xml:space="preserve">Note that the range of </w:t>
      </w:r>
      <w:r w:rsidR="004A69EE" w:rsidRPr="00774A86">
        <w:t>e</w:t>
      </w:r>
      <w:r w:rsidRPr="00774A86">
        <w:t xml:space="preserve">xcluded </w:t>
      </w:r>
      <w:r w:rsidR="004A69EE" w:rsidRPr="00774A86">
        <w:t>a</w:t>
      </w:r>
      <w:r w:rsidRPr="00774A86">
        <w:t xml:space="preserve">ccounts will not necessarily be the same as those that are currently excluded under </w:t>
      </w:r>
      <w:r w:rsidR="009F5A08" w:rsidRPr="00774A86">
        <w:t xml:space="preserve">US </w:t>
      </w:r>
      <w:r w:rsidRPr="00774A86">
        <w:t>FATCA</w:t>
      </w:r>
      <w:r w:rsidR="0030367F" w:rsidRPr="00774A86">
        <w:t>.  I</w:t>
      </w:r>
      <w:r w:rsidRPr="00774A86">
        <w:t xml:space="preserve">nstead, treatment of any account as being an </w:t>
      </w:r>
      <w:r w:rsidR="004A69EE" w:rsidRPr="00774A86">
        <w:t>e</w:t>
      </w:r>
      <w:r w:rsidRPr="00774A86">
        <w:t xml:space="preserve">xcluded </w:t>
      </w:r>
      <w:r w:rsidR="004A69EE" w:rsidRPr="00774A86">
        <w:t>a</w:t>
      </w:r>
      <w:r w:rsidRPr="00774A86">
        <w:t>ccount will be based on the account meeting the specific CRS criteria.</w:t>
      </w:r>
    </w:p>
    <w:p w:rsidR="0077285A" w:rsidRPr="00774A86" w:rsidRDefault="0077285A" w:rsidP="007905E2">
      <w:pPr>
        <w:pStyle w:val="Chapter2"/>
        <w:numPr>
          <w:ilvl w:val="0"/>
          <w:numId w:val="0"/>
        </w:numPr>
        <w:ind w:left="360" w:hanging="360"/>
      </w:pPr>
    </w:p>
    <w:p w:rsidR="008C74C6" w:rsidRPr="00774A86" w:rsidRDefault="008C74C6" w:rsidP="007905E2">
      <w:pPr>
        <w:pStyle w:val="Chapter2"/>
        <w:numPr>
          <w:ilvl w:val="0"/>
          <w:numId w:val="0"/>
        </w:numPr>
        <w:ind w:left="360" w:hanging="360"/>
      </w:pPr>
    </w:p>
    <w:p w:rsidR="00C54743" w:rsidRPr="001634BA" w:rsidRDefault="00782EDA" w:rsidP="001634BA">
      <w:pPr>
        <w:pStyle w:val="Chapter2"/>
        <w:numPr>
          <w:ilvl w:val="0"/>
          <w:numId w:val="0"/>
        </w:numPr>
        <w:ind w:left="360" w:hanging="360"/>
        <w:rPr>
          <w:b/>
        </w:rPr>
      </w:pPr>
      <w:bookmarkStart w:id="44" w:name="_Toc443393736"/>
      <w:r w:rsidRPr="001634BA">
        <w:rPr>
          <w:b/>
        </w:rPr>
        <w:t>Consultation questions</w:t>
      </w:r>
      <w:bookmarkEnd w:id="44"/>
    </w:p>
    <w:p w:rsidR="0077285A" w:rsidRPr="00774A86" w:rsidRDefault="0077285A" w:rsidP="007905E2">
      <w:pPr>
        <w:pStyle w:val="Chapter2"/>
        <w:numPr>
          <w:ilvl w:val="0"/>
          <w:numId w:val="0"/>
        </w:numPr>
        <w:ind w:left="360" w:hanging="360"/>
      </w:pPr>
    </w:p>
    <w:p w:rsidR="00C54743" w:rsidRPr="00774A86" w:rsidRDefault="00C54743" w:rsidP="00016A08">
      <w:pPr>
        <w:pStyle w:val="Chapter2"/>
        <w:ind w:left="851" w:hanging="851"/>
      </w:pPr>
      <w:r w:rsidRPr="00774A86">
        <w:t xml:space="preserve">We would appreciate your submissions regarding which financial accounts would </w:t>
      </w:r>
      <w:r w:rsidRPr="00774A86">
        <w:rPr>
          <w:i/>
        </w:rPr>
        <w:t>satisfy the CRS criteria</w:t>
      </w:r>
      <w:r w:rsidRPr="00774A86">
        <w:rPr>
          <w:b/>
        </w:rPr>
        <w:t xml:space="preserve"> </w:t>
      </w:r>
      <w:r w:rsidRPr="00774A86">
        <w:t>(referred to above) for being excluded accounts, and, therefore, should be exempted from CRS due diligence and reporting.</w:t>
      </w:r>
    </w:p>
    <w:p w:rsidR="0077285A" w:rsidRPr="00774A86" w:rsidRDefault="0077285A" w:rsidP="007905E2">
      <w:pPr>
        <w:pStyle w:val="Chapter2"/>
        <w:numPr>
          <w:ilvl w:val="0"/>
          <w:numId w:val="0"/>
        </w:numPr>
        <w:ind w:left="360" w:hanging="360"/>
      </w:pPr>
    </w:p>
    <w:p w:rsidR="00782EDA" w:rsidRPr="00774A86" w:rsidRDefault="00782EDA" w:rsidP="007905E2">
      <w:pPr>
        <w:pStyle w:val="Bullets"/>
        <w:spacing w:after="0"/>
      </w:pPr>
      <w:r w:rsidRPr="00774A86">
        <w:t>Submissions on this point should confirm that the specific criteria set out in paragraph 2.15 and in CRS Section VIII.C.17(g) of the CRS have been met, or if not, then explain any substitute requirements relied on and how they are substantially similar.</w:t>
      </w:r>
    </w:p>
    <w:p w:rsidR="00782EDA" w:rsidRPr="00774A86" w:rsidRDefault="00782EDA" w:rsidP="007905E2">
      <w:pPr>
        <w:pStyle w:val="Chapter2"/>
        <w:numPr>
          <w:ilvl w:val="0"/>
          <w:numId w:val="0"/>
        </w:numPr>
        <w:ind w:left="360" w:hanging="360"/>
      </w:pPr>
    </w:p>
    <w:p w:rsidR="004A69EE" w:rsidRPr="00774A86" w:rsidRDefault="004A69EE" w:rsidP="00016A08">
      <w:pPr>
        <w:pStyle w:val="Chapter2"/>
        <w:ind w:left="851" w:hanging="851"/>
      </w:pPr>
      <w:r w:rsidRPr="00774A86">
        <w:t xml:space="preserve">The CRS </w:t>
      </w:r>
      <w:r w:rsidR="004D6202" w:rsidRPr="00774A86">
        <w:t xml:space="preserve">Commentaries </w:t>
      </w:r>
      <w:r w:rsidRPr="00774A86">
        <w:t>also specifically contemplate that a participating jurisdiction has the option, in this regard, of defining certain types of dormant accounts as being excluded accounts</w:t>
      </w:r>
      <w:r w:rsidR="0030367F" w:rsidRPr="00774A86">
        <w:t>.  T</w:t>
      </w:r>
      <w:r w:rsidRPr="00774A86">
        <w:t xml:space="preserve">he CRS provides, as an example of a low risk excluded account, any dormant account with an annual balance that does not exceed US </w:t>
      </w:r>
      <w:r w:rsidR="00774A86">
        <w:t>$</w:t>
      </w:r>
      <w:r w:rsidRPr="00774A86">
        <w:t>1,000.</w:t>
      </w:r>
      <w:r w:rsidRPr="00774A86">
        <w:rPr>
          <w:rStyle w:val="FootnoteReference"/>
          <w:sz w:val="22"/>
          <w:szCs w:val="22"/>
        </w:rPr>
        <w:footnoteReference w:id="28"/>
      </w:r>
    </w:p>
    <w:p w:rsidR="004A69EE" w:rsidRPr="00774A86" w:rsidRDefault="004A69EE" w:rsidP="007905E2">
      <w:pPr>
        <w:pStyle w:val="Chapter2"/>
        <w:numPr>
          <w:ilvl w:val="0"/>
          <w:numId w:val="0"/>
        </w:numPr>
        <w:ind w:left="360" w:hanging="360"/>
      </w:pPr>
    </w:p>
    <w:p w:rsidR="00A571DE" w:rsidRPr="00774A86" w:rsidRDefault="0077285A" w:rsidP="006512EB">
      <w:pPr>
        <w:pStyle w:val="Bullets"/>
        <w:spacing w:after="0"/>
      </w:pPr>
      <w:r w:rsidRPr="00774A86">
        <w:t xml:space="preserve">Should New Zealand generally include a dormant account with a balance or value that does not exceed </w:t>
      </w:r>
      <w:r w:rsidR="0025712F" w:rsidRPr="00774A86">
        <w:t xml:space="preserve">NZ </w:t>
      </w:r>
      <w:r w:rsidR="00774A86">
        <w:t>$</w:t>
      </w:r>
      <w:r w:rsidRPr="00774A86">
        <w:t xml:space="preserve">1,000 in the definition of </w:t>
      </w:r>
      <w:r w:rsidR="004A69EE" w:rsidRPr="00774A86">
        <w:t>e</w:t>
      </w:r>
      <w:r w:rsidRPr="00774A86">
        <w:t xml:space="preserve">xcluded </w:t>
      </w:r>
      <w:r w:rsidR="004A69EE" w:rsidRPr="00774A86">
        <w:t>a</w:t>
      </w:r>
      <w:r w:rsidRPr="00774A86">
        <w:t>ccount?</w:t>
      </w:r>
    </w:p>
    <w:p w:rsidR="008C74C6" w:rsidRPr="00774A86" w:rsidRDefault="008C74C6" w:rsidP="008C74C6">
      <w:pPr>
        <w:pStyle w:val="Chapter2"/>
        <w:numPr>
          <w:ilvl w:val="0"/>
          <w:numId w:val="0"/>
        </w:numPr>
        <w:ind w:left="360" w:hanging="360"/>
      </w:pPr>
    </w:p>
    <w:p w:rsidR="008C74C6" w:rsidRPr="00774A86" w:rsidRDefault="008C74C6" w:rsidP="008C74C6">
      <w:pPr>
        <w:pStyle w:val="Chapter2"/>
        <w:numPr>
          <w:ilvl w:val="0"/>
          <w:numId w:val="0"/>
        </w:numPr>
        <w:ind w:left="360" w:hanging="360"/>
      </w:pPr>
    </w:p>
    <w:p w:rsidR="0077285A" w:rsidRPr="00774A86" w:rsidRDefault="0077285A" w:rsidP="00590FF3">
      <w:pPr>
        <w:pStyle w:val="Heading1"/>
        <w:jc w:val="both"/>
      </w:pPr>
      <w:bookmarkStart w:id="45" w:name="_Toc443470080"/>
      <w:r w:rsidRPr="00774A86">
        <w:t xml:space="preserve">Determining what non-resident jurisdictions are within the scope of CRS and reporting – the potential application of the </w:t>
      </w:r>
      <w:r w:rsidR="0030367F" w:rsidRPr="00774A86">
        <w:t>“</w:t>
      </w:r>
      <w:r w:rsidRPr="00774A86">
        <w:t>wider approach</w:t>
      </w:r>
      <w:r w:rsidR="0030367F" w:rsidRPr="00774A86">
        <w:t>”</w:t>
      </w:r>
      <w:r w:rsidRPr="00774A86">
        <w:t xml:space="preserve"> to CRS</w:t>
      </w:r>
      <w:bookmarkEnd w:id="45"/>
    </w:p>
    <w:p w:rsidR="0077285A" w:rsidRPr="00774A86" w:rsidRDefault="0077285A" w:rsidP="007905E2">
      <w:pPr>
        <w:pStyle w:val="Chapter2"/>
        <w:numPr>
          <w:ilvl w:val="0"/>
          <w:numId w:val="0"/>
        </w:numPr>
        <w:ind w:left="360" w:hanging="360"/>
      </w:pPr>
    </w:p>
    <w:p w:rsidR="0077285A" w:rsidRPr="00774A86" w:rsidRDefault="0077285A" w:rsidP="00016A08">
      <w:pPr>
        <w:pStyle w:val="Chapter2"/>
        <w:ind w:left="851" w:hanging="851"/>
      </w:pPr>
      <w:bookmarkStart w:id="46" w:name="C"/>
      <w:bookmarkEnd w:id="46"/>
      <w:r w:rsidRPr="00774A86">
        <w:t xml:space="preserve">A potential difficulty under the CRS is that the list of </w:t>
      </w:r>
      <w:r w:rsidR="00782EDA" w:rsidRPr="00774A86">
        <w:t>r</w:t>
      </w:r>
      <w:r w:rsidR="00EE5866" w:rsidRPr="00774A86">
        <w:t xml:space="preserve">eportable </w:t>
      </w:r>
      <w:r w:rsidR="00782EDA" w:rsidRPr="00774A86">
        <w:t>j</w:t>
      </w:r>
      <w:r w:rsidR="00EE5866" w:rsidRPr="00774A86">
        <w:t>urisdiction</w:t>
      </w:r>
      <w:r w:rsidRPr="00774A86">
        <w:t>s (those with which CRS reciprocal exchange obligations have been established) will not remain static</w:t>
      </w:r>
      <w:r w:rsidR="0030367F" w:rsidRPr="00774A86">
        <w:t>.  I</w:t>
      </w:r>
      <w:r w:rsidRPr="00774A86">
        <w:t>t can be expected to change over time, for example</w:t>
      </w:r>
      <w:r w:rsidR="0025712F" w:rsidRPr="00774A86">
        <w:t>,</w:t>
      </w:r>
      <w:r w:rsidRPr="00774A86">
        <w:t xml:space="preserve"> as additional </w:t>
      </w:r>
      <w:r w:rsidR="00BA28B8" w:rsidRPr="00774A86">
        <w:t xml:space="preserve">jurisdictions </w:t>
      </w:r>
      <w:r w:rsidRPr="00774A86">
        <w:t xml:space="preserve">commit to become </w:t>
      </w:r>
      <w:r w:rsidR="00782EDA" w:rsidRPr="00774A86">
        <w:t>p</w:t>
      </w:r>
      <w:r w:rsidR="00991E68" w:rsidRPr="00774A86">
        <w:t>articipating jurisdictions</w:t>
      </w:r>
      <w:r w:rsidRPr="00774A86">
        <w:t xml:space="preserve"> under the CRS and enter into exchange arrangements with other </w:t>
      </w:r>
      <w:r w:rsidR="00782EDA" w:rsidRPr="00774A86">
        <w:t>p</w:t>
      </w:r>
      <w:r w:rsidR="00991E68" w:rsidRPr="00774A86">
        <w:t>articipating jurisdictions</w:t>
      </w:r>
      <w:r w:rsidR="0030367F" w:rsidRPr="00774A86">
        <w:t>.  F</w:t>
      </w:r>
      <w:r w:rsidRPr="00774A86">
        <w:t xml:space="preserve">or </w:t>
      </w:r>
      <w:r w:rsidR="00522274" w:rsidRPr="00774A86">
        <w:t>New Zealand</w:t>
      </w:r>
      <w:r w:rsidRPr="00774A86">
        <w:t xml:space="preserve"> </w:t>
      </w:r>
      <w:r w:rsidR="00782EDA" w:rsidRPr="00774A86">
        <w:t>r</w:t>
      </w:r>
      <w:r w:rsidRPr="00774A86">
        <w:t xml:space="preserve">eporting </w:t>
      </w:r>
      <w:r w:rsidR="00782EDA" w:rsidRPr="00774A86">
        <w:t>f</w:t>
      </w:r>
      <w:r w:rsidR="00991E68" w:rsidRPr="00774A86">
        <w:t xml:space="preserve">inancial </w:t>
      </w:r>
      <w:r w:rsidR="00782EDA" w:rsidRPr="00774A86">
        <w:t>i</w:t>
      </w:r>
      <w:r w:rsidR="00991E68" w:rsidRPr="00774A86">
        <w:t>nstitutions</w:t>
      </w:r>
      <w:r w:rsidRPr="00774A86">
        <w:t xml:space="preserve">, any updates to the list of </w:t>
      </w:r>
      <w:r w:rsidR="00782EDA" w:rsidRPr="00774A86">
        <w:t>p</w:t>
      </w:r>
      <w:r w:rsidR="00991E68" w:rsidRPr="00774A86">
        <w:t>articipating jurisdictions</w:t>
      </w:r>
      <w:r w:rsidRPr="00774A86">
        <w:t xml:space="preserve"> could result in increased compliance costs, for example, as a result of having to undertake CRS due diligence and reporting each time a </w:t>
      </w:r>
      <w:r w:rsidR="00782EDA" w:rsidRPr="00774A86">
        <w:t>j</w:t>
      </w:r>
      <w:r w:rsidRPr="00774A86">
        <w:t xml:space="preserve">urisdiction becomes a </w:t>
      </w:r>
      <w:r w:rsidR="00782EDA" w:rsidRPr="00774A86">
        <w:t>r</w:t>
      </w:r>
      <w:r w:rsidR="00EE5866" w:rsidRPr="00774A86">
        <w:t>eportable jurisdiction</w:t>
      </w:r>
      <w:r w:rsidRPr="00774A86">
        <w:t xml:space="preserve"> vis-à-vis New Zealand for CRS purposes.</w:t>
      </w:r>
    </w:p>
    <w:p w:rsidR="0077285A" w:rsidRPr="00774A86" w:rsidRDefault="0077285A" w:rsidP="00016A08">
      <w:pPr>
        <w:pStyle w:val="Chapter2"/>
        <w:numPr>
          <w:ilvl w:val="0"/>
          <w:numId w:val="0"/>
        </w:numPr>
        <w:ind w:left="851" w:hanging="851"/>
      </w:pPr>
    </w:p>
    <w:p w:rsidR="0077285A" w:rsidRPr="00774A86" w:rsidRDefault="0077285A" w:rsidP="00016A08">
      <w:pPr>
        <w:pStyle w:val="Chapter2"/>
        <w:ind w:left="851" w:hanging="851"/>
      </w:pPr>
      <w:r w:rsidRPr="00774A86">
        <w:t xml:space="preserve">In recognition of this, and with a view to minimising implementation and compliance costs, the CRS </w:t>
      </w:r>
      <w:r w:rsidR="004D6202" w:rsidRPr="00774A86">
        <w:t>C</w:t>
      </w:r>
      <w:r w:rsidRPr="00774A86">
        <w:t xml:space="preserve">ommentaries and the </w:t>
      </w:r>
      <w:r w:rsidR="003D34AB" w:rsidRPr="00774A86">
        <w:t xml:space="preserve">Implementation Handbook </w:t>
      </w:r>
      <w:r w:rsidRPr="00774A86">
        <w:t xml:space="preserve">recommend consideration of what is described as a </w:t>
      </w:r>
      <w:r w:rsidR="0030367F" w:rsidRPr="00774A86">
        <w:t>“</w:t>
      </w:r>
      <w:r w:rsidRPr="00774A86">
        <w:t>wider approach</w:t>
      </w:r>
      <w:r w:rsidR="0030367F" w:rsidRPr="00774A86">
        <w:t>”</w:t>
      </w:r>
      <w:r w:rsidRPr="00774A86">
        <w:t xml:space="preserve"> to CRS due diligence and reporting as a legislative option, and further elaboration of how this might work is provided in Annex 5 to the CRS </w:t>
      </w:r>
      <w:r w:rsidR="0025712F" w:rsidRPr="00774A86">
        <w:t>Publication</w:t>
      </w:r>
      <w:r w:rsidR="0030367F" w:rsidRPr="00774A86">
        <w:t>.  U</w:t>
      </w:r>
      <w:r w:rsidRPr="00774A86">
        <w:t xml:space="preserve">nder the wider approach a </w:t>
      </w:r>
      <w:r w:rsidR="00782EDA" w:rsidRPr="00774A86">
        <w:t>p</w:t>
      </w:r>
      <w:r w:rsidR="00991E68" w:rsidRPr="00774A86">
        <w:t>articipating jurisdiction</w:t>
      </w:r>
      <w:r w:rsidRPr="00774A86">
        <w:t xml:space="preserve"> could decide to</w:t>
      </w:r>
      <w:r w:rsidRPr="00774A86">
        <w:rPr>
          <w:b/>
        </w:rPr>
        <w:t xml:space="preserve"> </w:t>
      </w:r>
      <w:r w:rsidRPr="00774A86">
        <w:t xml:space="preserve">treat all foreign </w:t>
      </w:r>
      <w:r w:rsidR="00BA28B8" w:rsidRPr="00774A86">
        <w:t xml:space="preserve">jurisdictions </w:t>
      </w:r>
      <w:r w:rsidRPr="00774A86">
        <w:t xml:space="preserve">as being </w:t>
      </w:r>
      <w:r w:rsidR="00782EDA" w:rsidRPr="00774A86">
        <w:t>r</w:t>
      </w:r>
      <w:r w:rsidR="00EE5866" w:rsidRPr="00774A86">
        <w:t>eportable jurisdiction</w:t>
      </w:r>
      <w:r w:rsidRPr="00774A86">
        <w:t xml:space="preserve">s, and all non-exempt non-residents (including </w:t>
      </w:r>
      <w:r w:rsidR="00782EDA" w:rsidRPr="00774A86">
        <w:t>c</w:t>
      </w:r>
      <w:r w:rsidRPr="00774A86">
        <w:t xml:space="preserve">ontrolling </w:t>
      </w:r>
      <w:r w:rsidR="00782EDA" w:rsidRPr="00774A86">
        <w:t>p</w:t>
      </w:r>
      <w:r w:rsidRPr="00774A86">
        <w:t xml:space="preserve">ersons of </w:t>
      </w:r>
      <w:r w:rsidR="00782EDA" w:rsidRPr="00774A86">
        <w:t>p</w:t>
      </w:r>
      <w:r w:rsidRPr="00774A86">
        <w:t xml:space="preserve">assive NFEs) as being </w:t>
      </w:r>
      <w:r w:rsidR="00782EDA" w:rsidRPr="00774A86">
        <w:t>r</w:t>
      </w:r>
      <w:r w:rsidRPr="00774A86">
        <w:t xml:space="preserve">eportable </w:t>
      </w:r>
      <w:r w:rsidR="00782EDA" w:rsidRPr="00774A86">
        <w:t>p</w:t>
      </w:r>
      <w:r w:rsidRPr="00774A86">
        <w:t>ersons.</w:t>
      </w:r>
    </w:p>
    <w:p w:rsidR="0077285A" w:rsidRPr="00774A86" w:rsidRDefault="0077285A" w:rsidP="00016A08">
      <w:pPr>
        <w:pStyle w:val="Chapter2"/>
        <w:numPr>
          <w:ilvl w:val="0"/>
          <w:numId w:val="0"/>
        </w:numPr>
        <w:ind w:left="851" w:hanging="851"/>
      </w:pPr>
    </w:p>
    <w:p w:rsidR="0077285A" w:rsidRPr="00774A86" w:rsidRDefault="0077285A" w:rsidP="00016A08">
      <w:pPr>
        <w:pStyle w:val="Chapter2"/>
        <w:ind w:left="851" w:hanging="851"/>
      </w:pPr>
      <w:r w:rsidRPr="00774A86">
        <w:t xml:space="preserve">If the wider approach is adopted in New Zealand, a </w:t>
      </w:r>
      <w:r w:rsidR="00522274" w:rsidRPr="00774A86">
        <w:t>New Zealand</w:t>
      </w:r>
      <w:r w:rsidRPr="00774A86">
        <w:t xml:space="preserve"> </w:t>
      </w:r>
      <w:r w:rsidR="00782EDA" w:rsidRPr="00774A86">
        <w:t>r</w:t>
      </w:r>
      <w:r w:rsidRPr="00774A86">
        <w:t xml:space="preserve">eporting </w:t>
      </w:r>
      <w:r w:rsidR="00782EDA" w:rsidRPr="00774A86">
        <w:t>f</w:t>
      </w:r>
      <w:r w:rsidRPr="00774A86">
        <w:t xml:space="preserve">inancial </w:t>
      </w:r>
      <w:r w:rsidR="00782EDA" w:rsidRPr="00774A86">
        <w:t>i</w:t>
      </w:r>
      <w:r w:rsidRPr="00774A86">
        <w:t xml:space="preserve">nstitution would be able to carry out due diligence on </w:t>
      </w:r>
      <w:r w:rsidRPr="00774A86">
        <w:rPr>
          <w:b/>
        </w:rPr>
        <w:t>all</w:t>
      </w:r>
      <w:r w:rsidRPr="00774A86">
        <w:t xml:space="preserve"> of its non-resident </w:t>
      </w:r>
      <w:r w:rsidR="00782EDA" w:rsidRPr="00774A86">
        <w:t>a</w:t>
      </w:r>
      <w:r w:rsidRPr="00774A86">
        <w:t xml:space="preserve">ccount </w:t>
      </w:r>
      <w:r w:rsidR="00782EDA" w:rsidRPr="00774A86">
        <w:t>h</w:t>
      </w:r>
      <w:r w:rsidRPr="00774A86">
        <w:t>olders</w:t>
      </w:r>
      <w:r w:rsidR="005B5D85" w:rsidRPr="00774A86">
        <w:t xml:space="preserve"> (and</w:t>
      </w:r>
      <w:r w:rsidRPr="00774A86">
        <w:t xml:space="preserve"> </w:t>
      </w:r>
      <w:r w:rsidR="00782EDA" w:rsidRPr="00774A86">
        <w:t>c</w:t>
      </w:r>
      <w:r w:rsidRPr="00774A86">
        <w:t xml:space="preserve">ontrolling </w:t>
      </w:r>
      <w:r w:rsidR="00782EDA" w:rsidRPr="00774A86">
        <w:t>p</w:t>
      </w:r>
      <w:r w:rsidRPr="00774A86">
        <w:t xml:space="preserve">ersons of </w:t>
      </w:r>
      <w:r w:rsidR="00782EDA" w:rsidRPr="00774A86">
        <w:t>p</w:t>
      </w:r>
      <w:r w:rsidRPr="00774A86">
        <w:t>assive NFEs</w:t>
      </w:r>
      <w:r w:rsidR="005B5D85" w:rsidRPr="00774A86">
        <w:t>)</w:t>
      </w:r>
      <w:r w:rsidRPr="00774A86">
        <w:t xml:space="preserve"> to determine if it has any </w:t>
      </w:r>
      <w:r w:rsidR="00782EDA" w:rsidRPr="00774A86">
        <w:t>r</w:t>
      </w:r>
      <w:r w:rsidR="00EE5866" w:rsidRPr="00774A86">
        <w:t>eportable accounts</w:t>
      </w:r>
      <w:r w:rsidRPr="00774A86">
        <w:t xml:space="preserve"> and undocumented accounts</w:t>
      </w:r>
      <w:r w:rsidR="0030367F" w:rsidRPr="00774A86">
        <w:t>.  T</w:t>
      </w:r>
      <w:r w:rsidRPr="00774A86">
        <w:t xml:space="preserve">his will help ensure that such </w:t>
      </w:r>
      <w:r w:rsidR="00522274" w:rsidRPr="00774A86">
        <w:t>New Zealand</w:t>
      </w:r>
      <w:r w:rsidRPr="00774A86">
        <w:t xml:space="preserve"> </w:t>
      </w:r>
      <w:r w:rsidR="00782EDA" w:rsidRPr="00774A86">
        <w:t>r</w:t>
      </w:r>
      <w:r w:rsidRPr="00774A86">
        <w:t xml:space="preserve">eporting </w:t>
      </w:r>
      <w:r w:rsidR="00782EDA" w:rsidRPr="00774A86">
        <w:t>f</w:t>
      </w:r>
      <w:r w:rsidR="00991E68" w:rsidRPr="00774A86">
        <w:t>inancial institutions</w:t>
      </w:r>
      <w:r w:rsidRPr="00774A86">
        <w:t xml:space="preserve"> would not need to re-undertake CRS due diligence procedures and reporting every time that the legislative list of </w:t>
      </w:r>
      <w:r w:rsidR="00782EDA" w:rsidRPr="00774A86">
        <w:t>p</w:t>
      </w:r>
      <w:r w:rsidR="00991E68" w:rsidRPr="00774A86">
        <w:t>articipating jurisdictions</w:t>
      </w:r>
      <w:r w:rsidRPr="00774A86">
        <w:t xml:space="preserve"> changes.</w:t>
      </w:r>
    </w:p>
    <w:p w:rsidR="0077285A" w:rsidRPr="00774A86" w:rsidRDefault="0077285A" w:rsidP="00016A08">
      <w:pPr>
        <w:pStyle w:val="Chapter2"/>
        <w:numPr>
          <w:ilvl w:val="0"/>
          <w:numId w:val="0"/>
        </w:numPr>
        <w:ind w:left="851" w:hanging="851"/>
      </w:pPr>
    </w:p>
    <w:p w:rsidR="0077285A" w:rsidRPr="00774A86" w:rsidRDefault="0077285A" w:rsidP="00016A08">
      <w:pPr>
        <w:pStyle w:val="Chapter2"/>
        <w:ind w:left="851" w:hanging="851"/>
      </w:pPr>
      <w:r w:rsidRPr="00774A86">
        <w:t>This option appears to offer the greatest scope for compliance cost reduction, if permitted by domestic legislation.</w:t>
      </w:r>
    </w:p>
    <w:p w:rsidR="00590FF3" w:rsidRPr="00774A86" w:rsidRDefault="00590FF3" w:rsidP="007905E2">
      <w:pPr>
        <w:pStyle w:val="Chapter2"/>
        <w:numPr>
          <w:ilvl w:val="0"/>
          <w:numId w:val="0"/>
        </w:numPr>
        <w:ind w:left="360" w:hanging="360"/>
      </w:pPr>
    </w:p>
    <w:p w:rsidR="008C74C6" w:rsidRPr="00774A86" w:rsidRDefault="008C74C6" w:rsidP="007905E2">
      <w:pPr>
        <w:pStyle w:val="Chapter2"/>
        <w:numPr>
          <w:ilvl w:val="0"/>
          <w:numId w:val="0"/>
        </w:numPr>
        <w:ind w:left="360" w:hanging="360"/>
      </w:pPr>
    </w:p>
    <w:p w:rsidR="0077285A" w:rsidRPr="001634BA" w:rsidRDefault="0077285A" w:rsidP="001634BA">
      <w:pPr>
        <w:pStyle w:val="Chapter2"/>
        <w:numPr>
          <w:ilvl w:val="0"/>
          <w:numId w:val="0"/>
        </w:numPr>
        <w:ind w:left="851" w:hanging="851"/>
        <w:rPr>
          <w:b/>
        </w:rPr>
      </w:pPr>
      <w:bookmarkStart w:id="47" w:name="_Toc443393738"/>
      <w:r w:rsidRPr="001634BA">
        <w:rPr>
          <w:b/>
        </w:rPr>
        <w:t>Consultation question</w:t>
      </w:r>
      <w:bookmarkEnd w:id="47"/>
    </w:p>
    <w:p w:rsidR="0077285A" w:rsidRPr="00774A86" w:rsidRDefault="0077285A" w:rsidP="0077285A">
      <w:pPr>
        <w:pStyle w:val="Chapter2"/>
        <w:numPr>
          <w:ilvl w:val="0"/>
          <w:numId w:val="0"/>
        </w:numPr>
        <w:ind w:left="851" w:hanging="851"/>
      </w:pPr>
    </w:p>
    <w:p w:rsidR="0077285A" w:rsidRPr="00774A86" w:rsidRDefault="0077285A" w:rsidP="007905E2">
      <w:pPr>
        <w:pStyle w:val="Bullets"/>
        <w:spacing w:after="0"/>
      </w:pPr>
      <w:r w:rsidRPr="00774A86">
        <w:t xml:space="preserve">Should </w:t>
      </w:r>
      <w:r w:rsidR="00522274" w:rsidRPr="00774A86">
        <w:t>New Zealand</w:t>
      </w:r>
      <w:r w:rsidRPr="00774A86">
        <w:t xml:space="preserve"> adopt a </w:t>
      </w:r>
      <w:r w:rsidR="0030367F" w:rsidRPr="00774A86">
        <w:t>“</w:t>
      </w:r>
      <w:r w:rsidRPr="00774A86">
        <w:t>wider approach</w:t>
      </w:r>
      <w:r w:rsidR="0030367F" w:rsidRPr="00774A86">
        <w:t>”</w:t>
      </w:r>
      <w:r w:rsidRPr="00774A86">
        <w:t xml:space="preserve"> to CRS due diligence and reporting, as stated in this paper?</w:t>
      </w:r>
    </w:p>
    <w:p w:rsidR="00A93A16" w:rsidRDefault="00A93A16">
      <w:pPr>
        <w:jc w:val="left"/>
        <w:rPr>
          <w:snapToGrid w:val="0"/>
          <w:lang w:eastAsia="en-US"/>
        </w:rPr>
      </w:pPr>
      <w:r>
        <w:br w:type="page"/>
      </w:r>
    </w:p>
    <w:p w:rsidR="0077285A" w:rsidRPr="00774A86" w:rsidRDefault="0077285A" w:rsidP="007905E2">
      <w:pPr>
        <w:pStyle w:val="Chapter2"/>
        <w:numPr>
          <w:ilvl w:val="0"/>
          <w:numId w:val="0"/>
        </w:numPr>
        <w:ind w:left="360" w:hanging="360"/>
      </w:pPr>
    </w:p>
    <w:p w:rsidR="000420F3" w:rsidRDefault="000420F3">
      <w:pPr>
        <w:jc w:val="left"/>
        <w:rPr>
          <w:rFonts w:ascii="Times New Roman Bold" w:hAnsi="Times New Roman Bold"/>
          <w:b/>
          <w:bCs/>
          <w:caps/>
          <w:sz w:val="28"/>
          <w:szCs w:val="28"/>
        </w:rPr>
      </w:pPr>
      <w:bookmarkStart w:id="48" w:name="Three"/>
      <w:bookmarkStart w:id="49" w:name="_Toc443051403"/>
      <w:bookmarkStart w:id="50" w:name="_Toc443380361"/>
      <w:bookmarkStart w:id="51" w:name="_Toc443380439"/>
      <w:bookmarkStart w:id="52" w:name="_Toc443393739"/>
      <w:bookmarkStart w:id="53" w:name="_Toc443409829"/>
      <w:bookmarkStart w:id="54" w:name="_Toc443409964"/>
      <w:bookmarkEnd w:id="48"/>
      <w:r>
        <w:br w:type="page"/>
      </w:r>
    </w:p>
    <w:p w:rsidR="002E6DA9" w:rsidRPr="00774A86" w:rsidRDefault="002E6DA9" w:rsidP="000420F3">
      <w:pPr>
        <w:pStyle w:val="Chapterheading"/>
        <w:ind w:left="2835" w:firstLine="567"/>
        <w:jc w:val="both"/>
      </w:pPr>
      <w:bookmarkStart w:id="55" w:name="_Toc443470081"/>
      <w:r w:rsidRPr="00774A86">
        <w:lastRenderedPageBreak/>
        <w:t>CHAPTER 3</w:t>
      </w:r>
      <w:bookmarkEnd w:id="49"/>
      <w:bookmarkEnd w:id="50"/>
      <w:bookmarkEnd w:id="51"/>
      <w:bookmarkEnd w:id="52"/>
      <w:bookmarkEnd w:id="53"/>
      <w:bookmarkEnd w:id="54"/>
      <w:bookmarkEnd w:id="55"/>
    </w:p>
    <w:p w:rsidR="002E6DA9" w:rsidRPr="00774A86" w:rsidRDefault="002E6DA9" w:rsidP="002E6DA9">
      <w:pPr>
        <w:pStyle w:val="Chapterheading"/>
      </w:pPr>
    </w:p>
    <w:p w:rsidR="002E6DA9" w:rsidRPr="00774A86" w:rsidRDefault="00C2109B" w:rsidP="002E6DA9">
      <w:pPr>
        <w:pStyle w:val="Chapterheading"/>
        <w:rPr>
          <w:caps w:val="0"/>
        </w:rPr>
      </w:pPr>
      <w:bookmarkStart w:id="56" w:name="_Toc442084880"/>
      <w:bookmarkStart w:id="57" w:name="_Toc442086882"/>
      <w:bookmarkStart w:id="58" w:name="_Toc443470082"/>
      <w:r w:rsidRPr="00774A86">
        <w:rPr>
          <w:caps w:val="0"/>
        </w:rPr>
        <w:t>Phasing of implementation</w:t>
      </w:r>
      <w:bookmarkEnd w:id="56"/>
      <w:bookmarkEnd w:id="57"/>
      <w:bookmarkEnd w:id="58"/>
    </w:p>
    <w:p w:rsidR="002E6DA9" w:rsidRPr="00774A86" w:rsidRDefault="002E6DA9" w:rsidP="007905E2">
      <w:pPr>
        <w:pStyle w:val="Chapter3"/>
        <w:numPr>
          <w:ilvl w:val="0"/>
          <w:numId w:val="0"/>
        </w:numPr>
        <w:ind w:left="851" w:hanging="851"/>
      </w:pPr>
    </w:p>
    <w:p w:rsidR="006512EB" w:rsidRPr="00774A86" w:rsidRDefault="006512EB" w:rsidP="007905E2">
      <w:pPr>
        <w:pStyle w:val="Chapter3"/>
        <w:numPr>
          <w:ilvl w:val="0"/>
          <w:numId w:val="0"/>
        </w:numPr>
        <w:ind w:left="851" w:hanging="851"/>
      </w:pPr>
    </w:p>
    <w:p w:rsidR="002E6DA9" w:rsidRPr="00774A86" w:rsidRDefault="002E6DA9" w:rsidP="007905E2">
      <w:pPr>
        <w:pStyle w:val="Chapter3"/>
      </w:pPr>
      <w:r w:rsidRPr="00774A86">
        <w:t xml:space="preserve">The G20 views implementation of AEOI by jurisdictions on consistent timelines as critical to the success of the multilateral effort.  As noted, if any </w:t>
      </w:r>
      <w:r w:rsidR="00782EDA" w:rsidRPr="00774A86">
        <w:t xml:space="preserve">relevant jurisdictions fail to meet the implementation timetable, </w:t>
      </w:r>
      <w:r w:rsidRPr="00774A86">
        <w:t>the risk is that the tax evasion problem will simply relocate to that jurisdiction.  Accordingly, the G20 has set a deadline for first exchanges of information by 30 September 2018 at the latest.  This deadline applies to all OECD member countries, G20 member countries, and any other jurisdiction that has</w:t>
      </w:r>
      <w:r w:rsidR="0025712F" w:rsidRPr="00774A86">
        <w:t>,</w:t>
      </w:r>
      <w:r w:rsidRPr="00774A86">
        <w:t xml:space="preserve"> or that operates as</w:t>
      </w:r>
      <w:r w:rsidR="0025712F" w:rsidRPr="00774A86">
        <w:t>,</w:t>
      </w:r>
      <w:r w:rsidRPr="00774A86">
        <w:t xml:space="preserve"> an international finance centre.</w:t>
      </w:r>
    </w:p>
    <w:p w:rsidR="002E6DA9" w:rsidRPr="00774A86" w:rsidRDefault="002E6DA9" w:rsidP="007905E2">
      <w:pPr>
        <w:pStyle w:val="Chapter3"/>
        <w:numPr>
          <w:ilvl w:val="0"/>
          <w:numId w:val="0"/>
        </w:numPr>
      </w:pPr>
    </w:p>
    <w:p w:rsidR="002E6DA9" w:rsidRPr="00774A86" w:rsidRDefault="002E6DA9" w:rsidP="007905E2">
      <w:pPr>
        <w:pStyle w:val="Chapter3"/>
      </w:pPr>
      <w:r w:rsidRPr="00774A86">
        <w:t xml:space="preserve">Some countries (referred to as </w:t>
      </w:r>
      <w:r w:rsidR="0030367F" w:rsidRPr="00774A86">
        <w:t>“</w:t>
      </w:r>
      <w:r w:rsidRPr="00774A86">
        <w:t>early adopters</w:t>
      </w:r>
      <w:r w:rsidR="0030367F" w:rsidRPr="00774A86">
        <w:t>”</w:t>
      </w:r>
      <w:r w:rsidRPr="00774A86">
        <w:t xml:space="preserve">) are implementing even earlier, with first exchanges planned for 2017.  However, </w:t>
      </w:r>
      <w:r w:rsidR="00D4445C" w:rsidRPr="00774A86">
        <w:t>t</w:t>
      </w:r>
      <w:r w:rsidRPr="00774A86">
        <w:t>he majority of countries are working towards 30 September 2018 as their ultimate deadline.</w:t>
      </w:r>
    </w:p>
    <w:p w:rsidR="002E6DA9" w:rsidRPr="00774A86" w:rsidRDefault="002E6DA9" w:rsidP="007905E2">
      <w:pPr>
        <w:pStyle w:val="Chapter3"/>
        <w:numPr>
          <w:ilvl w:val="0"/>
          <w:numId w:val="0"/>
        </w:numPr>
      </w:pPr>
    </w:p>
    <w:p w:rsidR="002E6DA9" w:rsidRPr="00774A86" w:rsidRDefault="00C2109B" w:rsidP="007905E2">
      <w:pPr>
        <w:pStyle w:val="Chapter3"/>
      </w:pPr>
      <w:r w:rsidRPr="00774A86">
        <w:t>In preliminary consultation in 2014, w</w:t>
      </w:r>
      <w:r w:rsidR="002E6DA9" w:rsidRPr="00774A86">
        <w:t>e received a number of submissions from financial institutions that indicated a strong preference for New Zealand not to imp</w:t>
      </w:r>
      <w:r w:rsidR="00D011A2" w:rsidRPr="00774A86">
        <w:t>lement earlier than Australia.</w:t>
      </w:r>
    </w:p>
    <w:p w:rsidR="002E6DA9" w:rsidRPr="00774A86" w:rsidRDefault="002E6DA9" w:rsidP="007905E2">
      <w:pPr>
        <w:pStyle w:val="Chapter3"/>
        <w:numPr>
          <w:ilvl w:val="0"/>
          <w:numId w:val="0"/>
        </w:numPr>
      </w:pPr>
    </w:p>
    <w:p w:rsidR="000A43B8" w:rsidRPr="00774A86" w:rsidRDefault="00D4445C" w:rsidP="007905E2">
      <w:pPr>
        <w:pStyle w:val="Chapter3"/>
      </w:pPr>
      <w:r w:rsidRPr="00774A86">
        <w:t xml:space="preserve">The Government decided </w:t>
      </w:r>
      <w:r w:rsidR="00F76037" w:rsidRPr="00774A86">
        <w:t xml:space="preserve">on 15 February 2016 that New Zealand will implement AEOI on a timeline that would allow Inland Revenue to start exchanging information with other tax authorities by September 2018, in line with our international obligations under AEOI.  </w:t>
      </w:r>
      <w:r w:rsidRPr="00774A86">
        <w:t>D</w:t>
      </w:r>
      <w:r w:rsidR="00F76037" w:rsidRPr="00774A86">
        <w:t>ue diligence and reporting requirements for financial institutions will begin to apply from 1 July 2017, rather than from 1 January 2018 as earlier indicated.</w:t>
      </w:r>
    </w:p>
    <w:p w:rsidR="00F76037" w:rsidRPr="00774A86" w:rsidRDefault="00F76037" w:rsidP="007905E2">
      <w:pPr>
        <w:pStyle w:val="Chapter3"/>
        <w:numPr>
          <w:ilvl w:val="0"/>
          <w:numId w:val="0"/>
        </w:numPr>
      </w:pPr>
    </w:p>
    <w:p w:rsidR="00F76037" w:rsidRPr="00774A86" w:rsidRDefault="00F76037" w:rsidP="007905E2">
      <w:pPr>
        <w:pStyle w:val="Chapter3"/>
      </w:pPr>
      <w:r w:rsidRPr="00774A86">
        <w:t xml:space="preserve">This timeline parallels that announced by Australia at the end of last year, and included in the </w:t>
      </w:r>
      <w:hyperlink r:id="rId10" w:tgtFrame="_blank" w:history="1">
        <w:r w:rsidRPr="00774A86">
          <w:rPr>
            <w:i/>
          </w:rPr>
          <w:t>Tax Laws Amendment (Implementation of the Common Reporting Standard) Bill 2015</w:t>
        </w:r>
      </w:hyperlink>
      <w:r w:rsidRPr="00774A86">
        <w:t>, introduced on 3 December 2015.  We also understand that it is also consistent with the approach Canada is taking to implementation timing.</w:t>
      </w:r>
    </w:p>
    <w:p w:rsidR="00F76037" w:rsidRPr="00774A86" w:rsidRDefault="00F76037" w:rsidP="007905E2">
      <w:pPr>
        <w:pStyle w:val="Chapter3"/>
        <w:numPr>
          <w:ilvl w:val="0"/>
          <w:numId w:val="0"/>
        </w:numPr>
      </w:pPr>
    </w:p>
    <w:p w:rsidR="00F76037" w:rsidRPr="00774A86" w:rsidRDefault="00D4445C" w:rsidP="007905E2">
      <w:pPr>
        <w:pStyle w:val="Chapter3"/>
      </w:pPr>
      <w:r w:rsidRPr="00774A86">
        <w:t>O</w:t>
      </w:r>
      <w:r w:rsidR="00F76037" w:rsidRPr="00774A86">
        <w:t xml:space="preserve">fficials </w:t>
      </w:r>
      <w:r w:rsidRPr="00774A86">
        <w:t xml:space="preserve">have considered </w:t>
      </w:r>
      <w:r w:rsidR="00F76037" w:rsidRPr="00774A86">
        <w:t xml:space="preserve">transitional arrangements for financial institutions </w:t>
      </w:r>
      <w:r w:rsidRPr="00774A86">
        <w:t xml:space="preserve">to help reduce the compliance costs of </w:t>
      </w:r>
      <w:r w:rsidR="001074DD" w:rsidRPr="00774A86">
        <w:t>implementing</w:t>
      </w:r>
      <w:r w:rsidRPr="00774A86">
        <w:t xml:space="preserve"> AEOI as a 1 July timeline within the constraints imposed by the CRS and with a view to international scrutiny and peer review.  Officials are seeking public views on these potential transitional measures.</w:t>
      </w:r>
    </w:p>
    <w:p w:rsidR="00F76037" w:rsidRPr="00774A86" w:rsidRDefault="00F76037" w:rsidP="007905E2">
      <w:pPr>
        <w:pStyle w:val="Chapter3"/>
        <w:numPr>
          <w:ilvl w:val="0"/>
          <w:numId w:val="0"/>
        </w:numPr>
      </w:pPr>
    </w:p>
    <w:p w:rsidR="00F76037" w:rsidRPr="00774A86" w:rsidRDefault="00F76037" w:rsidP="007905E2">
      <w:pPr>
        <w:pStyle w:val="Chapter3"/>
      </w:pPr>
      <w:r w:rsidRPr="00774A86">
        <w:t>To that end, we are proposing phased implementation, with the following indicative timeline</w:t>
      </w:r>
      <w:r w:rsidR="00D4445C" w:rsidRPr="00774A86">
        <w:t xml:space="preserve"> showing deadlines for major milestones</w:t>
      </w:r>
      <w:r w:rsidRPr="00774A86">
        <w:t>:</w:t>
      </w:r>
    </w:p>
    <w:p w:rsidR="000A43B8" w:rsidRPr="00774A86" w:rsidRDefault="000A43B8" w:rsidP="007905E2">
      <w:pPr>
        <w:pStyle w:val="Chapter3"/>
        <w:numPr>
          <w:ilvl w:val="0"/>
          <w:numId w:val="0"/>
        </w:numPr>
      </w:pPr>
    </w:p>
    <w:p w:rsidR="000A43B8" w:rsidRPr="00774A86" w:rsidRDefault="000A43B8" w:rsidP="00016A08">
      <w:pPr>
        <w:pStyle w:val="Chapter3"/>
        <w:numPr>
          <w:ilvl w:val="0"/>
          <w:numId w:val="0"/>
        </w:numPr>
        <w:ind w:left="851"/>
      </w:pPr>
      <w:r w:rsidRPr="00774A86">
        <w:t>1 July 2017</w:t>
      </w:r>
    </w:p>
    <w:p w:rsidR="000A43B8" w:rsidRPr="00774A86" w:rsidRDefault="00C952AB" w:rsidP="006512EB">
      <w:pPr>
        <w:pStyle w:val="Bullets"/>
        <w:spacing w:after="0"/>
        <w:rPr>
          <w:rStyle w:val="BulletsChar"/>
        </w:rPr>
      </w:pPr>
      <w:r w:rsidRPr="00774A86">
        <w:rPr>
          <w:rStyle w:val="BulletsChar"/>
        </w:rPr>
        <w:t>N</w:t>
      </w:r>
      <w:r w:rsidR="009672C6" w:rsidRPr="00774A86">
        <w:rPr>
          <w:rStyle w:val="BulletsChar"/>
        </w:rPr>
        <w:t xml:space="preserve">ew </w:t>
      </w:r>
      <w:r w:rsidRPr="00774A86">
        <w:rPr>
          <w:rStyle w:val="BulletsChar"/>
        </w:rPr>
        <w:t>Z</w:t>
      </w:r>
      <w:r w:rsidR="009672C6" w:rsidRPr="00774A86">
        <w:rPr>
          <w:rStyle w:val="BulletsChar"/>
        </w:rPr>
        <w:t>ealand</w:t>
      </w:r>
      <w:r w:rsidRPr="00774A86">
        <w:rPr>
          <w:rStyle w:val="BulletsChar"/>
        </w:rPr>
        <w:t xml:space="preserve"> </w:t>
      </w:r>
      <w:r w:rsidR="00D4445C" w:rsidRPr="00774A86">
        <w:rPr>
          <w:rStyle w:val="BulletsChar"/>
        </w:rPr>
        <w:t>r</w:t>
      </w:r>
      <w:r w:rsidRPr="00774A86">
        <w:rPr>
          <w:rStyle w:val="BulletsChar"/>
        </w:rPr>
        <w:t xml:space="preserve">eporting </w:t>
      </w:r>
      <w:r w:rsidR="00D4445C" w:rsidRPr="00774A86">
        <w:rPr>
          <w:rStyle w:val="BulletsChar"/>
        </w:rPr>
        <w:t>f</w:t>
      </w:r>
      <w:r w:rsidRPr="00774A86">
        <w:rPr>
          <w:rStyle w:val="BulletsChar"/>
        </w:rPr>
        <w:t xml:space="preserve">inancial </w:t>
      </w:r>
      <w:r w:rsidR="00D4445C" w:rsidRPr="00774A86">
        <w:rPr>
          <w:rStyle w:val="BulletsChar"/>
        </w:rPr>
        <w:t>i</w:t>
      </w:r>
      <w:r w:rsidRPr="00774A86">
        <w:rPr>
          <w:rStyle w:val="BulletsChar"/>
        </w:rPr>
        <w:t>nstitution</w:t>
      </w:r>
      <w:r w:rsidR="009672C6" w:rsidRPr="00774A86">
        <w:rPr>
          <w:rStyle w:val="BulletsChar"/>
        </w:rPr>
        <w:t>s</w:t>
      </w:r>
      <w:r w:rsidRPr="00774A86">
        <w:rPr>
          <w:rStyle w:val="BulletsChar"/>
        </w:rPr>
        <w:t xml:space="preserve"> </w:t>
      </w:r>
      <w:proofErr w:type="gramStart"/>
      <w:r w:rsidR="000A43B8" w:rsidRPr="00774A86">
        <w:rPr>
          <w:rStyle w:val="BulletsChar"/>
        </w:rPr>
        <w:t>commence</w:t>
      </w:r>
      <w:proofErr w:type="gramEnd"/>
      <w:r w:rsidR="000A43B8" w:rsidRPr="00774A86">
        <w:rPr>
          <w:rStyle w:val="BulletsChar"/>
        </w:rPr>
        <w:t xml:space="preserve"> applying due diligence procedures in respect of all</w:t>
      </w:r>
      <w:r w:rsidR="006121AE" w:rsidRPr="00774A86">
        <w:rPr>
          <w:rStyle w:val="BulletsChar"/>
        </w:rPr>
        <w:t xml:space="preserve"> non-exempt</w:t>
      </w:r>
      <w:r w:rsidR="000A43B8" w:rsidRPr="00774A86">
        <w:rPr>
          <w:rStyle w:val="BulletsChar"/>
        </w:rPr>
        <w:t xml:space="preserve"> </w:t>
      </w:r>
      <w:r w:rsidR="00D4445C" w:rsidRPr="00774A86">
        <w:rPr>
          <w:rStyle w:val="BulletsChar"/>
        </w:rPr>
        <w:t>n</w:t>
      </w:r>
      <w:r w:rsidR="009672C6" w:rsidRPr="00774A86">
        <w:rPr>
          <w:rStyle w:val="BulletsChar"/>
        </w:rPr>
        <w:t xml:space="preserve">ew </w:t>
      </w:r>
      <w:r w:rsidR="00D4445C" w:rsidRPr="00774A86">
        <w:rPr>
          <w:rStyle w:val="BulletsChar"/>
        </w:rPr>
        <w:t>a</w:t>
      </w:r>
      <w:r w:rsidR="009672C6" w:rsidRPr="00774A86">
        <w:rPr>
          <w:rStyle w:val="BulletsChar"/>
        </w:rPr>
        <w:t xml:space="preserve">ccounts. </w:t>
      </w:r>
      <w:r w:rsidR="00F97A01" w:rsidRPr="00774A86">
        <w:rPr>
          <w:rStyle w:val="BulletsChar"/>
        </w:rPr>
        <w:t xml:space="preserve"> (In broad terms, </w:t>
      </w:r>
      <w:r w:rsidR="0030367F" w:rsidRPr="00774A86">
        <w:rPr>
          <w:rStyle w:val="BulletsChar"/>
        </w:rPr>
        <w:t>“</w:t>
      </w:r>
      <w:r w:rsidR="00D4445C" w:rsidRPr="00774A86">
        <w:rPr>
          <w:rStyle w:val="BulletsChar"/>
        </w:rPr>
        <w:t>n</w:t>
      </w:r>
      <w:r w:rsidR="00F97A01" w:rsidRPr="00774A86">
        <w:rPr>
          <w:rStyle w:val="BulletsChar"/>
        </w:rPr>
        <w:t>ew</w:t>
      </w:r>
      <w:r w:rsidR="0030367F" w:rsidRPr="00774A86">
        <w:rPr>
          <w:rStyle w:val="BulletsChar"/>
        </w:rPr>
        <w:t>”</w:t>
      </w:r>
      <w:r w:rsidR="00F97A01" w:rsidRPr="00774A86">
        <w:rPr>
          <w:rStyle w:val="BulletsChar"/>
        </w:rPr>
        <w:t xml:space="preserve"> accounts </w:t>
      </w:r>
      <w:r w:rsidR="002569D1" w:rsidRPr="00774A86">
        <w:rPr>
          <w:rStyle w:val="BulletsChar"/>
        </w:rPr>
        <w:t>will be accounts opened on or after 1</w:t>
      </w:r>
      <w:r w:rsidR="006512EB" w:rsidRPr="00774A86">
        <w:rPr>
          <w:rStyle w:val="BulletsChar"/>
        </w:rPr>
        <w:t> </w:t>
      </w:r>
      <w:r w:rsidR="002569D1" w:rsidRPr="00774A86">
        <w:rPr>
          <w:rStyle w:val="BulletsChar"/>
        </w:rPr>
        <w:t>July</w:t>
      </w:r>
      <w:r w:rsidR="006512EB" w:rsidRPr="00774A86">
        <w:rPr>
          <w:rStyle w:val="BulletsChar"/>
        </w:rPr>
        <w:t> </w:t>
      </w:r>
      <w:r w:rsidR="002569D1" w:rsidRPr="00774A86">
        <w:rPr>
          <w:rStyle w:val="BulletsChar"/>
        </w:rPr>
        <w:t>2017</w:t>
      </w:r>
      <w:r w:rsidR="009672C6" w:rsidRPr="00774A86">
        <w:rPr>
          <w:rStyle w:val="BulletsChar"/>
        </w:rPr>
        <w:t>.</w:t>
      </w:r>
      <w:r w:rsidR="002569D1" w:rsidRPr="00774A86">
        <w:rPr>
          <w:rStyle w:val="BulletsChar"/>
        </w:rPr>
        <w:t>)</w:t>
      </w:r>
    </w:p>
    <w:p w:rsidR="00016A08" w:rsidRPr="00774A86" w:rsidRDefault="00016A08" w:rsidP="00016A08">
      <w:pPr>
        <w:pStyle w:val="Chapter3"/>
        <w:numPr>
          <w:ilvl w:val="0"/>
          <w:numId w:val="0"/>
        </w:numPr>
        <w:ind w:left="851" w:hanging="851"/>
      </w:pPr>
    </w:p>
    <w:p w:rsidR="000A43B8" w:rsidRPr="00774A86" w:rsidRDefault="005B66A6" w:rsidP="00016A08">
      <w:pPr>
        <w:pStyle w:val="Chapter3"/>
        <w:numPr>
          <w:ilvl w:val="0"/>
          <w:numId w:val="0"/>
        </w:numPr>
        <w:ind w:left="851"/>
      </w:pPr>
      <w:r w:rsidRPr="00774A86">
        <w:lastRenderedPageBreak/>
        <w:t xml:space="preserve">Early or </w:t>
      </w:r>
      <w:r w:rsidR="00D4445C" w:rsidRPr="00774A86">
        <w:t>m</w:t>
      </w:r>
      <w:r w:rsidR="000A43B8" w:rsidRPr="00774A86">
        <w:t>id</w:t>
      </w:r>
      <w:r w:rsidR="006512EB" w:rsidRPr="00774A86">
        <w:t>-</w:t>
      </w:r>
      <w:r w:rsidR="000A43B8" w:rsidRPr="00774A86">
        <w:t>2018</w:t>
      </w:r>
      <w:r w:rsidR="006512EB" w:rsidRPr="00774A86">
        <w:rPr>
          <w:rStyle w:val="FootnoteReference"/>
          <w:sz w:val="22"/>
          <w:szCs w:val="22"/>
        </w:rPr>
        <w:footnoteReference w:id="29"/>
      </w:r>
    </w:p>
    <w:p w:rsidR="000A43B8" w:rsidRPr="00774A86" w:rsidRDefault="00C952AB" w:rsidP="006512EB">
      <w:pPr>
        <w:pStyle w:val="Bullets"/>
        <w:spacing w:after="0"/>
        <w:rPr>
          <w:rStyle w:val="BulletsChar"/>
        </w:rPr>
      </w:pPr>
      <w:r w:rsidRPr="00774A86">
        <w:rPr>
          <w:rStyle w:val="BulletsChar"/>
        </w:rPr>
        <w:t>N</w:t>
      </w:r>
      <w:r w:rsidR="009672C6" w:rsidRPr="00774A86">
        <w:rPr>
          <w:rStyle w:val="BulletsChar"/>
        </w:rPr>
        <w:t xml:space="preserve">ew </w:t>
      </w:r>
      <w:r w:rsidRPr="00774A86">
        <w:rPr>
          <w:rStyle w:val="BulletsChar"/>
        </w:rPr>
        <w:t>Z</w:t>
      </w:r>
      <w:r w:rsidR="009672C6" w:rsidRPr="00774A86">
        <w:rPr>
          <w:rStyle w:val="BulletsChar"/>
        </w:rPr>
        <w:t>ealand</w:t>
      </w:r>
      <w:r w:rsidRPr="00774A86">
        <w:rPr>
          <w:rStyle w:val="BulletsChar"/>
        </w:rPr>
        <w:t xml:space="preserve"> </w:t>
      </w:r>
      <w:r w:rsidR="0025712F" w:rsidRPr="00774A86">
        <w:rPr>
          <w:rStyle w:val="BulletsChar"/>
        </w:rPr>
        <w:t xml:space="preserve">reporting financial </w:t>
      </w:r>
      <w:r w:rsidR="00991E68" w:rsidRPr="00774A86">
        <w:rPr>
          <w:rStyle w:val="BulletsChar"/>
        </w:rPr>
        <w:t>institutions</w:t>
      </w:r>
      <w:r w:rsidR="005B66A6" w:rsidRPr="00774A86">
        <w:rPr>
          <w:rStyle w:val="BulletsChar"/>
        </w:rPr>
        <w:t xml:space="preserve"> </w:t>
      </w:r>
      <w:r w:rsidR="00C54743" w:rsidRPr="00774A86">
        <w:rPr>
          <w:rStyle w:val="BulletsChar"/>
        </w:rPr>
        <w:t xml:space="preserve">complete </w:t>
      </w:r>
      <w:r w:rsidR="000A43B8" w:rsidRPr="00774A86">
        <w:rPr>
          <w:rStyle w:val="BulletsChar"/>
        </w:rPr>
        <w:t xml:space="preserve">due diligence reviews of all </w:t>
      </w:r>
      <w:r w:rsidR="006121AE" w:rsidRPr="00774A86">
        <w:rPr>
          <w:rStyle w:val="BulletsChar"/>
        </w:rPr>
        <w:t xml:space="preserve">non-exempt </w:t>
      </w:r>
      <w:r w:rsidR="009672C6" w:rsidRPr="00774A86">
        <w:rPr>
          <w:rStyle w:val="BulletsChar"/>
        </w:rPr>
        <w:t>High Value Pre-Existing Individual Accounts</w:t>
      </w:r>
      <w:r w:rsidR="000A43B8" w:rsidRPr="00774A86">
        <w:rPr>
          <w:rStyle w:val="BulletsChar"/>
        </w:rPr>
        <w:t>.</w:t>
      </w:r>
      <w:r w:rsidR="000A43B8" w:rsidRPr="00774A86">
        <w:rPr>
          <w:rStyle w:val="BulletsChar"/>
          <w:sz w:val="22"/>
          <w:szCs w:val="22"/>
          <w:vertAlign w:val="superscript"/>
        </w:rPr>
        <w:footnoteReference w:id="30"/>
      </w:r>
    </w:p>
    <w:p w:rsidR="005B5D85" w:rsidRPr="00774A86" w:rsidRDefault="005B5D85" w:rsidP="00016A08">
      <w:pPr>
        <w:pStyle w:val="Chapter3"/>
        <w:numPr>
          <w:ilvl w:val="0"/>
          <w:numId w:val="0"/>
        </w:numPr>
        <w:ind w:left="851" w:hanging="851"/>
      </w:pPr>
    </w:p>
    <w:p w:rsidR="005B5D85" w:rsidRPr="00774A86" w:rsidRDefault="0025712F" w:rsidP="00CD5F48">
      <w:pPr>
        <w:pStyle w:val="Chapter3"/>
        <w:numPr>
          <w:ilvl w:val="0"/>
          <w:numId w:val="0"/>
        </w:numPr>
        <w:ind w:left="851"/>
      </w:pPr>
      <w:r w:rsidRPr="00774A86">
        <w:t>Mid</w:t>
      </w:r>
      <w:r w:rsidR="006512EB" w:rsidRPr="00774A86">
        <w:t>-</w:t>
      </w:r>
      <w:r w:rsidR="005B5D85" w:rsidRPr="00774A86">
        <w:t>2018</w:t>
      </w:r>
    </w:p>
    <w:p w:rsidR="000A43B8" w:rsidRPr="00774A86" w:rsidRDefault="00C952AB" w:rsidP="006512EB">
      <w:pPr>
        <w:pStyle w:val="Bullets"/>
        <w:spacing w:after="0"/>
      </w:pPr>
      <w:r w:rsidRPr="00774A86">
        <w:t xml:space="preserve">Reporting </w:t>
      </w:r>
      <w:r w:rsidR="00D4445C" w:rsidRPr="00774A86">
        <w:t>f</w:t>
      </w:r>
      <w:r w:rsidR="00991E68" w:rsidRPr="00774A86">
        <w:t>inancial institutions</w:t>
      </w:r>
      <w:r w:rsidRPr="00774A86">
        <w:t xml:space="preserve"> </w:t>
      </w:r>
      <w:r w:rsidR="00C54743" w:rsidRPr="00774A86">
        <w:t xml:space="preserve">complete their </w:t>
      </w:r>
      <w:r w:rsidR="000A43B8" w:rsidRPr="00774A86">
        <w:t>report</w:t>
      </w:r>
      <w:r w:rsidR="00C54743" w:rsidRPr="00774A86">
        <w:t xml:space="preserve">ing to Inland Revenue </w:t>
      </w:r>
      <w:r w:rsidR="0025712F" w:rsidRPr="00774A86">
        <w:t xml:space="preserve">in respect </w:t>
      </w:r>
      <w:r w:rsidR="00C54743" w:rsidRPr="00774A86">
        <w:t>of</w:t>
      </w:r>
      <w:r w:rsidR="000A43B8" w:rsidRPr="00774A86">
        <w:t xml:space="preserve"> </w:t>
      </w:r>
      <w:r w:rsidR="00D4445C" w:rsidRPr="00774A86">
        <w:t>r</w:t>
      </w:r>
      <w:r w:rsidR="00EE5866" w:rsidRPr="00774A86">
        <w:t>eportable accounts</w:t>
      </w:r>
      <w:r w:rsidR="005B66A6" w:rsidRPr="00774A86">
        <w:t xml:space="preserve"> and </w:t>
      </w:r>
      <w:r w:rsidR="00D4445C" w:rsidRPr="00774A86">
        <w:t>u</w:t>
      </w:r>
      <w:r w:rsidR="00EE5866" w:rsidRPr="00774A86">
        <w:t>ndocumented accounts</w:t>
      </w:r>
      <w:r w:rsidR="005B66A6" w:rsidRPr="00774A86">
        <w:t xml:space="preserve"> identified</w:t>
      </w:r>
      <w:r w:rsidR="000A43B8" w:rsidRPr="00774A86">
        <w:t xml:space="preserve"> in respect of the due diligence carried out </w:t>
      </w:r>
      <w:r w:rsidR="005B66A6" w:rsidRPr="00774A86">
        <w:t>in the period</w:t>
      </w:r>
      <w:r w:rsidR="000A43B8" w:rsidRPr="00774A86">
        <w:t>.</w:t>
      </w:r>
    </w:p>
    <w:p w:rsidR="000A43B8" w:rsidRPr="00774A86" w:rsidRDefault="000A43B8" w:rsidP="00CD5F48">
      <w:pPr>
        <w:pStyle w:val="Chapter3"/>
        <w:numPr>
          <w:ilvl w:val="0"/>
          <w:numId w:val="0"/>
        </w:numPr>
        <w:ind w:left="851" w:hanging="851"/>
      </w:pPr>
    </w:p>
    <w:p w:rsidR="000A43B8" w:rsidRPr="00774A86" w:rsidRDefault="000A43B8" w:rsidP="00CD5F48">
      <w:pPr>
        <w:pStyle w:val="Chapter3"/>
        <w:numPr>
          <w:ilvl w:val="0"/>
          <w:numId w:val="0"/>
        </w:numPr>
        <w:ind w:left="851"/>
      </w:pPr>
      <w:r w:rsidRPr="00774A86">
        <w:t>30 September 2018</w:t>
      </w:r>
    </w:p>
    <w:p w:rsidR="000A43B8" w:rsidRPr="00774A86" w:rsidRDefault="000A43B8" w:rsidP="006512EB">
      <w:pPr>
        <w:pStyle w:val="Bullets"/>
        <w:spacing w:after="0"/>
      </w:pPr>
      <w:r w:rsidRPr="00774A86">
        <w:t>Tax administrations complete the exchange</w:t>
      </w:r>
      <w:r w:rsidR="006121AE" w:rsidRPr="00774A86">
        <w:rPr>
          <w:rStyle w:val="FootnoteReference"/>
          <w:sz w:val="22"/>
          <w:szCs w:val="22"/>
        </w:rPr>
        <w:footnoteReference w:id="31"/>
      </w:r>
      <w:r w:rsidRPr="00774A86">
        <w:t xml:space="preserve"> of information in respect of information reported</w:t>
      </w:r>
      <w:r w:rsidR="006121AE" w:rsidRPr="00774A86">
        <w:t xml:space="preserve"> </w:t>
      </w:r>
      <w:r w:rsidR="00FB16B3" w:rsidRPr="00774A86">
        <w:t>during 2018</w:t>
      </w:r>
      <w:r w:rsidRPr="00774A86">
        <w:t>.</w:t>
      </w:r>
    </w:p>
    <w:p w:rsidR="006121AE" w:rsidRPr="00774A86" w:rsidRDefault="006121AE" w:rsidP="00CD5F48">
      <w:pPr>
        <w:pStyle w:val="Chapter3"/>
        <w:numPr>
          <w:ilvl w:val="0"/>
          <w:numId w:val="0"/>
        </w:numPr>
        <w:ind w:left="851"/>
      </w:pPr>
    </w:p>
    <w:p w:rsidR="005B66A6" w:rsidRPr="00774A86" w:rsidRDefault="005B66A6" w:rsidP="00CD5F48">
      <w:pPr>
        <w:pStyle w:val="Chapter3"/>
        <w:numPr>
          <w:ilvl w:val="0"/>
          <w:numId w:val="0"/>
        </w:numPr>
        <w:ind w:left="851"/>
      </w:pPr>
      <w:r w:rsidRPr="00774A86">
        <w:t xml:space="preserve">Early or </w:t>
      </w:r>
      <w:r w:rsidR="006512EB" w:rsidRPr="00774A86">
        <w:t>m</w:t>
      </w:r>
      <w:r w:rsidRPr="00774A86">
        <w:t>id</w:t>
      </w:r>
      <w:r w:rsidR="006512EB" w:rsidRPr="00774A86">
        <w:t>-</w:t>
      </w:r>
      <w:r w:rsidRPr="00774A86">
        <w:t>2019</w:t>
      </w:r>
      <w:r w:rsidR="006512EB" w:rsidRPr="00774A86">
        <w:rPr>
          <w:rStyle w:val="FootnoteReference"/>
          <w:sz w:val="22"/>
          <w:szCs w:val="22"/>
        </w:rPr>
        <w:footnoteReference w:id="32"/>
      </w:r>
    </w:p>
    <w:p w:rsidR="000A43B8" w:rsidRPr="00774A86" w:rsidRDefault="00C952AB" w:rsidP="00CD5F48">
      <w:pPr>
        <w:pStyle w:val="Bullets"/>
      </w:pPr>
      <w:r w:rsidRPr="00774A86">
        <w:t>N</w:t>
      </w:r>
      <w:r w:rsidR="009672C6" w:rsidRPr="00774A86">
        <w:t xml:space="preserve">ew </w:t>
      </w:r>
      <w:r w:rsidRPr="00774A86">
        <w:t>Z</w:t>
      </w:r>
      <w:r w:rsidR="009672C6" w:rsidRPr="00774A86">
        <w:t>ealand</w:t>
      </w:r>
      <w:r w:rsidRPr="00774A86">
        <w:t xml:space="preserve"> </w:t>
      </w:r>
      <w:r w:rsidR="00D4445C" w:rsidRPr="00774A86">
        <w:t>r</w:t>
      </w:r>
      <w:r w:rsidRPr="00774A86">
        <w:t xml:space="preserve">eporting </w:t>
      </w:r>
      <w:r w:rsidR="00D4445C" w:rsidRPr="00774A86">
        <w:t>f</w:t>
      </w:r>
      <w:r w:rsidR="00991E68" w:rsidRPr="00774A86">
        <w:t>inancial institutions</w:t>
      </w:r>
      <w:r w:rsidRPr="00774A86">
        <w:t xml:space="preserve"> complet</w:t>
      </w:r>
      <w:r w:rsidR="00C54743" w:rsidRPr="00774A86">
        <w:t>e</w:t>
      </w:r>
      <w:r w:rsidRPr="00774A86">
        <w:t xml:space="preserve"> due diligence reviews of all </w:t>
      </w:r>
      <w:r w:rsidR="006121AE" w:rsidRPr="00774A86">
        <w:t>non-exempt</w:t>
      </w:r>
      <w:r w:rsidR="000A43B8" w:rsidRPr="00774A86">
        <w:t xml:space="preserve"> </w:t>
      </w:r>
      <w:r w:rsidR="00D4445C" w:rsidRPr="00774A86">
        <w:rPr>
          <w:i/>
        </w:rPr>
        <w:t>p</w:t>
      </w:r>
      <w:r w:rsidR="009672C6" w:rsidRPr="00774A86">
        <w:rPr>
          <w:i/>
        </w:rPr>
        <w:t>re-</w:t>
      </w:r>
      <w:r w:rsidR="00D4445C" w:rsidRPr="00774A86">
        <w:rPr>
          <w:i/>
        </w:rPr>
        <w:t>e</w:t>
      </w:r>
      <w:r w:rsidR="009672C6" w:rsidRPr="00774A86">
        <w:rPr>
          <w:i/>
        </w:rPr>
        <w:t xml:space="preserve">xisting </w:t>
      </w:r>
      <w:r w:rsidR="00D4445C" w:rsidRPr="00774A86">
        <w:rPr>
          <w:i/>
        </w:rPr>
        <w:t>e</w:t>
      </w:r>
      <w:r w:rsidR="009672C6" w:rsidRPr="00774A86">
        <w:rPr>
          <w:i/>
        </w:rPr>
        <w:t xml:space="preserve">ntity </w:t>
      </w:r>
      <w:r w:rsidR="00D4445C" w:rsidRPr="00774A86">
        <w:rPr>
          <w:i/>
        </w:rPr>
        <w:t>a</w:t>
      </w:r>
      <w:r w:rsidR="009672C6" w:rsidRPr="00774A86">
        <w:rPr>
          <w:i/>
        </w:rPr>
        <w:t>ccounts</w:t>
      </w:r>
      <w:r w:rsidR="000A43B8" w:rsidRPr="00774A86">
        <w:rPr>
          <w:i/>
        </w:rPr>
        <w:t>.</w:t>
      </w:r>
    </w:p>
    <w:p w:rsidR="008272C9" w:rsidRPr="00774A86" w:rsidRDefault="00C952AB" w:rsidP="006512EB">
      <w:pPr>
        <w:pStyle w:val="Bullets"/>
        <w:spacing w:after="0"/>
      </w:pPr>
      <w:r w:rsidRPr="00774A86">
        <w:t>N</w:t>
      </w:r>
      <w:r w:rsidR="009672C6" w:rsidRPr="00774A86">
        <w:t xml:space="preserve">ew </w:t>
      </w:r>
      <w:r w:rsidRPr="00774A86">
        <w:t>Z</w:t>
      </w:r>
      <w:r w:rsidR="009672C6" w:rsidRPr="00774A86">
        <w:t>ealand</w:t>
      </w:r>
      <w:r w:rsidRPr="00774A86">
        <w:t xml:space="preserve"> </w:t>
      </w:r>
      <w:r w:rsidR="00D4445C" w:rsidRPr="00774A86">
        <w:t>r</w:t>
      </w:r>
      <w:r w:rsidRPr="00774A86">
        <w:t xml:space="preserve">eporting </w:t>
      </w:r>
      <w:r w:rsidR="00D4445C" w:rsidRPr="00774A86">
        <w:t>f</w:t>
      </w:r>
      <w:r w:rsidR="00991E68" w:rsidRPr="00774A86">
        <w:t>inancial institutions</w:t>
      </w:r>
      <w:r w:rsidRPr="00774A86">
        <w:t xml:space="preserve"> complet</w:t>
      </w:r>
      <w:r w:rsidR="00C54743" w:rsidRPr="00774A86">
        <w:t>e</w:t>
      </w:r>
      <w:r w:rsidRPr="00774A86">
        <w:t xml:space="preserve"> due diligence reviews of all </w:t>
      </w:r>
      <w:r w:rsidR="006121AE" w:rsidRPr="00774A86">
        <w:t>non-exempt</w:t>
      </w:r>
      <w:r w:rsidR="000A43B8" w:rsidRPr="00774A86">
        <w:t xml:space="preserve"> </w:t>
      </w:r>
      <w:r w:rsidR="00D4445C" w:rsidRPr="00774A86">
        <w:rPr>
          <w:i/>
        </w:rPr>
        <w:t>l</w:t>
      </w:r>
      <w:r w:rsidR="009672C6" w:rsidRPr="00774A86">
        <w:rPr>
          <w:i/>
        </w:rPr>
        <w:t xml:space="preserve">ow </w:t>
      </w:r>
      <w:r w:rsidR="00D4445C" w:rsidRPr="00774A86">
        <w:rPr>
          <w:i/>
        </w:rPr>
        <w:t>v</w:t>
      </w:r>
      <w:r w:rsidR="009672C6" w:rsidRPr="00774A86">
        <w:rPr>
          <w:i/>
        </w:rPr>
        <w:t xml:space="preserve">alue </w:t>
      </w:r>
      <w:r w:rsidR="00D4445C" w:rsidRPr="00774A86">
        <w:rPr>
          <w:i/>
        </w:rPr>
        <w:t>p</w:t>
      </w:r>
      <w:r w:rsidR="009672C6" w:rsidRPr="00774A86">
        <w:rPr>
          <w:i/>
        </w:rPr>
        <w:t>re-</w:t>
      </w:r>
      <w:r w:rsidR="00D4445C" w:rsidRPr="00774A86">
        <w:rPr>
          <w:i/>
        </w:rPr>
        <w:t>e</w:t>
      </w:r>
      <w:r w:rsidR="009672C6" w:rsidRPr="00774A86">
        <w:rPr>
          <w:i/>
        </w:rPr>
        <w:t xml:space="preserve">xisting </w:t>
      </w:r>
      <w:r w:rsidR="00D4445C" w:rsidRPr="00774A86">
        <w:rPr>
          <w:i/>
        </w:rPr>
        <w:t>i</w:t>
      </w:r>
      <w:r w:rsidR="009672C6" w:rsidRPr="00774A86">
        <w:rPr>
          <w:i/>
        </w:rPr>
        <w:t xml:space="preserve">ndividual </w:t>
      </w:r>
      <w:r w:rsidR="00D4445C" w:rsidRPr="00774A86">
        <w:rPr>
          <w:i/>
        </w:rPr>
        <w:t>a</w:t>
      </w:r>
      <w:r w:rsidR="009672C6" w:rsidRPr="00774A86">
        <w:rPr>
          <w:i/>
        </w:rPr>
        <w:t>ccounts</w:t>
      </w:r>
      <w:r w:rsidR="008272C9" w:rsidRPr="00774A86">
        <w:t>.</w:t>
      </w:r>
    </w:p>
    <w:p w:rsidR="008272C9" w:rsidRPr="00774A86" w:rsidRDefault="008272C9" w:rsidP="00CD5F48">
      <w:pPr>
        <w:pStyle w:val="Chapter3"/>
        <w:numPr>
          <w:ilvl w:val="0"/>
          <w:numId w:val="0"/>
        </w:numPr>
        <w:ind w:left="851"/>
      </w:pPr>
    </w:p>
    <w:p w:rsidR="008272C9" w:rsidRPr="00774A86" w:rsidRDefault="0025712F" w:rsidP="00CD5F48">
      <w:pPr>
        <w:pStyle w:val="Chapter3"/>
        <w:numPr>
          <w:ilvl w:val="0"/>
          <w:numId w:val="0"/>
        </w:numPr>
        <w:ind w:left="851"/>
      </w:pPr>
      <w:r w:rsidRPr="00774A86">
        <w:t>Mid-</w:t>
      </w:r>
      <w:r w:rsidR="008272C9" w:rsidRPr="00774A86">
        <w:t>2019</w:t>
      </w:r>
    </w:p>
    <w:p w:rsidR="000A43B8" w:rsidRPr="00774A86" w:rsidRDefault="00C952AB" w:rsidP="006512EB">
      <w:pPr>
        <w:pStyle w:val="Bullets"/>
        <w:spacing w:after="0"/>
      </w:pPr>
      <w:r w:rsidRPr="00774A86">
        <w:t>N</w:t>
      </w:r>
      <w:r w:rsidR="009672C6" w:rsidRPr="00774A86">
        <w:t xml:space="preserve">ew </w:t>
      </w:r>
      <w:r w:rsidRPr="00774A86">
        <w:t>Z</w:t>
      </w:r>
      <w:r w:rsidR="009672C6" w:rsidRPr="00774A86">
        <w:t>ealand</w:t>
      </w:r>
      <w:r w:rsidRPr="00774A86">
        <w:t xml:space="preserve"> </w:t>
      </w:r>
      <w:r w:rsidR="00D4445C" w:rsidRPr="00774A86">
        <w:t>r</w:t>
      </w:r>
      <w:r w:rsidRPr="00774A86">
        <w:t xml:space="preserve">eporting </w:t>
      </w:r>
      <w:r w:rsidR="00D4445C" w:rsidRPr="00774A86">
        <w:t>f</w:t>
      </w:r>
      <w:r w:rsidR="00991E68" w:rsidRPr="00774A86">
        <w:t>inancial institutions</w:t>
      </w:r>
      <w:r w:rsidRPr="00774A86">
        <w:t xml:space="preserve"> </w:t>
      </w:r>
      <w:r w:rsidR="00C54743" w:rsidRPr="00774A86">
        <w:t xml:space="preserve">complete </w:t>
      </w:r>
      <w:r w:rsidR="005B66A6" w:rsidRPr="00774A86">
        <w:t xml:space="preserve">reporting to </w:t>
      </w:r>
      <w:r w:rsidR="005B5D85" w:rsidRPr="00774A86">
        <w:t xml:space="preserve">Inland </w:t>
      </w:r>
      <w:r w:rsidR="001074DD" w:rsidRPr="00774A86">
        <w:t>Revenue</w:t>
      </w:r>
      <w:r w:rsidR="005B66A6" w:rsidRPr="00774A86">
        <w:t xml:space="preserve"> </w:t>
      </w:r>
      <w:r w:rsidR="0025712F" w:rsidRPr="00774A86">
        <w:t xml:space="preserve">in respect </w:t>
      </w:r>
      <w:r w:rsidR="00C54743" w:rsidRPr="00774A86">
        <w:t xml:space="preserve">of </w:t>
      </w:r>
      <w:r w:rsidR="00D4445C" w:rsidRPr="00774A86">
        <w:t>r</w:t>
      </w:r>
      <w:r w:rsidR="00EE5866" w:rsidRPr="00774A86">
        <w:t>eportable accounts</w:t>
      </w:r>
      <w:r w:rsidR="005B66A6" w:rsidRPr="00774A86">
        <w:t xml:space="preserve"> and </w:t>
      </w:r>
      <w:r w:rsidR="00D4445C" w:rsidRPr="00774A86">
        <w:t>u</w:t>
      </w:r>
      <w:r w:rsidR="00EE5866" w:rsidRPr="00774A86">
        <w:t>ndocumented accounts</w:t>
      </w:r>
      <w:r w:rsidR="005B66A6" w:rsidRPr="00774A86">
        <w:t xml:space="preserve"> identified in respect of the due diligence carried</w:t>
      </w:r>
      <w:r w:rsidR="001678F2" w:rsidRPr="00774A86">
        <w:t xml:space="preserve"> out in the period.</w:t>
      </w:r>
    </w:p>
    <w:p w:rsidR="009672C6" w:rsidRPr="00774A86" w:rsidRDefault="009672C6" w:rsidP="00CD5F48">
      <w:pPr>
        <w:pStyle w:val="Chapter3"/>
        <w:numPr>
          <w:ilvl w:val="0"/>
          <w:numId w:val="0"/>
        </w:numPr>
        <w:ind w:left="851"/>
      </w:pPr>
    </w:p>
    <w:p w:rsidR="002E6DA9" w:rsidRPr="00774A86" w:rsidRDefault="005B66A6" w:rsidP="00CD5F48">
      <w:pPr>
        <w:pStyle w:val="Chapter3"/>
        <w:numPr>
          <w:ilvl w:val="0"/>
          <w:numId w:val="0"/>
        </w:numPr>
        <w:ind w:left="851"/>
      </w:pPr>
      <w:r w:rsidRPr="00774A86">
        <w:t>30 September 2019</w:t>
      </w:r>
    </w:p>
    <w:p w:rsidR="005B66A6" w:rsidRPr="00774A86" w:rsidRDefault="005B66A6" w:rsidP="006512EB">
      <w:pPr>
        <w:pStyle w:val="Bullets"/>
        <w:spacing w:after="0"/>
      </w:pPr>
      <w:r w:rsidRPr="00774A86">
        <w:t>Tax administrations complete the exchange of information in respect of information reported</w:t>
      </w:r>
      <w:r w:rsidR="006121AE" w:rsidRPr="00774A86">
        <w:t xml:space="preserve"> </w:t>
      </w:r>
      <w:r w:rsidR="008624ED" w:rsidRPr="00774A86">
        <w:t>during 2019.</w:t>
      </w:r>
    </w:p>
    <w:p w:rsidR="005B66A6" w:rsidRPr="00774A86" w:rsidRDefault="005B66A6" w:rsidP="00CD5F48">
      <w:pPr>
        <w:pStyle w:val="Chapter3"/>
        <w:numPr>
          <w:ilvl w:val="0"/>
          <w:numId w:val="0"/>
        </w:numPr>
        <w:ind w:left="851"/>
      </w:pPr>
    </w:p>
    <w:p w:rsidR="002E6DA9" w:rsidRPr="00774A86" w:rsidRDefault="002E6DA9" w:rsidP="00426E60">
      <w:pPr>
        <w:pStyle w:val="Chapter3"/>
      </w:pPr>
      <w:r w:rsidRPr="00774A86">
        <w:t xml:space="preserve">A key point to note is that under </w:t>
      </w:r>
      <w:r w:rsidR="00063BB7" w:rsidRPr="00774A86">
        <w:t xml:space="preserve">this </w:t>
      </w:r>
      <w:r w:rsidRPr="00774A86">
        <w:t xml:space="preserve">approach, the initial focus is solely on completing due diligence reviews of </w:t>
      </w:r>
      <w:r w:rsidRPr="00774A86">
        <w:rPr>
          <w:i/>
        </w:rPr>
        <w:t>high value pre-existing individual accounts</w:t>
      </w:r>
      <w:r w:rsidRPr="00774A86">
        <w:t xml:space="preserve"> and </w:t>
      </w:r>
      <w:r w:rsidRPr="00774A86">
        <w:rPr>
          <w:i/>
        </w:rPr>
        <w:t>new accounts</w:t>
      </w:r>
      <w:r w:rsidRPr="00774A86">
        <w:t xml:space="preserve"> (opened in the first period).  That is, the deadline for completing due diligence reviews of </w:t>
      </w:r>
      <w:r w:rsidRPr="00774A86">
        <w:rPr>
          <w:i/>
        </w:rPr>
        <w:t>pre-existing entity accounts</w:t>
      </w:r>
      <w:r w:rsidRPr="00774A86">
        <w:t xml:space="preserve"> is </w:t>
      </w:r>
      <w:r w:rsidR="000A43B8" w:rsidRPr="00774A86">
        <w:t>the same as that for completing due diligence reviews of</w:t>
      </w:r>
      <w:r w:rsidRPr="00774A86">
        <w:t xml:space="preserve"> </w:t>
      </w:r>
      <w:r w:rsidRPr="00774A86">
        <w:rPr>
          <w:i/>
        </w:rPr>
        <w:t>low-value pre-existing individual accounts</w:t>
      </w:r>
      <w:r w:rsidRPr="00774A86">
        <w:t xml:space="preserve">.  </w:t>
      </w:r>
      <w:r w:rsidR="000A43B8" w:rsidRPr="00774A86">
        <w:t>The</w:t>
      </w:r>
      <w:r w:rsidRPr="00774A86">
        <w:t xml:space="preserve"> due diligence </w:t>
      </w:r>
      <w:r w:rsidR="000A43B8" w:rsidRPr="00774A86">
        <w:t xml:space="preserve">reviews </w:t>
      </w:r>
      <w:r w:rsidRPr="00774A86">
        <w:t xml:space="preserve">of entity accounts is </w:t>
      </w:r>
      <w:r w:rsidR="000A43B8" w:rsidRPr="00774A86">
        <w:t>expected to be</w:t>
      </w:r>
      <w:r w:rsidRPr="00774A86">
        <w:t xml:space="preserve"> more complex than due di</w:t>
      </w:r>
      <w:r w:rsidR="000A43B8" w:rsidRPr="00774A86">
        <w:t>ligence of individual accounts.</w:t>
      </w:r>
      <w:r w:rsidR="008272C9" w:rsidRPr="00774A86">
        <w:t xml:space="preserve"> </w:t>
      </w:r>
      <w:r w:rsidR="00EF1A1D" w:rsidRPr="00774A86">
        <w:t xml:space="preserve"> </w:t>
      </w:r>
      <w:r w:rsidR="008272C9" w:rsidRPr="00774A86">
        <w:t>(</w:t>
      </w:r>
      <w:r w:rsidR="00F97A01" w:rsidRPr="00774A86">
        <w:t xml:space="preserve">Please note that these procedures </w:t>
      </w:r>
      <w:r w:rsidR="0051122F" w:rsidRPr="00774A86">
        <w:t xml:space="preserve">and terms </w:t>
      </w:r>
      <w:r w:rsidR="00F97A01" w:rsidRPr="00774A86">
        <w:t xml:space="preserve">are elaborated on in the </w:t>
      </w:r>
      <w:r w:rsidR="001503F3" w:rsidRPr="00774A86">
        <w:t xml:space="preserve">Appendix and </w:t>
      </w:r>
      <w:r w:rsidR="0025712F" w:rsidRPr="00774A86">
        <w:t xml:space="preserve">Glossary </w:t>
      </w:r>
      <w:r w:rsidR="00F97A01" w:rsidRPr="00774A86">
        <w:t>to this issues paper.</w:t>
      </w:r>
      <w:r w:rsidR="008272C9" w:rsidRPr="00774A86">
        <w:t>)</w:t>
      </w:r>
    </w:p>
    <w:p w:rsidR="002E6DA9" w:rsidRPr="00774A86" w:rsidRDefault="002E6DA9" w:rsidP="00CD5F48">
      <w:pPr>
        <w:pStyle w:val="Chapter3"/>
        <w:numPr>
          <w:ilvl w:val="0"/>
          <w:numId w:val="0"/>
        </w:numPr>
        <w:ind w:left="851"/>
      </w:pPr>
    </w:p>
    <w:p w:rsidR="003003A2" w:rsidRPr="00774A86" w:rsidRDefault="003003A2">
      <w:pPr>
        <w:jc w:val="left"/>
        <w:rPr>
          <w:rStyle w:val="Chapter3Char1"/>
          <w:snapToGrid/>
        </w:rPr>
      </w:pPr>
      <w:r w:rsidRPr="00774A86">
        <w:rPr>
          <w:rStyle w:val="Chapter3Char1"/>
        </w:rPr>
        <w:br w:type="page"/>
      </w:r>
    </w:p>
    <w:p w:rsidR="002E6DA9" w:rsidRPr="00774A86" w:rsidRDefault="002E6DA9" w:rsidP="00CD5F48">
      <w:pPr>
        <w:pStyle w:val="Chapter3"/>
      </w:pPr>
      <w:r w:rsidRPr="00774A86">
        <w:rPr>
          <w:rStyle w:val="Chapter3Char1"/>
        </w:rPr>
        <w:lastRenderedPageBreak/>
        <w:t>A</w:t>
      </w:r>
      <w:r w:rsidRPr="00774A86">
        <w:t xml:space="preserve"> second key point </w:t>
      </w:r>
      <w:r w:rsidR="008272C9" w:rsidRPr="00774A86">
        <w:t xml:space="preserve">under the above approach </w:t>
      </w:r>
      <w:r w:rsidRPr="00774A86">
        <w:t xml:space="preserve">is that the deadline for completing due diligence of </w:t>
      </w:r>
      <w:r w:rsidRPr="00774A86">
        <w:rPr>
          <w:i/>
        </w:rPr>
        <w:t xml:space="preserve">high value pre-existing individual accounts </w:t>
      </w:r>
      <w:r w:rsidRPr="00774A86">
        <w:t xml:space="preserve">is itself </w:t>
      </w:r>
      <w:r w:rsidR="008272C9" w:rsidRPr="00774A86">
        <w:t xml:space="preserve">likely to be </w:t>
      </w:r>
      <w:r w:rsidRPr="00774A86">
        <w:t xml:space="preserve">deferred.  </w:t>
      </w:r>
      <w:r w:rsidR="000A43B8" w:rsidRPr="00774A86">
        <w:t xml:space="preserve">Under </w:t>
      </w:r>
      <w:r w:rsidRPr="00774A86">
        <w:t xml:space="preserve">the G20 </w:t>
      </w:r>
      <w:r w:rsidR="000A43B8" w:rsidRPr="00774A86">
        <w:t xml:space="preserve">indicative </w:t>
      </w:r>
      <w:r w:rsidRPr="00774A86">
        <w:t>timing, these reviews would need to be completed by 31 December 2017.  However, given that the</w:t>
      </w:r>
      <w:r w:rsidR="008272C9" w:rsidRPr="00774A86">
        <w:t xml:space="preserve"> first</w:t>
      </w:r>
      <w:r w:rsidRPr="00774A86">
        <w:t xml:space="preserve"> deadline for reporting the information </w:t>
      </w:r>
      <w:r w:rsidR="008272C9" w:rsidRPr="00774A86">
        <w:t xml:space="preserve">is </w:t>
      </w:r>
      <w:r w:rsidR="00AC5182" w:rsidRPr="00774A86">
        <w:t>mid-</w:t>
      </w:r>
      <w:r w:rsidRPr="00774A86">
        <w:t xml:space="preserve">2018, </w:t>
      </w:r>
      <w:r w:rsidR="008272C9" w:rsidRPr="00774A86">
        <w:t xml:space="preserve">officials are exploring the option of allowing until </w:t>
      </w:r>
      <w:r w:rsidR="00AC5182" w:rsidRPr="00774A86">
        <w:t>mid-</w:t>
      </w:r>
      <w:r w:rsidR="008272C9" w:rsidRPr="00774A86">
        <w:t>2018 for the completion of the due diligence reviews</w:t>
      </w:r>
      <w:r w:rsidRPr="00774A86">
        <w:t xml:space="preserve">.  </w:t>
      </w:r>
      <w:r w:rsidR="005B4BF7" w:rsidRPr="00774A86">
        <w:t>We expect that this would</w:t>
      </w:r>
      <w:r w:rsidRPr="00774A86">
        <w:t xml:space="preserve"> reduce compliance costs.</w:t>
      </w:r>
    </w:p>
    <w:p w:rsidR="008C74C6" w:rsidRPr="00774A86" w:rsidRDefault="008C74C6" w:rsidP="00D64344">
      <w:pPr>
        <w:pStyle w:val="Chapter3"/>
        <w:numPr>
          <w:ilvl w:val="0"/>
          <w:numId w:val="0"/>
        </w:numPr>
        <w:ind w:left="851" w:hanging="851"/>
      </w:pPr>
      <w:bookmarkStart w:id="59" w:name="_Toc442084881"/>
      <w:bookmarkStart w:id="60" w:name="_Toc443393741"/>
    </w:p>
    <w:p w:rsidR="008C74C6" w:rsidRPr="00774A86" w:rsidRDefault="008C74C6" w:rsidP="00D64344">
      <w:pPr>
        <w:pStyle w:val="Chapter3"/>
        <w:numPr>
          <w:ilvl w:val="0"/>
          <w:numId w:val="0"/>
        </w:numPr>
        <w:ind w:left="851" w:hanging="851"/>
      </w:pPr>
    </w:p>
    <w:p w:rsidR="002E6DA9" w:rsidRPr="001634BA" w:rsidRDefault="002E6DA9" w:rsidP="001634BA">
      <w:pPr>
        <w:pStyle w:val="Chapter3"/>
        <w:numPr>
          <w:ilvl w:val="0"/>
          <w:numId w:val="0"/>
        </w:numPr>
        <w:ind w:left="851" w:hanging="851"/>
        <w:rPr>
          <w:b/>
        </w:rPr>
      </w:pPr>
      <w:r w:rsidRPr="001634BA">
        <w:rPr>
          <w:b/>
        </w:rPr>
        <w:t>Consultation question</w:t>
      </w:r>
      <w:bookmarkEnd w:id="59"/>
      <w:bookmarkEnd w:id="60"/>
    </w:p>
    <w:p w:rsidR="005B4BF7" w:rsidRPr="00774A86" w:rsidRDefault="005B4BF7" w:rsidP="00D64344">
      <w:pPr>
        <w:pStyle w:val="Chapter3"/>
        <w:numPr>
          <w:ilvl w:val="0"/>
          <w:numId w:val="0"/>
        </w:numPr>
        <w:ind w:left="851" w:hanging="851"/>
      </w:pPr>
    </w:p>
    <w:p w:rsidR="005B4BF7" w:rsidRPr="00774A86" w:rsidRDefault="005B4BF7" w:rsidP="00CD5F48">
      <w:pPr>
        <w:pStyle w:val="Chapter3"/>
      </w:pPr>
      <w:r w:rsidRPr="00774A86">
        <w:t>We are also interested in other possible transitional arrangements for phasing in CRS obligations and welcome your views on options.</w:t>
      </w:r>
    </w:p>
    <w:p w:rsidR="002E6DA9" w:rsidRPr="00774A86" w:rsidRDefault="002E6DA9" w:rsidP="00D64344">
      <w:pPr>
        <w:pStyle w:val="Chapter3"/>
        <w:numPr>
          <w:ilvl w:val="0"/>
          <w:numId w:val="0"/>
        </w:numPr>
      </w:pPr>
    </w:p>
    <w:p w:rsidR="002E6DA9" w:rsidRPr="00774A86" w:rsidRDefault="002E6DA9" w:rsidP="00556556">
      <w:pPr>
        <w:pStyle w:val="Bullets"/>
        <w:spacing w:after="0"/>
      </w:pPr>
      <w:r w:rsidRPr="00774A86">
        <w:t xml:space="preserve">Although the 1 July 2017 start date cannot be changed, we welcome submissions on </w:t>
      </w:r>
      <w:r w:rsidR="000A43B8" w:rsidRPr="00774A86">
        <w:t xml:space="preserve">possible transitional arrangements </w:t>
      </w:r>
      <w:r w:rsidR="00095FBF" w:rsidRPr="00774A86">
        <w:t>or options for phasing in reporting obligations that could be considered.</w:t>
      </w:r>
    </w:p>
    <w:p w:rsidR="00A93A16" w:rsidRDefault="00A93A16">
      <w:pPr>
        <w:jc w:val="left"/>
        <w:rPr>
          <w:snapToGrid w:val="0"/>
          <w:lang w:eastAsia="en-US"/>
        </w:rPr>
      </w:pPr>
      <w:r>
        <w:br w:type="page"/>
      </w:r>
    </w:p>
    <w:p w:rsidR="002E6DA9" w:rsidRPr="00774A86" w:rsidRDefault="002E6DA9" w:rsidP="00CD5F48">
      <w:pPr>
        <w:pStyle w:val="Chapter3"/>
        <w:numPr>
          <w:ilvl w:val="0"/>
          <w:numId w:val="0"/>
        </w:numPr>
        <w:ind w:left="851" w:hanging="851"/>
      </w:pPr>
    </w:p>
    <w:p w:rsidR="002E6DA9" w:rsidRPr="00774A86" w:rsidRDefault="002E6DA9" w:rsidP="002E6DA9">
      <w:pPr>
        <w:jc w:val="left"/>
      </w:pPr>
      <w:r w:rsidRPr="00774A86">
        <w:br w:type="page"/>
      </w:r>
    </w:p>
    <w:p w:rsidR="003D2265" w:rsidRPr="00774A86" w:rsidRDefault="003D2265" w:rsidP="003D2265">
      <w:pPr>
        <w:pStyle w:val="Chapterheading"/>
      </w:pPr>
      <w:bookmarkStart w:id="61" w:name="Six"/>
      <w:bookmarkStart w:id="62" w:name="Seven"/>
      <w:bookmarkStart w:id="63" w:name="Four"/>
      <w:bookmarkStart w:id="64" w:name="_Toc439947127"/>
      <w:bookmarkStart w:id="65" w:name="_Toc439947683"/>
      <w:bookmarkStart w:id="66" w:name="_Toc440025390"/>
      <w:bookmarkStart w:id="67" w:name="_Toc440027556"/>
      <w:bookmarkStart w:id="68" w:name="_Toc440028133"/>
      <w:bookmarkStart w:id="69" w:name="_Toc440632999"/>
      <w:bookmarkStart w:id="70" w:name="_Toc440641020"/>
      <w:bookmarkStart w:id="71" w:name="_Toc443051405"/>
      <w:bookmarkStart w:id="72" w:name="_Toc443380363"/>
      <w:bookmarkStart w:id="73" w:name="_Toc443380441"/>
      <w:bookmarkStart w:id="74" w:name="_Toc443393742"/>
      <w:bookmarkStart w:id="75" w:name="_Toc443409832"/>
      <w:bookmarkStart w:id="76" w:name="_Toc443409967"/>
      <w:bookmarkStart w:id="77" w:name="_Toc443470083"/>
      <w:bookmarkStart w:id="78" w:name="_Toc147568000"/>
      <w:bookmarkStart w:id="79" w:name="_Toc439757001"/>
      <w:bookmarkStart w:id="80" w:name="_Toc439757104"/>
      <w:bookmarkStart w:id="81" w:name="_Toc439859832"/>
      <w:bookmarkEnd w:id="61"/>
      <w:bookmarkEnd w:id="62"/>
      <w:bookmarkEnd w:id="63"/>
      <w:r w:rsidRPr="00774A86">
        <w:lastRenderedPageBreak/>
        <w:t xml:space="preserve">CHAPTER </w:t>
      </w:r>
      <w:r w:rsidR="00D67F13" w:rsidRPr="00774A86">
        <w:t>4</w:t>
      </w:r>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3D2265" w:rsidRPr="00774A86" w:rsidRDefault="003D2265" w:rsidP="003D2265">
      <w:pPr>
        <w:pStyle w:val="Chapterheading"/>
      </w:pPr>
    </w:p>
    <w:p w:rsidR="003D2265" w:rsidRPr="00774A86" w:rsidRDefault="003D2265" w:rsidP="003D2265">
      <w:pPr>
        <w:pStyle w:val="Chapterheading"/>
      </w:pPr>
      <w:bookmarkStart w:id="82" w:name="_Toc442084883"/>
      <w:bookmarkStart w:id="83" w:name="_Toc442086884"/>
      <w:bookmarkStart w:id="84" w:name="_Toc443470084"/>
      <w:r w:rsidRPr="00774A86">
        <w:rPr>
          <w:caps w:val="0"/>
        </w:rPr>
        <w:t>C</w:t>
      </w:r>
      <w:r w:rsidR="00325948" w:rsidRPr="00774A86">
        <w:rPr>
          <w:caps w:val="0"/>
        </w:rPr>
        <w:t>ompliance</w:t>
      </w:r>
      <w:r w:rsidR="006C535F" w:rsidRPr="00774A86">
        <w:rPr>
          <w:caps w:val="0"/>
        </w:rPr>
        <w:t xml:space="preserve"> framework</w:t>
      </w:r>
      <w:bookmarkEnd w:id="82"/>
      <w:bookmarkEnd w:id="83"/>
      <w:bookmarkEnd w:id="84"/>
    </w:p>
    <w:p w:rsidR="008C74C6" w:rsidRPr="00774A86" w:rsidRDefault="008C74C6" w:rsidP="008C74C6">
      <w:pPr>
        <w:pStyle w:val="Chapter4"/>
        <w:numPr>
          <w:ilvl w:val="0"/>
          <w:numId w:val="0"/>
        </w:numPr>
      </w:pPr>
    </w:p>
    <w:p w:rsidR="008C74C6" w:rsidRPr="00774A86" w:rsidRDefault="008C74C6" w:rsidP="008C74C6">
      <w:pPr>
        <w:pStyle w:val="Chapter4"/>
        <w:numPr>
          <w:ilvl w:val="0"/>
          <w:numId w:val="0"/>
        </w:numPr>
      </w:pPr>
    </w:p>
    <w:p w:rsidR="00F72C69" w:rsidRPr="00774A86" w:rsidRDefault="00F72C69" w:rsidP="00F72C69">
      <w:pPr>
        <w:pStyle w:val="Heading1"/>
      </w:pPr>
      <w:bookmarkStart w:id="85" w:name="_Toc443470085"/>
      <w:r w:rsidRPr="00774A86">
        <w:t>Addressing significant non-compliance of tax authorities</w:t>
      </w:r>
      <w:bookmarkEnd w:id="85"/>
    </w:p>
    <w:p w:rsidR="00F72C69" w:rsidRPr="00774A86" w:rsidRDefault="00F72C69" w:rsidP="001819DB">
      <w:pPr>
        <w:pStyle w:val="Chapter4"/>
        <w:numPr>
          <w:ilvl w:val="0"/>
          <w:numId w:val="0"/>
        </w:numPr>
      </w:pPr>
    </w:p>
    <w:p w:rsidR="00141834" w:rsidRPr="00774A86" w:rsidRDefault="008272C9" w:rsidP="00CD5F48">
      <w:pPr>
        <w:pStyle w:val="Chapter4"/>
        <w:ind w:left="851" w:hanging="851"/>
      </w:pPr>
      <w:r w:rsidRPr="00774A86">
        <w:t>The Multilateral Convention and New Zealand’s</w:t>
      </w:r>
      <w:r w:rsidR="00141834" w:rsidRPr="00774A86">
        <w:t xml:space="preserve"> bilateral tax treaties contain strict provisions that require information exchanged to be kept confidential and limit the persons to whom the information can be disclosed and the purposes for which the information may be used.</w:t>
      </w:r>
      <w:r w:rsidR="00F72C69" w:rsidRPr="00774A86">
        <w:t xml:space="preserve">  As noted, it is anticipated that AEOI exchanges will predominantly (if not exclusively) be carried out under the Multilateral Convention.</w:t>
      </w:r>
    </w:p>
    <w:p w:rsidR="00141834" w:rsidRPr="00774A86" w:rsidRDefault="00141834" w:rsidP="00CD5F48">
      <w:pPr>
        <w:pStyle w:val="Chapter4"/>
        <w:numPr>
          <w:ilvl w:val="0"/>
          <w:numId w:val="0"/>
        </w:numPr>
        <w:ind w:left="360" w:hanging="360"/>
      </w:pPr>
    </w:p>
    <w:p w:rsidR="00141834" w:rsidRPr="00774A86" w:rsidRDefault="00F72C69" w:rsidP="00CD5F48">
      <w:pPr>
        <w:pStyle w:val="Chapter4"/>
        <w:ind w:left="851" w:hanging="851"/>
      </w:pPr>
      <w:r w:rsidRPr="00774A86">
        <w:t xml:space="preserve">Importantly, a mechanism exists under the MCAA that enables </w:t>
      </w:r>
      <w:r w:rsidR="00095FBF" w:rsidRPr="00774A86">
        <w:t>p</w:t>
      </w:r>
      <w:r w:rsidR="00991E68" w:rsidRPr="00774A86">
        <w:t>articipating jurisdictions</w:t>
      </w:r>
      <w:r w:rsidRPr="00774A86">
        <w:t xml:space="preserve"> to determine which Multilateral Convention signatories it will actually engage in AEOI exchanges with.  In this regard, New Zealand proposes basing the majority of its decisions on </w:t>
      </w:r>
      <w:r w:rsidR="00FA3D0D" w:rsidRPr="00774A86">
        <w:t xml:space="preserve">which jurisdictions it will </w:t>
      </w:r>
      <w:r w:rsidRPr="00774A86">
        <w:t xml:space="preserve">exchange </w:t>
      </w:r>
      <w:r w:rsidR="00FA3D0D" w:rsidRPr="00774A86">
        <w:t>information</w:t>
      </w:r>
      <w:r w:rsidRPr="00774A86">
        <w:t xml:space="preserve"> </w:t>
      </w:r>
      <w:r w:rsidR="00FA3D0D" w:rsidRPr="00774A86">
        <w:t xml:space="preserve">with </w:t>
      </w:r>
      <w:r w:rsidRPr="00774A86">
        <w:t>on the outcomes of the reviews on confidentiality and data safeguards currently being undertaken by the Global Forum</w:t>
      </w:r>
      <w:r w:rsidR="00FA3D0D" w:rsidRPr="00774A86">
        <w:t xml:space="preserve">.  (That is, if the Global Forum assesses a jurisdiction’s confidentiality frameworks and data safeguards as satisfactory, </w:t>
      </w:r>
      <w:r w:rsidR="00AC5182" w:rsidRPr="00774A86">
        <w:t xml:space="preserve">in the absence of other factors </w:t>
      </w:r>
      <w:r w:rsidR="00FA3D0D" w:rsidRPr="00774A86">
        <w:t>New Zealand will include that jurisdiction as an exchange partner.)</w:t>
      </w:r>
    </w:p>
    <w:p w:rsidR="00AA4D34" w:rsidRPr="00774A86" w:rsidRDefault="00AA4D34" w:rsidP="00CD5F48">
      <w:pPr>
        <w:pStyle w:val="Chapter4"/>
        <w:numPr>
          <w:ilvl w:val="0"/>
          <w:numId w:val="0"/>
        </w:numPr>
        <w:ind w:left="360" w:hanging="360"/>
      </w:pPr>
    </w:p>
    <w:p w:rsidR="00AA4D34" w:rsidRPr="00774A86" w:rsidRDefault="00F72C69" w:rsidP="00CD5F48">
      <w:pPr>
        <w:pStyle w:val="Chapter4"/>
        <w:ind w:left="851" w:hanging="851"/>
      </w:pPr>
      <w:r w:rsidRPr="00774A86">
        <w:t>The MCAA mechanism will also enable</w:t>
      </w:r>
      <w:r w:rsidR="00AA4D34" w:rsidRPr="00774A86">
        <w:t xml:space="preserve"> Inland Revenue to suspend the exchange of information with another </w:t>
      </w:r>
      <w:r w:rsidR="00095FBF" w:rsidRPr="00774A86">
        <w:t>p</w:t>
      </w:r>
      <w:r w:rsidR="00B338BB" w:rsidRPr="00774A86">
        <w:t xml:space="preserve">articipating </w:t>
      </w:r>
      <w:r w:rsidR="00095FBF" w:rsidRPr="00774A86">
        <w:t>j</w:t>
      </w:r>
      <w:r w:rsidR="00AA4D34" w:rsidRPr="00774A86">
        <w:t xml:space="preserve">urisdiction’s tax authority if it determines that there </w:t>
      </w:r>
      <w:r w:rsidR="00AC5182" w:rsidRPr="00774A86">
        <w:t>have been breaches i</w:t>
      </w:r>
      <w:r w:rsidR="00AA4D34" w:rsidRPr="00774A86">
        <w:t>n</w:t>
      </w:r>
      <w:r w:rsidRPr="00774A86">
        <w:t xml:space="preserve"> in respect of matters such as</w:t>
      </w:r>
      <w:r w:rsidR="00AA4D34" w:rsidRPr="00774A86">
        <w:t>:</w:t>
      </w:r>
    </w:p>
    <w:p w:rsidR="006210A3" w:rsidRPr="00774A86" w:rsidRDefault="006210A3" w:rsidP="00CD5F48">
      <w:pPr>
        <w:pStyle w:val="Chapter4"/>
        <w:numPr>
          <w:ilvl w:val="0"/>
          <w:numId w:val="0"/>
        </w:numPr>
        <w:ind w:left="360" w:hanging="360"/>
      </w:pPr>
    </w:p>
    <w:p w:rsidR="00AA4D34" w:rsidRPr="00774A86" w:rsidRDefault="0025712F" w:rsidP="006210A3">
      <w:pPr>
        <w:pStyle w:val="Bullets"/>
      </w:pPr>
      <w:r w:rsidRPr="00774A86">
        <w:t>s</w:t>
      </w:r>
      <w:r w:rsidR="00D93A8F" w:rsidRPr="00774A86">
        <w:t>ubstantial n</w:t>
      </w:r>
      <w:r w:rsidR="00AA4D34" w:rsidRPr="00774A86">
        <w:t xml:space="preserve">on-compliance with the </w:t>
      </w:r>
      <w:r w:rsidR="00D93A8F" w:rsidRPr="00774A86">
        <w:t xml:space="preserve">information </w:t>
      </w:r>
      <w:r w:rsidR="00AA4D34" w:rsidRPr="00774A86">
        <w:t>confidentiality and data safeguard provisions;</w:t>
      </w:r>
    </w:p>
    <w:p w:rsidR="00AA4D34" w:rsidRPr="00774A86" w:rsidRDefault="0025712F" w:rsidP="006210A3">
      <w:pPr>
        <w:pStyle w:val="Bullets"/>
      </w:pPr>
      <w:r w:rsidRPr="00774A86">
        <w:t>a</w:t>
      </w:r>
      <w:r w:rsidR="00AA4D34" w:rsidRPr="00774A86">
        <w:t xml:space="preserve"> </w:t>
      </w:r>
      <w:r w:rsidR="00D93A8F" w:rsidRPr="00774A86">
        <w:t xml:space="preserve">material </w:t>
      </w:r>
      <w:r w:rsidR="00AA4D34" w:rsidRPr="00774A86">
        <w:t>failure to provide timely or adequate information; or</w:t>
      </w:r>
    </w:p>
    <w:p w:rsidR="00AA4D34" w:rsidRPr="00774A86" w:rsidRDefault="0025712F" w:rsidP="006210A3">
      <w:pPr>
        <w:pStyle w:val="Bullets"/>
        <w:spacing w:after="0"/>
      </w:pPr>
      <w:proofErr w:type="gramStart"/>
      <w:r w:rsidRPr="00774A86">
        <w:t>n</w:t>
      </w:r>
      <w:r w:rsidR="00AA4D34" w:rsidRPr="00774A86">
        <w:t>arrowing</w:t>
      </w:r>
      <w:proofErr w:type="gramEnd"/>
      <w:r w:rsidR="00AA4D34" w:rsidRPr="00774A86">
        <w:t xml:space="preserve"> the scope of entities or accounts covered by the CRS to such an extent the purposes of the CRS</w:t>
      </w:r>
      <w:r w:rsidR="00D93A8F" w:rsidRPr="00774A86">
        <w:t xml:space="preserve"> are frustrated</w:t>
      </w:r>
      <w:r w:rsidR="00AA4D34" w:rsidRPr="00774A86">
        <w:t>.</w:t>
      </w:r>
    </w:p>
    <w:p w:rsidR="00AA4D34" w:rsidRPr="00774A86" w:rsidRDefault="00AA4D34" w:rsidP="00AA4D34">
      <w:pPr>
        <w:pStyle w:val="Chapter4"/>
        <w:numPr>
          <w:ilvl w:val="0"/>
          <w:numId w:val="0"/>
        </w:numPr>
        <w:ind w:left="851" w:hanging="851"/>
      </w:pPr>
    </w:p>
    <w:p w:rsidR="00AA4D34" w:rsidRPr="00774A86" w:rsidRDefault="00AA4D34" w:rsidP="00CD5F48">
      <w:pPr>
        <w:pStyle w:val="Chapter4"/>
        <w:ind w:left="851" w:hanging="851"/>
      </w:pPr>
      <w:r w:rsidRPr="00774A86">
        <w:t xml:space="preserve">Similarly, another </w:t>
      </w:r>
      <w:r w:rsidR="00095FBF" w:rsidRPr="00774A86">
        <w:t>p</w:t>
      </w:r>
      <w:r w:rsidR="0006756D" w:rsidRPr="00774A86">
        <w:t xml:space="preserve">articipating </w:t>
      </w:r>
      <w:r w:rsidR="00095FBF" w:rsidRPr="00774A86">
        <w:t>j</w:t>
      </w:r>
      <w:r w:rsidRPr="00774A86">
        <w:t>urisdiction’s tax authority would be able to suspend the exchange of information with Inland Revenue if it determined that there</w:t>
      </w:r>
      <w:r w:rsidR="00F72C69" w:rsidRPr="00774A86">
        <w:t xml:space="preserve"> was significant non-compliance by New Zealand.</w:t>
      </w:r>
    </w:p>
    <w:p w:rsidR="008C74C6" w:rsidRPr="00774A86" w:rsidRDefault="008C74C6" w:rsidP="00D64344">
      <w:pPr>
        <w:pStyle w:val="Chapter4"/>
        <w:numPr>
          <w:ilvl w:val="0"/>
          <w:numId w:val="0"/>
        </w:numPr>
      </w:pPr>
      <w:bookmarkStart w:id="86" w:name="_Toc443393745"/>
    </w:p>
    <w:p w:rsidR="008C74C6" w:rsidRPr="00774A86" w:rsidRDefault="008C74C6" w:rsidP="00D64344">
      <w:pPr>
        <w:pStyle w:val="Chapter4"/>
        <w:numPr>
          <w:ilvl w:val="0"/>
          <w:numId w:val="0"/>
        </w:numPr>
      </w:pPr>
    </w:p>
    <w:p w:rsidR="00FA3D0D" w:rsidRPr="001634BA" w:rsidRDefault="00FA3D0D" w:rsidP="001634BA">
      <w:pPr>
        <w:pStyle w:val="Chapter4"/>
        <w:numPr>
          <w:ilvl w:val="0"/>
          <w:numId w:val="0"/>
        </w:numPr>
        <w:rPr>
          <w:b/>
        </w:rPr>
      </w:pPr>
      <w:r w:rsidRPr="001634BA">
        <w:rPr>
          <w:b/>
        </w:rPr>
        <w:t>Consultation question</w:t>
      </w:r>
      <w:bookmarkEnd w:id="86"/>
    </w:p>
    <w:p w:rsidR="00FA3D0D" w:rsidRPr="00774A86" w:rsidRDefault="00FA3D0D" w:rsidP="00CD5F48">
      <w:pPr>
        <w:pStyle w:val="Chapter4"/>
        <w:numPr>
          <w:ilvl w:val="0"/>
          <w:numId w:val="0"/>
        </w:numPr>
        <w:ind w:left="360" w:hanging="360"/>
      </w:pPr>
    </w:p>
    <w:p w:rsidR="00FA3D0D" w:rsidRPr="00774A86" w:rsidRDefault="00FA3D0D" w:rsidP="006210A3">
      <w:pPr>
        <w:pStyle w:val="Bullets"/>
      </w:pPr>
      <w:r w:rsidRPr="00774A86">
        <w:t xml:space="preserve">We welcome any submissions on whether </w:t>
      </w:r>
      <w:r w:rsidR="001074DD" w:rsidRPr="00774A86">
        <w:t>conducting</w:t>
      </w:r>
      <w:r w:rsidR="00095FBF" w:rsidRPr="00774A86">
        <w:t xml:space="preserve"> AEOI exchanges under the Multilateral Convention in the manner </w:t>
      </w:r>
      <w:r w:rsidRPr="00774A86">
        <w:t>outlined above raises any concerns.</w:t>
      </w:r>
    </w:p>
    <w:p w:rsidR="008C74C6" w:rsidRPr="00774A86" w:rsidRDefault="008C74C6" w:rsidP="00D64344">
      <w:pPr>
        <w:pStyle w:val="Chapter4"/>
        <w:numPr>
          <w:ilvl w:val="0"/>
          <w:numId w:val="0"/>
        </w:numPr>
      </w:pPr>
    </w:p>
    <w:p w:rsidR="008C74C6" w:rsidRPr="00774A86" w:rsidRDefault="008C74C6" w:rsidP="00D64344">
      <w:pPr>
        <w:pStyle w:val="Chapter4"/>
        <w:numPr>
          <w:ilvl w:val="0"/>
          <w:numId w:val="0"/>
        </w:numPr>
      </w:pPr>
    </w:p>
    <w:p w:rsidR="0051122F" w:rsidRPr="00774A86" w:rsidRDefault="0051122F">
      <w:pPr>
        <w:jc w:val="left"/>
        <w:rPr>
          <w:rFonts w:ascii="Times New Roman Bold" w:hAnsi="Times New Roman Bold"/>
          <w:b/>
          <w:kern w:val="28"/>
          <w:szCs w:val="24"/>
        </w:rPr>
      </w:pPr>
      <w:r w:rsidRPr="00774A86">
        <w:br w:type="page"/>
      </w:r>
    </w:p>
    <w:p w:rsidR="00566A5A" w:rsidRPr="00774A86" w:rsidRDefault="00566A5A" w:rsidP="00566A5A">
      <w:pPr>
        <w:pStyle w:val="Heading1"/>
      </w:pPr>
      <w:bookmarkStart w:id="87" w:name="_Toc443470086"/>
      <w:r w:rsidRPr="00774A86">
        <w:lastRenderedPageBreak/>
        <w:t xml:space="preserve">Implementing </w:t>
      </w:r>
      <w:r w:rsidR="00200E81" w:rsidRPr="00774A86">
        <w:t xml:space="preserve">domestic </w:t>
      </w:r>
      <w:r w:rsidRPr="00774A86">
        <w:t>legislation</w:t>
      </w:r>
      <w:bookmarkEnd w:id="87"/>
    </w:p>
    <w:p w:rsidR="00566A5A" w:rsidRPr="00774A86" w:rsidRDefault="00566A5A" w:rsidP="00CD5F48">
      <w:pPr>
        <w:pStyle w:val="Chapter4"/>
        <w:numPr>
          <w:ilvl w:val="0"/>
          <w:numId w:val="0"/>
        </w:numPr>
        <w:ind w:left="360" w:hanging="360"/>
      </w:pPr>
    </w:p>
    <w:p w:rsidR="00FB35AC" w:rsidRPr="00774A86" w:rsidRDefault="006D19EF" w:rsidP="00CD5F48">
      <w:pPr>
        <w:pStyle w:val="Chapter4"/>
        <w:ind w:left="851" w:hanging="851"/>
      </w:pPr>
      <w:r w:rsidRPr="00774A86">
        <w:t>Under the CRS, a jurisdiction must have rules in place to ensure the effective implementation of, and compliance with, the reporting and due diligence procedure</w:t>
      </w:r>
      <w:r w:rsidR="000363CA" w:rsidRPr="00774A86">
        <w:t>s as set out in the CRS.</w:t>
      </w:r>
      <w:r w:rsidR="000363CA" w:rsidRPr="00774A86">
        <w:rPr>
          <w:sz w:val="22"/>
          <w:szCs w:val="22"/>
          <w:vertAlign w:val="superscript"/>
        </w:rPr>
        <w:footnoteReference w:id="33"/>
      </w:r>
    </w:p>
    <w:p w:rsidR="00FB35AC" w:rsidRPr="00774A86" w:rsidRDefault="00FB35AC" w:rsidP="00CD5F48">
      <w:pPr>
        <w:pStyle w:val="Chapter4"/>
        <w:numPr>
          <w:ilvl w:val="0"/>
          <w:numId w:val="0"/>
        </w:numPr>
        <w:ind w:left="360" w:hanging="360"/>
      </w:pPr>
    </w:p>
    <w:p w:rsidR="006E72DE" w:rsidRPr="00774A86" w:rsidRDefault="00FB35AC" w:rsidP="00CD5F48">
      <w:pPr>
        <w:pStyle w:val="Chapter4"/>
        <w:ind w:left="851" w:hanging="851"/>
      </w:pPr>
      <w:r w:rsidRPr="00774A86">
        <w:t xml:space="preserve">Such </w:t>
      </w:r>
      <w:r w:rsidR="000363CA" w:rsidRPr="00774A86">
        <w:t xml:space="preserve">CRS </w:t>
      </w:r>
      <w:r w:rsidR="00FE0A29" w:rsidRPr="00774A86">
        <w:t xml:space="preserve">domestic </w:t>
      </w:r>
      <w:r w:rsidR="006D19EF" w:rsidRPr="00774A86">
        <w:t>compliance rules include:</w:t>
      </w:r>
    </w:p>
    <w:p w:rsidR="00CD5F48" w:rsidRPr="00774A86" w:rsidRDefault="00CD5F48" w:rsidP="00CD5F48">
      <w:pPr>
        <w:pStyle w:val="Chapter4"/>
        <w:numPr>
          <w:ilvl w:val="0"/>
          <w:numId w:val="0"/>
        </w:numPr>
      </w:pPr>
    </w:p>
    <w:p w:rsidR="006E72DE" w:rsidRPr="00774A86" w:rsidRDefault="00AF1873" w:rsidP="00CD5F48">
      <w:pPr>
        <w:pStyle w:val="Bullets"/>
      </w:pPr>
      <w:r w:rsidRPr="00774A86">
        <w:t>anti</w:t>
      </w:r>
      <w:r w:rsidR="00134E50" w:rsidRPr="00774A86">
        <w:t>-avoidance r</w:t>
      </w:r>
      <w:r w:rsidR="006E72DE" w:rsidRPr="00774A86">
        <w:t xml:space="preserve">ules </w:t>
      </w:r>
      <w:r w:rsidR="000363CA" w:rsidRPr="00774A86">
        <w:t xml:space="preserve">designed </w:t>
      </w:r>
      <w:r w:rsidR="006E72DE" w:rsidRPr="00774A86">
        <w:t xml:space="preserve">to prevent </w:t>
      </w:r>
      <w:r w:rsidR="00AC5182" w:rsidRPr="00774A86">
        <w:t xml:space="preserve">financial </w:t>
      </w:r>
      <w:r w:rsidR="00991E68" w:rsidRPr="00774A86">
        <w:t>institutions</w:t>
      </w:r>
      <w:r w:rsidR="006E72DE" w:rsidRPr="00774A86">
        <w:t>, persons</w:t>
      </w:r>
      <w:r w:rsidR="00134E50" w:rsidRPr="00774A86">
        <w:t>,</w:t>
      </w:r>
      <w:r w:rsidR="006E72DE" w:rsidRPr="00774A86">
        <w:t xml:space="preserve"> or intermediaries</w:t>
      </w:r>
      <w:r w:rsidR="00134E50" w:rsidRPr="00774A86">
        <w:t>,</w:t>
      </w:r>
      <w:r w:rsidR="006E72DE" w:rsidRPr="00774A86">
        <w:t xml:space="preserve"> from adopting practices intended to circumvent the </w:t>
      </w:r>
      <w:r w:rsidR="00134E50" w:rsidRPr="00774A86">
        <w:t xml:space="preserve">CRS </w:t>
      </w:r>
      <w:r w:rsidR="006E72DE" w:rsidRPr="00774A86">
        <w:t>reporting and due diligence procedures;</w:t>
      </w:r>
    </w:p>
    <w:p w:rsidR="006E72DE" w:rsidRPr="00774A86" w:rsidRDefault="00AF1873" w:rsidP="00CD5F48">
      <w:pPr>
        <w:pStyle w:val="Bullets"/>
      </w:pPr>
      <w:r w:rsidRPr="00774A86">
        <w:t xml:space="preserve">record </w:t>
      </w:r>
      <w:r w:rsidR="00134E50" w:rsidRPr="00774A86">
        <w:t>keeping r</w:t>
      </w:r>
      <w:r w:rsidR="006E72DE" w:rsidRPr="00774A86">
        <w:t xml:space="preserve">ules requiring </w:t>
      </w:r>
      <w:r w:rsidR="00AC5182" w:rsidRPr="00774A86">
        <w:t xml:space="preserve">reporting financial </w:t>
      </w:r>
      <w:r w:rsidR="00991E68" w:rsidRPr="00774A86">
        <w:t>institutions</w:t>
      </w:r>
      <w:r w:rsidR="006E72DE" w:rsidRPr="00774A86">
        <w:t xml:space="preserve"> to keep </w:t>
      </w:r>
      <w:r w:rsidR="00134E50" w:rsidRPr="00774A86">
        <w:t xml:space="preserve">CRS related records of relevant due diligence and reporting </w:t>
      </w:r>
      <w:r w:rsidR="006E72DE" w:rsidRPr="00774A86">
        <w:t>steps undertaken</w:t>
      </w:r>
      <w:r w:rsidR="00134E50" w:rsidRPr="00774A86">
        <w:t xml:space="preserve">, including </w:t>
      </w:r>
      <w:r w:rsidR="006E72DE" w:rsidRPr="00774A86">
        <w:t xml:space="preserve">any evidence relied upon for the performance of the procedures and adequate measures </w:t>
      </w:r>
      <w:r w:rsidR="00134E50" w:rsidRPr="00774A86">
        <w:t xml:space="preserve">used </w:t>
      </w:r>
      <w:r w:rsidR="006E72DE" w:rsidRPr="00774A86">
        <w:t>to obtain those records;</w:t>
      </w:r>
      <w:r w:rsidR="00D8242C" w:rsidRPr="00774A86">
        <w:t xml:space="preserve"> and</w:t>
      </w:r>
    </w:p>
    <w:p w:rsidR="006E72DE" w:rsidRPr="00774A86" w:rsidRDefault="00AF1873" w:rsidP="00CD5F48">
      <w:pPr>
        <w:pStyle w:val="Bullets"/>
        <w:spacing w:after="0"/>
      </w:pPr>
      <w:proofErr w:type="gramStart"/>
      <w:r w:rsidRPr="00774A86">
        <w:t>effective</w:t>
      </w:r>
      <w:proofErr w:type="gramEnd"/>
      <w:r w:rsidRPr="00774A86">
        <w:t xml:space="preserve"> </w:t>
      </w:r>
      <w:r w:rsidR="006E72DE" w:rsidRPr="00774A86">
        <w:t>enforcement provisions to address non-compliance.</w:t>
      </w:r>
      <w:r w:rsidR="0012097C" w:rsidRPr="00774A86">
        <w:t xml:space="preserve"> </w:t>
      </w:r>
      <w:r w:rsidR="00F10006" w:rsidRPr="00774A86">
        <w:t xml:space="preserve"> </w:t>
      </w:r>
      <w:r w:rsidR="0012097C" w:rsidRPr="00774A86">
        <w:t xml:space="preserve">A critical element of compliance, in this regard, will be ensuring that rules are in place requiring that </w:t>
      </w:r>
      <w:r w:rsidR="00DE08D6" w:rsidRPr="00774A86">
        <w:t xml:space="preserve">self-certifications are always obtained </w:t>
      </w:r>
      <w:r w:rsidR="00DC67B0" w:rsidRPr="00774A86">
        <w:t xml:space="preserve">where </w:t>
      </w:r>
      <w:r w:rsidR="0012097C" w:rsidRPr="00774A86">
        <w:t xml:space="preserve">required by </w:t>
      </w:r>
      <w:r w:rsidR="00DC67B0" w:rsidRPr="00774A86">
        <w:t>the CRS.</w:t>
      </w:r>
      <w:r w:rsidR="00F10006" w:rsidRPr="00774A86">
        <w:rPr>
          <w:rStyle w:val="FootnoteReference"/>
          <w:sz w:val="22"/>
          <w:szCs w:val="22"/>
        </w:rPr>
        <w:footnoteReference w:id="34"/>
      </w:r>
    </w:p>
    <w:p w:rsidR="00C81035" w:rsidRPr="00774A86" w:rsidRDefault="00C81035" w:rsidP="00CD5F48">
      <w:pPr>
        <w:pStyle w:val="Chapter4"/>
        <w:numPr>
          <w:ilvl w:val="0"/>
          <w:numId w:val="0"/>
        </w:numPr>
        <w:ind w:left="360" w:hanging="360"/>
      </w:pPr>
    </w:p>
    <w:p w:rsidR="004656AC" w:rsidRPr="00774A86" w:rsidRDefault="00B0118C" w:rsidP="00CD5F48">
      <w:pPr>
        <w:pStyle w:val="Chapter4"/>
        <w:ind w:left="851" w:hanging="851"/>
      </w:pPr>
      <w:r w:rsidRPr="00774A86">
        <w:t xml:space="preserve">Legislation will </w:t>
      </w:r>
      <w:r w:rsidR="00755891" w:rsidRPr="00774A86">
        <w:t xml:space="preserve">therefore </w:t>
      </w:r>
      <w:r w:rsidRPr="00774A86">
        <w:t xml:space="preserve">be required to ensure that </w:t>
      </w:r>
      <w:r w:rsidR="00AC5182" w:rsidRPr="00774A86">
        <w:t xml:space="preserve">reporting financial </w:t>
      </w:r>
      <w:r w:rsidR="00991E68" w:rsidRPr="00774A86">
        <w:t>institutions</w:t>
      </w:r>
      <w:r w:rsidRPr="00774A86">
        <w:t xml:space="preserve"> undertake </w:t>
      </w:r>
      <w:r w:rsidR="00F10006" w:rsidRPr="00774A86">
        <w:t>their</w:t>
      </w:r>
      <w:r w:rsidRPr="00774A86">
        <w:t xml:space="preserve"> </w:t>
      </w:r>
      <w:r w:rsidR="00AB3FDB" w:rsidRPr="00774A86">
        <w:t xml:space="preserve">CRS </w:t>
      </w:r>
      <w:r w:rsidRPr="00774A86">
        <w:t xml:space="preserve">due diligence </w:t>
      </w:r>
      <w:r w:rsidR="001E6237" w:rsidRPr="00774A86">
        <w:t>and reporting</w:t>
      </w:r>
      <w:r w:rsidR="00991E68" w:rsidRPr="00774A86">
        <w:t xml:space="preserve"> </w:t>
      </w:r>
      <w:r w:rsidR="00AB3FDB" w:rsidRPr="00774A86">
        <w:t>obligations</w:t>
      </w:r>
      <w:r w:rsidR="00F10006" w:rsidRPr="00774A86">
        <w:t>.</w:t>
      </w:r>
    </w:p>
    <w:p w:rsidR="008C74C6" w:rsidRPr="00774A86" w:rsidRDefault="008C74C6" w:rsidP="00D64344">
      <w:pPr>
        <w:pStyle w:val="Chapter4"/>
        <w:numPr>
          <w:ilvl w:val="0"/>
          <w:numId w:val="0"/>
        </w:numPr>
      </w:pPr>
      <w:bookmarkStart w:id="88" w:name="_Toc443393747"/>
    </w:p>
    <w:p w:rsidR="008C74C6" w:rsidRPr="00774A86" w:rsidRDefault="008C74C6" w:rsidP="00D64344">
      <w:pPr>
        <w:pStyle w:val="Chapter4"/>
        <w:numPr>
          <w:ilvl w:val="0"/>
          <w:numId w:val="0"/>
        </w:numPr>
      </w:pPr>
    </w:p>
    <w:p w:rsidR="00FA3D0D" w:rsidRPr="001634BA" w:rsidRDefault="00FA3D0D" w:rsidP="001634BA">
      <w:pPr>
        <w:pStyle w:val="Chapter4"/>
        <w:numPr>
          <w:ilvl w:val="0"/>
          <w:numId w:val="0"/>
        </w:numPr>
        <w:rPr>
          <w:b/>
        </w:rPr>
      </w:pPr>
      <w:r w:rsidRPr="001634BA">
        <w:rPr>
          <w:b/>
        </w:rPr>
        <w:t>Consultation questions</w:t>
      </w:r>
      <w:bookmarkEnd w:id="88"/>
    </w:p>
    <w:p w:rsidR="00DE08D6" w:rsidRPr="00774A86" w:rsidRDefault="00DE08D6" w:rsidP="00CD5F48">
      <w:pPr>
        <w:pStyle w:val="Chapter4"/>
        <w:numPr>
          <w:ilvl w:val="0"/>
          <w:numId w:val="0"/>
        </w:numPr>
        <w:ind w:left="360" w:hanging="360"/>
      </w:pPr>
    </w:p>
    <w:p w:rsidR="00DC67B0" w:rsidRPr="00774A86" w:rsidRDefault="006210A3" w:rsidP="00CD5F48">
      <w:pPr>
        <w:pStyle w:val="Chapter4"/>
        <w:ind w:left="851" w:hanging="851"/>
      </w:pPr>
      <w:r w:rsidRPr="00774A86">
        <w:t>S</w:t>
      </w:r>
      <w:r w:rsidR="00DE08D6" w:rsidRPr="00774A86">
        <w:t>ubmissions regarding how such compliance issues can best be addressed in legislation</w:t>
      </w:r>
      <w:r w:rsidRPr="00774A86">
        <w:t xml:space="preserve"> are invited</w:t>
      </w:r>
      <w:r w:rsidR="00DE08D6" w:rsidRPr="00774A86">
        <w:t xml:space="preserve">. </w:t>
      </w:r>
      <w:r w:rsidR="00F10006" w:rsidRPr="00774A86">
        <w:t xml:space="preserve"> </w:t>
      </w:r>
      <w:r w:rsidR="00DE08D6" w:rsidRPr="00774A86">
        <w:t xml:space="preserve">In particular, we would appreciate your </w:t>
      </w:r>
      <w:r w:rsidRPr="00774A86">
        <w:t>views</w:t>
      </w:r>
      <w:r w:rsidR="00DC67B0" w:rsidRPr="00774A86">
        <w:t xml:space="preserve"> regarding:</w:t>
      </w:r>
    </w:p>
    <w:p w:rsidR="00DC67B0" w:rsidRPr="00774A86" w:rsidRDefault="00DC67B0" w:rsidP="00CD5F48">
      <w:pPr>
        <w:pStyle w:val="Chapter4"/>
        <w:numPr>
          <w:ilvl w:val="0"/>
          <w:numId w:val="0"/>
        </w:numPr>
        <w:ind w:left="360" w:hanging="360"/>
      </w:pPr>
    </w:p>
    <w:p w:rsidR="00DC67B0" w:rsidRPr="00774A86" w:rsidRDefault="00DC67B0" w:rsidP="006210A3">
      <w:pPr>
        <w:pStyle w:val="Bullets"/>
      </w:pPr>
      <w:r w:rsidRPr="00774A86">
        <w:t xml:space="preserve">What anti-avoidance rules should apply to prevent </w:t>
      </w:r>
      <w:r w:rsidR="00522274" w:rsidRPr="00774A86">
        <w:t>New Zealand</w:t>
      </w:r>
      <w:r w:rsidR="006E739D" w:rsidRPr="00774A86">
        <w:t xml:space="preserve"> </w:t>
      </w:r>
      <w:r w:rsidR="006210A3" w:rsidRPr="00774A86">
        <w:t>r</w:t>
      </w:r>
      <w:r w:rsidR="006E739D" w:rsidRPr="00774A86">
        <w:t xml:space="preserve">eporting </w:t>
      </w:r>
      <w:r w:rsidR="006210A3" w:rsidRPr="00774A86">
        <w:t>f</w:t>
      </w:r>
      <w:r w:rsidR="00991E68" w:rsidRPr="00774A86">
        <w:t>inancial institutions</w:t>
      </w:r>
      <w:r w:rsidRPr="00774A86">
        <w:t>, persons, or intermediaries, from adopting practices intended to circumvent the CRS reporting and due diligence procedures?</w:t>
      </w:r>
    </w:p>
    <w:p w:rsidR="0012097C" w:rsidRPr="00774A86" w:rsidRDefault="0012097C" w:rsidP="006210A3">
      <w:pPr>
        <w:pStyle w:val="Bullets"/>
      </w:pPr>
      <w:r w:rsidRPr="00774A86">
        <w:t xml:space="preserve">If the main CRS compliance rules were incorporated into current Part 11B (Foreign account information-sharing agreements) of the </w:t>
      </w:r>
      <w:r w:rsidR="00F10006" w:rsidRPr="00774A86">
        <w:t>Tax Administration Act 1994</w:t>
      </w:r>
      <w:r w:rsidRPr="00774A86">
        <w:t>, is current section 22(2</w:t>
      </w:r>
      <w:proofErr w:type="gramStart"/>
      <w:r w:rsidRPr="00774A86">
        <w:t>)(</w:t>
      </w:r>
      <w:proofErr w:type="spellStart"/>
      <w:proofErr w:type="gramEnd"/>
      <w:r w:rsidRPr="00774A86">
        <w:t>lc</w:t>
      </w:r>
      <w:proofErr w:type="spellEnd"/>
      <w:r w:rsidRPr="00774A86">
        <w:t xml:space="preserve">) of the </w:t>
      </w:r>
      <w:r w:rsidR="00F10006" w:rsidRPr="00774A86">
        <w:t xml:space="preserve">Tax Administration Act 1994 </w:t>
      </w:r>
      <w:r w:rsidRPr="00774A86">
        <w:t xml:space="preserve">sufficient to ensure CRS record keeping by relevant </w:t>
      </w:r>
      <w:r w:rsidR="0030367F" w:rsidRPr="00774A86">
        <w:t>“</w:t>
      </w:r>
      <w:r w:rsidRPr="00774A86">
        <w:t>persons</w:t>
      </w:r>
      <w:r w:rsidR="0030367F" w:rsidRPr="00774A86">
        <w:t>”</w:t>
      </w:r>
      <w:r w:rsidRPr="00774A86">
        <w:t>?</w:t>
      </w:r>
      <w:r w:rsidRPr="00774A86">
        <w:rPr>
          <w:sz w:val="22"/>
          <w:szCs w:val="22"/>
          <w:vertAlign w:val="superscript"/>
        </w:rPr>
        <w:footnoteReference w:id="35"/>
      </w:r>
    </w:p>
    <w:p w:rsidR="0012097C" w:rsidRPr="00774A86" w:rsidRDefault="0012097C" w:rsidP="006210A3">
      <w:pPr>
        <w:pStyle w:val="Bullets"/>
      </w:pPr>
      <w:r w:rsidRPr="00774A86">
        <w:t>Should CRS related records be required to be retained for the current 7-year statutory period that relates to tax-related records?</w:t>
      </w:r>
    </w:p>
    <w:p w:rsidR="00DC67B0" w:rsidRPr="00774A86" w:rsidRDefault="00DC67B0" w:rsidP="006210A3">
      <w:pPr>
        <w:pStyle w:val="Bullets"/>
      </w:pPr>
      <w:r w:rsidRPr="00774A86">
        <w:t>What penalties a</w:t>
      </w:r>
      <w:r w:rsidR="009E0CF6" w:rsidRPr="00774A86">
        <w:t>nd procedures (including timeframes and procedures for providing corrected information) should apply when</w:t>
      </w:r>
      <w:r w:rsidRPr="00774A86">
        <w:t xml:space="preserve"> a </w:t>
      </w:r>
      <w:r w:rsidR="00522274" w:rsidRPr="00774A86">
        <w:t>New Zealand</w:t>
      </w:r>
      <w:r w:rsidR="00AB3FDB" w:rsidRPr="00774A86">
        <w:t xml:space="preserve"> </w:t>
      </w:r>
      <w:r w:rsidR="006210A3" w:rsidRPr="00774A86">
        <w:t>r</w:t>
      </w:r>
      <w:r w:rsidRPr="00774A86">
        <w:t xml:space="preserve">eporting </w:t>
      </w:r>
      <w:r w:rsidR="006210A3" w:rsidRPr="00774A86">
        <w:t>f</w:t>
      </w:r>
      <w:r w:rsidRPr="00774A86">
        <w:t xml:space="preserve">inancial </w:t>
      </w:r>
      <w:r w:rsidR="006210A3" w:rsidRPr="00774A86">
        <w:t>i</w:t>
      </w:r>
      <w:r w:rsidRPr="00774A86">
        <w:t>nstitution has not complied with its due diligence and reporting obligations?</w:t>
      </w:r>
    </w:p>
    <w:p w:rsidR="009E0CF6" w:rsidRPr="00774A86" w:rsidRDefault="009E0CF6" w:rsidP="006210A3">
      <w:pPr>
        <w:pStyle w:val="Bullets"/>
      </w:pPr>
      <w:r w:rsidRPr="00774A86">
        <w:lastRenderedPageBreak/>
        <w:t xml:space="preserve">Should an account holder be required to keep the </w:t>
      </w:r>
      <w:r w:rsidR="00522274" w:rsidRPr="00774A86">
        <w:t>New Zealand</w:t>
      </w:r>
      <w:r w:rsidR="00AB3FDB" w:rsidRPr="00774A86">
        <w:t xml:space="preserve"> </w:t>
      </w:r>
      <w:r w:rsidR="006210A3" w:rsidRPr="00774A86">
        <w:t>r</w:t>
      </w:r>
      <w:r w:rsidRPr="00774A86">
        <w:t xml:space="preserve">eporting </w:t>
      </w:r>
      <w:r w:rsidR="006210A3" w:rsidRPr="00774A86">
        <w:t>f</w:t>
      </w:r>
      <w:r w:rsidRPr="00774A86">
        <w:t xml:space="preserve">inancial </w:t>
      </w:r>
      <w:r w:rsidR="006210A3" w:rsidRPr="00774A86">
        <w:t>i</w:t>
      </w:r>
      <w:r w:rsidRPr="00774A86">
        <w:t>nstitution (that maintains the account) informed on a timely basis about material changes in circumstances</w:t>
      </w:r>
      <w:r w:rsidR="00AB3FDB" w:rsidRPr="00774A86">
        <w:t xml:space="preserve"> regarding the account</w:t>
      </w:r>
      <w:r w:rsidRPr="00774A86">
        <w:t>?</w:t>
      </w:r>
    </w:p>
    <w:p w:rsidR="00DC67B0" w:rsidRPr="00774A86" w:rsidRDefault="00DC67B0" w:rsidP="006210A3">
      <w:pPr>
        <w:pStyle w:val="Bullets"/>
      </w:pPr>
      <w:r w:rsidRPr="00774A86">
        <w:t>W</w:t>
      </w:r>
      <w:r w:rsidR="00DE08D6" w:rsidRPr="00774A86">
        <w:t xml:space="preserve">hat rules should be in place to ensure </w:t>
      </w:r>
      <w:r w:rsidRPr="00774A86">
        <w:t>that self-certifications are alw</w:t>
      </w:r>
      <w:r w:rsidR="00DE08D6" w:rsidRPr="00774A86">
        <w:t>ays obtained</w:t>
      </w:r>
      <w:r w:rsidRPr="00774A86">
        <w:t xml:space="preserve"> in the circumstances where the CRS requires such certifications</w:t>
      </w:r>
      <w:r w:rsidR="0012097C" w:rsidRPr="00774A86">
        <w:t>?</w:t>
      </w:r>
    </w:p>
    <w:p w:rsidR="00DE08D6" w:rsidRPr="00774A86" w:rsidRDefault="00DC67B0" w:rsidP="00CD5F48">
      <w:pPr>
        <w:pStyle w:val="Bullets"/>
        <w:spacing w:after="0"/>
      </w:pPr>
      <w:r w:rsidRPr="00774A86">
        <w:t xml:space="preserve">What are the ways that the CRS requirements regarding </w:t>
      </w:r>
      <w:r w:rsidR="00AB3FDB" w:rsidRPr="00774A86">
        <w:t xml:space="preserve">due diligence and reporting </w:t>
      </w:r>
      <w:r w:rsidRPr="00774A86">
        <w:t>compliance can be implemented in New Zealand in a way that minimises compliance costs</w:t>
      </w:r>
      <w:r w:rsidR="006E739D" w:rsidRPr="00774A86">
        <w:t xml:space="preserve"> for </w:t>
      </w:r>
      <w:r w:rsidR="006210A3" w:rsidRPr="00774A86">
        <w:t>r</w:t>
      </w:r>
      <w:r w:rsidR="006E739D" w:rsidRPr="00774A86">
        <w:t xml:space="preserve">eporting </w:t>
      </w:r>
      <w:r w:rsidR="006210A3" w:rsidRPr="00774A86">
        <w:t>f</w:t>
      </w:r>
      <w:r w:rsidR="00991E68" w:rsidRPr="00774A86">
        <w:t>inancial institutions</w:t>
      </w:r>
      <w:r w:rsidR="006E739D" w:rsidRPr="00774A86">
        <w:t xml:space="preserve"> and </w:t>
      </w:r>
      <w:r w:rsidR="006210A3" w:rsidRPr="00774A86">
        <w:t>a</w:t>
      </w:r>
      <w:r w:rsidR="006E739D" w:rsidRPr="00774A86">
        <w:t xml:space="preserve">ccount </w:t>
      </w:r>
      <w:r w:rsidR="006210A3" w:rsidRPr="00774A86">
        <w:t>h</w:t>
      </w:r>
      <w:r w:rsidR="006E739D" w:rsidRPr="00774A86">
        <w:t>olders</w:t>
      </w:r>
      <w:r w:rsidRPr="00774A86">
        <w:t>?</w:t>
      </w:r>
    </w:p>
    <w:p w:rsidR="00A93A16" w:rsidRDefault="00A93A16">
      <w:pPr>
        <w:jc w:val="left"/>
        <w:rPr>
          <w:rFonts w:ascii="Times New Roman Bold" w:hAnsi="Times New Roman Bold"/>
          <w:b/>
          <w:bCs/>
          <w:caps/>
          <w:sz w:val="28"/>
          <w:szCs w:val="28"/>
        </w:rPr>
      </w:pPr>
      <w:r>
        <w:br w:type="page"/>
      </w:r>
    </w:p>
    <w:p w:rsidR="00F10006" w:rsidRPr="00774A86" w:rsidRDefault="003D2265" w:rsidP="00F10006">
      <w:pPr>
        <w:pStyle w:val="Chapterheading"/>
      </w:pPr>
      <w:r w:rsidRPr="00774A86">
        <w:lastRenderedPageBreak/>
        <w:br w:type="page"/>
      </w:r>
      <w:bookmarkStart w:id="89" w:name="Five"/>
      <w:bookmarkStart w:id="90" w:name="_Toc439947135"/>
      <w:bookmarkStart w:id="91" w:name="_Toc439947691"/>
      <w:bookmarkStart w:id="92" w:name="_Toc440025398"/>
      <w:bookmarkStart w:id="93" w:name="_Toc440027564"/>
      <w:bookmarkStart w:id="94" w:name="_Toc440028141"/>
      <w:bookmarkStart w:id="95" w:name="_Toc440633007"/>
      <w:bookmarkStart w:id="96" w:name="_Toc440641028"/>
      <w:bookmarkStart w:id="97" w:name="_Toc443051409"/>
      <w:bookmarkStart w:id="98" w:name="_Toc443380367"/>
      <w:bookmarkStart w:id="99" w:name="_Toc443380445"/>
      <w:bookmarkStart w:id="100" w:name="_Toc443393748"/>
      <w:bookmarkStart w:id="101" w:name="_Toc443409838"/>
      <w:bookmarkStart w:id="102" w:name="_Toc443409973"/>
      <w:bookmarkStart w:id="103" w:name="_Toc443470087"/>
      <w:bookmarkEnd w:id="89"/>
      <w:r w:rsidR="00F10006" w:rsidRPr="00774A86">
        <w:lastRenderedPageBreak/>
        <w:t>CHAPTER 5</w:t>
      </w:r>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F10006" w:rsidRPr="00774A86" w:rsidRDefault="00F10006" w:rsidP="00F10006">
      <w:pPr>
        <w:pStyle w:val="Chapterheading"/>
      </w:pPr>
    </w:p>
    <w:p w:rsidR="00F10006" w:rsidRPr="00774A86" w:rsidRDefault="00F10006" w:rsidP="00F10006">
      <w:pPr>
        <w:pStyle w:val="Chapterheading"/>
        <w:rPr>
          <w:caps w:val="0"/>
        </w:rPr>
      </w:pPr>
      <w:bookmarkStart w:id="104" w:name="_Toc442084887"/>
      <w:bookmarkStart w:id="105" w:name="_Toc442086888"/>
      <w:bookmarkStart w:id="106" w:name="_Toc443470088"/>
      <w:r w:rsidRPr="00774A86">
        <w:rPr>
          <w:caps w:val="0"/>
        </w:rPr>
        <w:t>Other legislative issues or options</w:t>
      </w:r>
      <w:bookmarkEnd w:id="104"/>
      <w:bookmarkEnd w:id="105"/>
      <w:bookmarkEnd w:id="106"/>
    </w:p>
    <w:p w:rsidR="008C74C6" w:rsidRPr="00774A86" w:rsidRDefault="008C74C6" w:rsidP="008C74C6">
      <w:pPr>
        <w:pStyle w:val="Chapter5"/>
        <w:numPr>
          <w:ilvl w:val="0"/>
          <w:numId w:val="0"/>
        </w:numPr>
        <w:ind w:left="851" w:hanging="851"/>
      </w:pPr>
      <w:bookmarkStart w:id="107" w:name="_Toc441680441"/>
    </w:p>
    <w:p w:rsidR="008C74C6" w:rsidRPr="00774A86" w:rsidRDefault="008C74C6" w:rsidP="008C74C6">
      <w:pPr>
        <w:pStyle w:val="Chapter5"/>
        <w:numPr>
          <w:ilvl w:val="0"/>
          <w:numId w:val="0"/>
        </w:numPr>
        <w:ind w:left="851" w:hanging="851"/>
      </w:pPr>
    </w:p>
    <w:p w:rsidR="0077285A" w:rsidRPr="00774A86" w:rsidRDefault="0077285A" w:rsidP="003103F3">
      <w:pPr>
        <w:pStyle w:val="Heading1"/>
      </w:pPr>
      <w:bookmarkStart w:id="108" w:name="_Toc443470089"/>
      <w:r w:rsidRPr="00774A86">
        <w:t>Part A – Consultation questions and submissions on other legislative issues</w:t>
      </w:r>
      <w:bookmarkEnd w:id="107"/>
      <w:bookmarkEnd w:id="108"/>
    </w:p>
    <w:p w:rsidR="0077285A" w:rsidRPr="00774A86" w:rsidRDefault="0077285A" w:rsidP="00CD5F48">
      <w:pPr>
        <w:pStyle w:val="Chapter5"/>
        <w:numPr>
          <w:ilvl w:val="0"/>
          <w:numId w:val="0"/>
        </w:numPr>
        <w:ind w:left="851" w:hanging="851"/>
      </w:pPr>
    </w:p>
    <w:p w:rsidR="0077285A" w:rsidRPr="00774A86" w:rsidRDefault="0077285A" w:rsidP="00CD5F48">
      <w:pPr>
        <w:pStyle w:val="Chapter5"/>
      </w:pPr>
      <w:r w:rsidRPr="00774A86">
        <w:t xml:space="preserve">In addition to the legislative issues previously covered in this paper, the CRS provides a number of options for </w:t>
      </w:r>
      <w:r w:rsidR="006210A3" w:rsidRPr="00774A86">
        <w:t>p</w:t>
      </w:r>
      <w:r w:rsidR="00991E68" w:rsidRPr="00774A86">
        <w:t>articipating jurisdictions</w:t>
      </w:r>
      <w:r w:rsidRPr="00774A86">
        <w:t xml:space="preserve"> to consider whether to incorporate into their domestic laws.</w:t>
      </w:r>
      <w:r w:rsidRPr="00774A86">
        <w:rPr>
          <w:sz w:val="22"/>
          <w:szCs w:val="22"/>
          <w:vertAlign w:val="superscript"/>
        </w:rPr>
        <w:footnoteReference w:id="36"/>
      </w:r>
      <w:r w:rsidR="0051122F" w:rsidRPr="00774A86">
        <w:t xml:space="preserve"> </w:t>
      </w:r>
      <w:r w:rsidRPr="00774A86">
        <w:t xml:space="preserve"> These options relate to CRS due diligence and reporting and can be placed into </w:t>
      </w:r>
      <w:r w:rsidR="003C18F0" w:rsidRPr="00774A86">
        <w:t>two</w:t>
      </w:r>
      <w:r w:rsidRPr="00774A86">
        <w:t xml:space="preserve"> categories:</w:t>
      </w:r>
    </w:p>
    <w:p w:rsidR="0077285A" w:rsidRPr="00774A86" w:rsidRDefault="0077285A" w:rsidP="00CD5F48">
      <w:pPr>
        <w:pStyle w:val="Chapter5"/>
        <w:numPr>
          <w:ilvl w:val="0"/>
          <w:numId w:val="0"/>
        </w:numPr>
      </w:pPr>
    </w:p>
    <w:p w:rsidR="0077285A" w:rsidRPr="00774A86" w:rsidRDefault="0077285A" w:rsidP="006210A3">
      <w:pPr>
        <w:pStyle w:val="Bullets"/>
      </w:pPr>
      <w:r w:rsidRPr="00774A86">
        <w:t xml:space="preserve">Where the </w:t>
      </w:r>
      <w:r w:rsidR="006210A3" w:rsidRPr="00774A86">
        <w:t>p</w:t>
      </w:r>
      <w:r w:rsidR="00991E68" w:rsidRPr="00774A86">
        <w:t xml:space="preserve">articipating </w:t>
      </w:r>
      <w:r w:rsidR="006210A3" w:rsidRPr="00774A86">
        <w:t>j</w:t>
      </w:r>
      <w:r w:rsidR="00991E68" w:rsidRPr="00774A86">
        <w:t>urisdiction</w:t>
      </w:r>
      <w:r w:rsidRPr="00774A86">
        <w:t xml:space="preserve"> has an option to decide on a particular point that will apply to all </w:t>
      </w:r>
      <w:r w:rsidR="006210A3" w:rsidRPr="00774A86">
        <w:t>r</w:t>
      </w:r>
      <w:r w:rsidRPr="00774A86">
        <w:t xml:space="preserve">eporting </w:t>
      </w:r>
      <w:r w:rsidR="006210A3" w:rsidRPr="00774A86">
        <w:t>f</w:t>
      </w:r>
      <w:r w:rsidR="00991E68" w:rsidRPr="00774A86">
        <w:t>inancial institutions</w:t>
      </w:r>
      <w:r w:rsidRPr="00774A86">
        <w:t xml:space="preserve"> (for example, whether to require </w:t>
      </w:r>
      <w:r w:rsidR="006210A3" w:rsidRPr="00774A86">
        <w:t xml:space="preserve">place </w:t>
      </w:r>
      <w:r w:rsidRPr="00774A86">
        <w:t>of birth information</w:t>
      </w:r>
      <w:r w:rsidR="003C18F0" w:rsidRPr="00774A86">
        <w:rPr>
          <w:rStyle w:val="FootnoteReference"/>
          <w:sz w:val="22"/>
          <w:szCs w:val="22"/>
        </w:rPr>
        <w:footnoteReference w:id="37"/>
      </w:r>
      <w:r w:rsidRPr="00774A86">
        <w:t xml:space="preserve"> for </w:t>
      </w:r>
      <w:r w:rsidR="006210A3" w:rsidRPr="00774A86">
        <w:t>r</w:t>
      </w:r>
      <w:r w:rsidR="00EE5866" w:rsidRPr="00774A86">
        <w:t>eportable accounts</w:t>
      </w:r>
      <w:r w:rsidRPr="00774A86">
        <w:t>);</w:t>
      </w:r>
      <w:r w:rsidR="00436DEB" w:rsidRPr="00774A86">
        <w:t xml:space="preserve"> and</w:t>
      </w:r>
    </w:p>
    <w:p w:rsidR="0077285A" w:rsidRPr="00774A86" w:rsidRDefault="0077285A" w:rsidP="0051122F">
      <w:pPr>
        <w:pStyle w:val="Bullets"/>
        <w:spacing w:after="0"/>
      </w:pPr>
      <w:r w:rsidRPr="00774A86">
        <w:t xml:space="preserve">Where the </w:t>
      </w:r>
      <w:r w:rsidR="006210A3" w:rsidRPr="00774A86">
        <w:t>p</w:t>
      </w:r>
      <w:r w:rsidR="00991E68" w:rsidRPr="00774A86">
        <w:t>articipating jurisdiction</w:t>
      </w:r>
      <w:r w:rsidRPr="00774A86">
        <w:t xml:space="preserve"> has the option of permitting </w:t>
      </w:r>
      <w:r w:rsidR="006210A3" w:rsidRPr="00774A86">
        <w:t>r</w:t>
      </w:r>
      <w:r w:rsidRPr="00774A86">
        <w:t xml:space="preserve">eporting </w:t>
      </w:r>
      <w:r w:rsidR="006210A3" w:rsidRPr="00774A86">
        <w:t>f</w:t>
      </w:r>
      <w:r w:rsidR="00991E68" w:rsidRPr="00774A86">
        <w:t>inancial institutions</w:t>
      </w:r>
      <w:r w:rsidRPr="00774A86">
        <w:t xml:space="preserve"> to adopt an alternative CRS due diligence procedure at the </w:t>
      </w:r>
      <w:r w:rsidR="00472CC4" w:rsidRPr="00774A86">
        <w:t xml:space="preserve">institution’s </w:t>
      </w:r>
      <w:r w:rsidRPr="00774A86">
        <w:t>discretion</w:t>
      </w:r>
      <w:r w:rsidR="00436DEB" w:rsidRPr="00774A86">
        <w:t xml:space="preserve"> (for example, whether a </w:t>
      </w:r>
      <w:r w:rsidR="006210A3" w:rsidRPr="00774A86">
        <w:t>r</w:t>
      </w:r>
      <w:r w:rsidR="00436DEB" w:rsidRPr="00774A86">
        <w:t xml:space="preserve">eporting </w:t>
      </w:r>
      <w:r w:rsidR="006210A3" w:rsidRPr="00774A86">
        <w:t>f</w:t>
      </w:r>
      <w:r w:rsidR="00436DEB" w:rsidRPr="00774A86">
        <w:t xml:space="preserve">inancial </w:t>
      </w:r>
      <w:r w:rsidR="006210A3" w:rsidRPr="00774A86">
        <w:t>i</w:t>
      </w:r>
      <w:r w:rsidR="00436DEB" w:rsidRPr="00774A86">
        <w:t>nstitution should have the option</w:t>
      </w:r>
      <w:r w:rsidR="00BD7572" w:rsidRPr="00774A86">
        <w:t xml:space="preserve"> being able to use third party service providers to fulfil their due diligence and reporting obligations</w:t>
      </w:r>
      <w:r w:rsidR="00436DEB" w:rsidRPr="00774A86">
        <w:t>)</w:t>
      </w:r>
      <w:r w:rsidR="0030367F" w:rsidRPr="00774A86">
        <w:t>.  A</w:t>
      </w:r>
      <w:r w:rsidRPr="00774A86">
        <w:t xml:space="preserve">s a general rule, we intend to adopt the approach of allowing </w:t>
      </w:r>
      <w:r w:rsidR="006210A3" w:rsidRPr="00774A86">
        <w:t>r</w:t>
      </w:r>
      <w:r w:rsidRPr="00774A86">
        <w:t xml:space="preserve">eporting </w:t>
      </w:r>
      <w:r w:rsidR="006210A3" w:rsidRPr="00774A86">
        <w:t>f</w:t>
      </w:r>
      <w:r w:rsidR="00991E68" w:rsidRPr="00774A86">
        <w:t>inancial institutions</w:t>
      </w:r>
      <w:r w:rsidRPr="00774A86">
        <w:t xml:space="preserve"> to adopt such “discretionary” options as a way of managing compliance costs.</w:t>
      </w:r>
    </w:p>
    <w:p w:rsidR="0077285A" w:rsidRPr="00774A86" w:rsidRDefault="0077285A" w:rsidP="0051122F">
      <w:pPr>
        <w:pStyle w:val="Chapter5"/>
        <w:numPr>
          <w:ilvl w:val="0"/>
          <w:numId w:val="0"/>
        </w:numPr>
      </w:pPr>
    </w:p>
    <w:p w:rsidR="0077285A" w:rsidRPr="00774A86" w:rsidRDefault="0077285A" w:rsidP="00CD5F48">
      <w:pPr>
        <w:pStyle w:val="Chapter5"/>
      </w:pPr>
      <w:r w:rsidRPr="00774A86">
        <w:t>Part A of this chapter outlines various consultation questions related to these options, which we would appreciate your submissions on</w:t>
      </w:r>
      <w:r w:rsidR="0030367F" w:rsidRPr="00774A86">
        <w:t>.  F</w:t>
      </w:r>
      <w:r w:rsidRPr="00774A86">
        <w:t>or more information on each of the questions, please refer to Part B of this chapter.</w:t>
      </w:r>
    </w:p>
    <w:p w:rsidR="008C74C6" w:rsidRPr="00774A86" w:rsidRDefault="008C74C6" w:rsidP="008C74C6">
      <w:pPr>
        <w:pStyle w:val="Chapter5"/>
        <w:numPr>
          <w:ilvl w:val="0"/>
          <w:numId w:val="0"/>
        </w:numPr>
        <w:ind w:left="851" w:hanging="851"/>
      </w:pPr>
      <w:bookmarkStart w:id="109" w:name="_Toc443393751"/>
    </w:p>
    <w:p w:rsidR="008C74C6" w:rsidRPr="00774A86" w:rsidRDefault="008C74C6" w:rsidP="008C74C6">
      <w:pPr>
        <w:pStyle w:val="Chapter5"/>
        <w:numPr>
          <w:ilvl w:val="0"/>
          <w:numId w:val="0"/>
        </w:numPr>
        <w:ind w:left="851" w:hanging="851"/>
      </w:pPr>
    </w:p>
    <w:p w:rsidR="0077285A" w:rsidRPr="001634BA" w:rsidRDefault="0077285A" w:rsidP="001634BA">
      <w:pPr>
        <w:pStyle w:val="Chapter5"/>
        <w:numPr>
          <w:ilvl w:val="0"/>
          <w:numId w:val="0"/>
        </w:numPr>
        <w:ind w:left="851" w:hanging="851"/>
        <w:rPr>
          <w:b/>
        </w:rPr>
      </w:pPr>
      <w:r w:rsidRPr="001634BA">
        <w:rPr>
          <w:b/>
        </w:rPr>
        <w:t xml:space="preserve">Consultation </w:t>
      </w:r>
      <w:r w:rsidR="006210A3" w:rsidRPr="001634BA">
        <w:rPr>
          <w:b/>
        </w:rPr>
        <w:t>q</w:t>
      </w:r>
      <w:r w:rsidRPr="001634BA">
        <w:rPr>
          <w:b/>
        </w:rPr>
        <w:t>uestions</w:t>
      </w:r>
      <w:bookmarkEnd w:id="109"/>
    </w:p>
    <w:p w:rsidR="008C74C6" w:rsidRPr="00774A86" w:rsidRDefault="008C74C6" w:rsidP="008C74C6">
      <w:pPr>
        <w:pStyle w:val="Chapter5"/>
        <w:numPr>
          <w:ilvl w:val="0"/>
          <w:numId w:val="0"/>
        </w:numPr>
        <w:ind w:left="851" w:hanging="851"/>
      </w:pPr>
      <w:bookmarkStart w:id="110" w:name="_Toc443393752"/>
    </w:p>
    <w:p w:rsidR="0077285A" w:rsidRPr="00774A86" w:rsidRDefault="0077285A" w:rsidP="00CD5F48">
      <w:pPr>
        <w:pStyle w:val="Heading2"/>
      </w:pPr>
      <w:r w:rsidRPr="00774A86">
        <w:t xml:space="preserve">Defining the CRS </w:t>
      </w:r>
      <w:r w:rsidR="0030367F" w:rsidRPr="00774A86">
        <w:t>“</w:t>
      </w:r>
      <w:r w:rsidRPr="00774A86">
        <w:t>reporting period</w:t>
      </w:r>
      <w:r w:rsidR="0030367F" w:rsidRPr="00774A86">
        <w:t>”</w:t>
      </w:r>
      <w:bookmarkEnd w:id="110"/>
    </w:p>
    <w:p w:rsidR="0077285A" w:rsidRPr="00774A86" w:rsidRDefault="0077285A" w:rsidP="008C74C6">
      <w:pPr>
        <w:pStyle w:val="Chapter5"/>
        <w:numPr>
          <w:ilvl w:val="0"/>
          <w:numId w:val="0"/>
        </w:numPr>
        <w:ind w:left="851" w:hanging="851"/>
      </w:pPr>
    </w:p>
    <w:p w:rsidR="0077285A" w:rsidRPr="00774A86" w:rsidRDefault="0077285A" w:rsidP="00CD5F48">
      <w:pPr>
        <w:pStyle w:val="Chapter5"/>
      </w:pPr>
      <w:r w:rsidRPr="00774A86">
        <w:t xml:space="preserve">Currently </w:t>
      </w:r>
      <w:r w:rsidR="009F5A08" w:rsidRPr="00774A86">
        <w:t xml:space="preserve">US </w:t>
      </w:r>
      <w:r w:rsidRPr="00774A86">
        <w:t xml:space="preserve">FATCA reporting in </w:t>
      </w:r>
      <w:proofErr w:type="gramStart"/>
      <w:r w:rsidR="00522274" w:rsidRPr="00774A86">
        <w:t>New</w:t>
      </w:r>
      <w:proofErr w:type="gramEnd"/>
      <w:r w:rsidR="00522274" w:rsidRPr="00774A86">
        <w:t xml:space="preserve"> Zealand</w:t>
      </w:r>
      <w:r w:rsidRPr="00774A86">
        <w:t xml:space="preserve"> is based on an annual </w:t>
      </w:r>
      <w:r w:rsidR="0030367F" w:rsidRPr="00774A86">
        <w:t>“</w:t>
      </w:r>
      <w:r w:rsidRPr="00774A86">
        <w:t>tax year</w:t>
      </w:r>
      <w:r w:rsidR="0030367F" w:rsidRPr="00774A86">
        <w:t>”</w:t>
      </w:r>
      <w:r w:rsidRPr="00774A86">
        <w:t xml:space="preserve"> reporting period, </w:t>
      </w:r>
      <w:r w:rsidR="00AF1873" w:rsidRPr="00774A86">
        <w:t>that is</w:t>
      </w:r>
      <w:bookmarkStart w:id="111" w:name="W"/>
      <w:bookmarkEnd w:id="111"/>
      <w:r w:rsidRPr="00774A86">
        <w:t xml:space="preserve"> year ending 31 March</w:t>
      </w:r>
      <w:r w:rsidR="0030367F" w:rsidRPr="00774A86">
        <w:t>.  S</w:t>
      </w:r>
      <w:r w:rsidRPr="00774A86">
        <w:t xml:space="preserve">hould annual CRS reporting also be based on </w:t>
      </w:r>
      <w:r w:rsidR="0030367F" w:rsidRPr="00774A86">
        <w:t>“</w:t>
      </w:r>
      <w:r w:rsidRPr="00774A86">
        <w:t>tax year</w:t>
      </w:r>
      <w:r w:rsidR="0030367F" w:rsidRPr="00774A86">
        <w:t>”</w:t>
      </w:r>
      <w:r w:rsidRPr="00774A86">
        <w:t>, or some other reporting period basis (</w:t>
      </w:r>
      <w:r w:rsidR="00472CC4" w:rsidRPr="00774A86">
        <w:t>for example,</w:t>
      </w:r>
      <w:r w:rsidRPr="00774A86">
        <w:t xml:space="preserve"> </w:t>
      </w:r>
      <w:r w:rsidR="0030367F" w:rsidRPr="00774A86">
        <w:t>“</w:t>
      </w:r>
      <w:r w:rsidRPr="00774A86">
        <w:t>calendar year</w:t>
      </w:r>
      <w:r w:rsidR="0030367F" w:rsidRPr="00774A86">
        <w:t>”</w:t>
      </w:r>
      <w:r w:rsidRPr="00774A86">
        <w:t xml:space="preserve">, </w:t>
      </w:r>
      <w:r w:rsidR="0030367F" w:rsidRPr="00774A86">
        <w:t>“</w:t>
      </w:r>
      <w:r w:rsidRPr="00774A86">
        <w:t>fiscal year</w:t>
      </w:r>
      <w:r w:rsidR="0030367F" w:rsidRPr="00774A86">
        <w:t>”</w:t>
      </w:r>
      <w:r w:rsidRPr="00774A86">
        <w:t xml:space="preserve">, </w:t>
      </w:r>
      <w:proofErr w:type="spellStart"/>
      <w:r w:rsidRPr="00774A86">
        <w:t>etc</w:t>
      </w:r>
      <w:proofErr w:type="spellEnd"/>
      <w:r w:rsidRPr="00774A86">
        <w:t>)?</w:t>
      </w:r>
    </w:p>
    <w:p w:rsidR="008C74C6" w:rsidRPr="00774A86" w:rsidRDefault="008C74C6" w:rsidP="00D64344">
      <w:pPr>
        <w:pStyle w:val="Chapter5"/>
        <w:numPr>
          <w:ilvl w:val="0"/>
          <w:numId w:val="0"/>
        </w:numPr>
        <w:ind w:left="851" w:hanging="851"/>
      </w:pPr>
      <w:bookmarkStart w:id="112" w:name="_Toc443393753"/>
    </w:p>
    <w:p w:rsidR="0077285A" w:rsidRPr="00774A86" w:rsidRDefault="0077285A" w:rsidP="00CD5F48">
      <w:pPr>
        <w:pStyle w:val="Heading2"/>
      </w:pPr>
      <w:r w:rsidRPr="00774A86">
        <w:t>Nil returns</w:t>
      </w:r>
      <w:bookmarkEnd w:id="112"/>
    </w:p>
    <w:p w:rsidR="0077285A" w:rsidRPr="00774A86" w:rsidRDefault="0077285A" w:rsidP="00CD5F48">
      <w:pPr>
        <w:pStyle w:val="Chapter5"/>
        <w:numPr>
          <w:ilvl w:val="0"/>
          <w:numId w:val="0"/>
        </w:numPr>
        <w:ind w:left="851"/>
      </w:pPr>
    </w:p>
    <w:p w:rsidR="0077285A" w:rsidRPr="00774A86" w:rsidRDefault="0077285A" w:rsidP="00CD5F48">
      <w:pPr>
        <w:pStyle w:val="Chapter5"/>
      </w:pPr>
      <w:r w:rsidRPr="00774A86">
        <w:t xml:space="preserve">Should </w:t>
      </w:r>
      <w:r w:rsidR="00522274" w:rsidRPr="00774A86">
        <w:t>New Zealand</w:t>
      </w:r>
      <w:r w:rsidRPr="00774A86">
        <w:t xml:space="preserve"> Reporting </w:t>
      </w:r>
      <w:r w:rsidR="00991E68" w:rsidRPr="00774A86">
        <w:t>Financial institutions</w:t>
      </w:r>
      <w:r w:rsidRPr="00774A86">
        <w:t xml:space="preserve"> </w:t>
      </w:r>
      <w:r w:rsidR="00BD7572" w:rsidRPr="00774A86">
        <w:t xml:space="preserve">be able to file </w:t>
      </w:r>
      <w:r w:rsidR="0030367F" w:rsidRPr="00774A86">
        <w:t>“</w:t>
      </w:r>
      <w:r w:rsidRPr="00774A86">
        <w:t>nil returns</w:t>
      </w:r>
      <w:r w:rsidR="0030367F" w:rsidRPr="00774A86">
        <w:t>”</w:t>
      </w:r>
      <w:r w:rsidRPr="00774A86">
        <w:t xml:space="preserve"> with Inland Revenue? </w:t>
      </w:r>
      <w:r w:rsidR="00BF1D3D" w:rsidRPr="00774A86">
        <w:t xml:space="preserve"> </w:t>
      </w:r>
      <w:r w:rsidRPr="00774A86">
        <w:t>(</w:t>
      </w:r>
      <w:r w:rsidR="00BF1D3D" w:rsidRPr="00774A86">
        <w:t>T</w:t>
      </w:r>
      <w:r w:rsidR="00AF1873" w:rsidRPr="00774A86">
        <w:t>hat is,</w:t>
      </w:r>
      <w:r w:rsidRPr="00774A86">
        <w:t xml:space="preserve"> when they have no </w:t>
      </w:r>
      <w:r w:rsidR="004D6202" w:rsidRPr="00774A86">
        <w:t>r</w:t>
      </w:r>
      <w:r w:rsidR="00EE5866" w:rsidRPr="00774A86">
        <w:t>eportable accounts</w:t>
      </w:r>
      <w:r w:rsidRPr="00774A86">
        <w:t xml:space="preserve"> or </w:t>
      </w:r>
      <w:r w:rsidR="004D6202" w:rsidRPr="00774A86">
        <w:t xml:space="preserve">undocumented </w:t>
      </w:r>
      <w:r w:rsidR="00EE5866" w:rsidRPr="00774A86">
        <w:t>accounts</w:t>
      </w:r>
      <w:r w:rsidR="003C18F0" w:rsidRPr="00774A86">
        <w:t xml:space="preserve"> </w:t>
      </w:r>
      <w:r w:rsidRPr="00774A86">
        <w:t>to report for CRS purposes)</w:t>
      </w:r>
      <w:r w:rsidR="00436DEB" w:rsidRPr="00774A86">
        <w:t>?</w:t>
      </w:r>
    </w:p>
    <w:p w:rsidR="0051122F" w:rsidRPr="00774A86" w:rsidRDefault="0051122F" w:rsidP="00D64344">
      <w:pPr>
        <w:pStyle w:val="Chapter5"/>
        <w:numPr>
          <w:ilvl w:val="0"/>
          <w:numId w:val="0"/>
        </w:numPr>
        <w:ind w:left="851" w:hanging="851"/>
      </w:pPr>
      <w:bookmarkStart w:id="113" w:name="_Toc443393754"/>
    </w:p>
    <w:p w:rsidR="0051122F" w:rsidRPr="00774A86" w:rsidRDefault="0051122F">
      <w:pPr>
        <w:jc w:val="left"/>
        <w:rPr>
          <w:b/>
          <w:i/>
          <w:szCs w:val="24"/>
        </w:rPr>
      </w:pPr>
      <w:r w:rsidRPr="00774A86">
        <w:br w:type="page"/>
      </w:r>
    </w:p>
    <w:p w:rsidR="0077285A" w:rsidRPr="00774A86" w:rsidRDefault="0077285A" w:rsidP="00CD5F48">
      <w:pPr>
        <w:pStyle w:val="Heading2"/>
      </w:pPr>
      <w:r w:rsidRPr="00774A86">
        <w:lastRenderedPageBreak/>
        <w:t>Whether certain CRS terms need to be defined</w:t>
      </w:r>
      <w:bookmarkEnd w:id="113"/>
    </w:p>
    <w:p w:rsidR="0077285A" w:rsidRPr="00774A86" w:rsidRDefault="0077285A" w:rsidP="00CD5F48">
      <w:pPr>
        <w:pStyle w:val="Chapter5"/>
        <w:numPr>
          <w:ilvl w:val="0"/>
          <w:numId w:val="0"/>
        </w:numPr>
        <w:ind w:left="851" w:hanging="851"/>
      </w:pPr>
    </w:p>
    <w:p w:rsidR="0077285A" w:rsidRPr="00774A86" w:rsidRDefault="0077285A" w:rsidP="00CD5F48">
      <w:pPr>
        <w:pStyle w:val="Chapter5"/>
      </w:pPr>
      <w:r w:rsidRPr="00774A86">
        <w:t>Certain terms in the CRS are not defined (</w:t>
      </w:r>
      <w:r w:rsidR="00472CC4" w:rsidRPr="00774A86">
        <w:t>for example,</w:t>
      </w:r>
      <w:r w:rsidRPr="00774A86">
        <w:t xml:space="preserve"> </w:t>
      </w:r>
      <w:r w:rsidR="0030367F" w:rsidRPr="00774A86">
        <w:t>“</w:t>
      </w:r>
      <w:r w:rsidRPr="00774A86">
        <w:t>passive income</w:t>
      </w:r>
      <w:r w:rsidR="0030367F" w:rsidRPr="00774A86">
        <w:t>”</w:t>
      </w:r>
      <w:r w:rsidRPr="00774A86">
        <w:t xml:space="preserve">, </w:t>
      </w:r>
      <w:r w:rsidR="0030367F" w:rsidRPr="00774A86">
        <w:t>“</w:t>
      </w:r>
      <w:r w:rsidRPr="00774A86">
        <w:t>maintaining</w:t>
      </w:r>
      <w:r w:rsidR="0030367F" w:rsidRPr="00774A86">
        <w:t>”</w:t>
      </w:r>
      <w:r w:rsidRPr="00774A86">
        <w:t xml:space="preserve"> a </w:t>
      </w:r>
      <w:r w:rsidR="00895638" w:rsidRPr="00774A86">
        <w:t>f</w:t>
      </w:r>
      <w:r w:rsidRPr="00774A86">
        <w:t xml:space="preserve">inancial </w:t>
      </w:r>
      <w:r w:rsidR="004D6202" w:rsidRPr="00774A86">
        <w:t>account</w:t>
      </w:r>
      <w:r w:rsidRPr="00774A86">
        <w:t xml:space="preserve">, </w:t>
      </w:r>
      <w:proofErr w:type="spellStart"/>
      <w:r w:rsidRPr="00774A86">
        <w:t>etc</w:t>
      </w:r>
      <w:proofErr w:type="spellEnd"/>
      <w:r w:rsidRPr="00774A86">
        <w:t>)</w:t>
      </w:r>
      <w:r w:rsidR="0030367F" w:rsidRPr="00774A86">
        <w:t>.  A</w:t>
      </w:r>
      <w:r w:rsidRPr="00774A86">
        <w:t>re there any CRS terms that need to be defined in domestic law?</w:t>
      </w:r>
    </w:p>
    <w:p w:rsidR="008C74C6" w:rsidRPr="00774A86" w:rsidRDefault="008C74C6" w:rsidP="00D64344">
      <w:pPr>
        <w:pStyle w:val="Chapter5"/>
        <w:numPr>
          <w:ilvl w:val="0"/>
          <w:numId w:val="0"/>
        </w:numPr>
        <w:ind w:left="851" w:hanging="851"/>
      </w:pPr>
      <w:bookmarkStart w:id="114" w:name="_Toc443393755"/>
    </w:p>
    <w:p w:rsidR="0077285A" w:rsidRPr="00774A86" w:rsidRDefault="0077285A" w:rsidP="00CD5F48">
      <w:pPr>
        <w:pStyle w:val="Heading2"/>
      </w:pPr>
      <w:r w:rsidRPr="00774A86">
        <w:t>Currency translation rules</w:t>
      </w:r>
      <w:bookmarkEnd w:id="114"/>
    </w:p>
    <w:p w:rsidR="0077285A" w:rsidRPr="00774A86" w:rsidRDefault="0077285A" w:rsidP="00CD5F48">
      <w:pPr>
        <w:pStyle w:val="Chapter5"/>
        <w:numPr>
          <w:ilvl w:val="0"/>
          <w:numId w:val="0"/>
        </w:numPr>
        <w:ind w:left="851"/>
      </w:pPr>
    </w:p>
    <w:p w:rsidR="0077285A" w:rsidRPr="00774A86" w:rsidRDefault="0077285A" w:rsidP="00CD5F48">
      <w:pPr>
        <w:pStyle w:val="Chapter5"/>
      </w:pPr>
      <w:r w:rsidRPr="00774A86">
        <w:t xml:space="preserve">To reduce compliance costs, should our domestic law allow </w:t>
      </w:r>
      <w:r w:rsidR="00522274" w:rsidRPr="00774A86">
        <w:t>New Zealand</w:t>
      </w:r>
      <w:r w:rsidRPr="00774A86">
        <w:t xml:space="preserve"> </w:t>
      </w:r>
      <w:r w:rsidR="00895638" w:rsidRPr="00774A86">
        <w:t>r</w:t>
      </w:r>
      <w:r w:rsidRPr="00774A86">
        <w:t xml:space="preserve">eporting </w:t>
      </w:r>
      <w:r w:rsidR="00895638" w:rsidRPr="00774A86">
        <w:t>f</w:t>
      </w:r>
      <w:r w:rsidR="00991E68" w:rsidRPr="00774A86">
        <w:t>inancial institutions</w:t>
      </w:r>
      <w:r w:rsidRPr="00774A86">
        <w:t xml:space="preserve"> to simply choose to treat all dollar amounts in the CRS as being in </w:t>
      </w:r>
      <w:r w:rsidR="00522274" w:rsidRPr="00774A86">
        <w:t>New Zealand</w:t>
      </w:r>
      <w:r w:rsidRPr="00774A86">
        <w:t xml:space="preserve"> dollars?</w:t>
      </w:r>
    </w:p>
    <w:p w:rsidR="008C74C6" w:rsidRPr="00774A86" w:rsidRDefault="008C74C6" w:rsidP="00D64344">
      <w:pPr>
        <w:pStyle w:val="Chapter5"/>
        <w:numPr>
          <w:ilvl w:val="0"/>
          <w:numId w:val="0"/>
        </w:numPr>
        <w:ind w:left="851" w:hanging="851"/>
      </w:pPr>
      <w:bookmarkStart w:id="115" w:name="_Toc443393756"/>
    </w:p>
    <w:p w:rsidR="0077285A" w:rsidRPr="00774A86" w:rsidRDefault="0077285A" w:rsidP="00CD5F48">
      <w:pPr>
        <w:pStyle w:val="Heading2"/>
      </w:pPr>
      <w:r w:rsidRPr="00774A86">
        <w:t>Pre</w:t>
      </w:r>
      <w:r w:rsidR="00522274" w:rsidRPr="00774A86">
        <w:t>-</w:t>
      </w:r>
      <w:r w:rsidRPr="00774A86">
        <w:t xml:space="preserve">existing </w:t>
      </w:r>
      <w:r w:rsidR="00BF1D3D" w:rsidRPr="00774A86">
        <w:t>a</w:t>
      </w:r>
      <w:r w:rsidRPr="00774A86">
        <w:t>ccounts – T</w:t>
      </w:r>
      <w:r w:rsidR="004D6202" w:rsidRPr="00774A86">
        <w:t xml:space="preserve">ax </w:t>
      </w:r>
      <w:r w:rsidRPr="00774A86">
        <w:t>I</w:t>
      </w:r>
      <w:r w:rsidR="004D6202" w:rsidRPr="00774A86">
        <w:t xml:space="preserve">dentification </w:t>
      </w:r>
      <w:r w:rsidRPr="00774A86">
        <w:t>N</w:t>
      </w:r>
      <w:r w:rsidR="004D6202" w:rsidRPr="00774A86">
        <w:t>umber</w:t>
      </w:r>
      <w:r w:rsidRPr="00774A86">
        <w:t>s</w:t>
      </w:r>
      <w:r w:rsidR="004D6202" w:rsidRPr="00774A86">
        <w:t xml:space="preserve"> (TINs)</w:t>
      </w:r>
      <w:r w:rsidRPr="00774A86">
        <w:t xml:space="preserve"> </w:t>
      </w:r>
      <w:r w:rsidR="00BF1D3D" w:rsidRPr="00774A86">
        <w:t>and</w:t>
      </w:r>
      <w:r w:rsidRPr="00774A86">
        <w:t xml:space="preserve"> </w:t>
      </w:r>
      <w:r w:rsidR="00FC1B31" w:rsidRPr="00774A86">
        <w:t>d</w:t>
      </w:r>
      <w:r w:rsidRPr="00774A86">
        <w:t xml:space="preserve">ate of </w:t>
      </w:r>
      <w:r w:rsidR="00FC1B31" w:rsidRPr="00774A86">
        <w:t>b</w:t>
      </w:r>
      <w:r w:rsidRPr="00774A86">
        <w:t>irth</w:t>
      </w:r>
      <w:bookmarkEnd w:id="115"/>
    </w:p>
    <w:p w:rsidR="0077285A" w:rsidRPr="00774A86" w:rsidRDefault="0077285A" w:rsidP="00CD5F48">
      <w:pPr>
        <w:pStyle w:val="Chapter5"/>
        <w:numPr>
          <w:ilvl w:val="0"/>
          <w:numId w:val="0"/>
        </w:numPr>
        <w:ind w:left="851"/>
      </w:pPr>
    </w:p>
    <w:p w:rsidR="0077285A" w:rsidRPr="00774A86" w:rsidRDefault="0077285A" w:rsidP="00CD5F48">
      <w:pPr>
        <w:pStyle w:val="Chapter5"/>
      </w:pPr>
      <w:r w:rsidRPr="00774A86">
        <w:t>Should there be a requirement</w:t>
      </w:r>
      <w:r w:rsidRPr="00774A86">
        <w:rPr>
          <w:sz w:val="22"/>
          <w:szCs w:val="22"/>
          <w:vertAlign w:val="superscript"/>
        </w:rPr>
        <w:footnoteReference w:id="38"/>
      </w:r>
      <w:r w:rsidRPr="00774A86">
        <w:t xml:space="preserve"> under domestic law for </w:t>
      </w:r>
      <w:r w:rsidR="00522274" w:rsidRPr="00774A86">
        <w:t>New Zealand</w:t>
      </w:r>
      <w:r w:rsidRPr="00774A86">
        <w:t xml:space="preserve"> </w:t>
      </w:r>
      <w:r w:rsidR="00895638" w:rsidRPr="00774A86">
        <w:t>r</w:t>
      </w:r>
      <w:r w:rsidRPr="00774A86">
        <w:t xml:space="preserve">eporting </w:t>
      </w:r>
      <w:r w:rsidR="00895638" w:rsidRPr="00774A86">
        <w:t>f</w:t>
      </w:r>
      <w:r w:rsidR="00991E68" w:rsidRPr="00774A86">
        <w:t>inancial institutions</w:t>
      </w:r>
      <w:r w:rsidRPr="00774A86">
        <w:t xml:space="preserve"> to obtain and report TINs and </w:t>
      </w:r>
      <w:r w:rsidR="0030367F" w:rsidRPr="00774A86">
        <w:t>“</w:t>
      </w:r>
      <w:r w:rsidRPr="00774A86">
        <w:t>date of birth</w:t>
      </w:r>
      <w:r w:rsidR="0030367F" w:rsidRPr="00774A86">
        <w:t>”</w:t>
      </w:r>
      <w:r w:rsidRPr="00774A86">
        <w:t xml:space="preserve"> for </w:t>
      </w:r>
      <w:r w:rsidR="00895638" w:rsidRPr="00774A86">
        <w:t>p</w:t>
      </w:r>
      <w:r w:rsidRPr="00774A86">
        <w:t>re</w:t>
      </w:r>
      <w:r w:rsidR="00522274" w:rsidRPr="00774A86">
        <w:t>-</w:t>
      </w:r>
      <w:r w:rsidRPr="00774A86">
        <w:t xml:space="preserve">existing </w:t>
      </w:r>
      <w:r w:rsidR="00895638" w:rsidRPr="00774A86">
        <w:t>r</w:t>
      </w:r>
      <w:r w:rsidR="00EE5866" w:rsidRPr="00774A86">
        <w:t>eportable accounts</w:t>
      </w:r>
      <w:r w:rsidRPr="00774A86">
        <w:t xml:space="preserve"> (beyond merely making reasonable efforts to obtain that information in the way referred to in the CRS)?</w:t>
      </w:r>
    </w:p>
    <w:p w:rsidR="008C74C6" w:rsidRPr="00774A86" w:rsidRDefault="008C74C6" w:rsidP="00D64344">
      <w:pPr>
        <w:pStyle w:val="Chapter5"/>
        <w:numPr>
          <w:ilvl w:val="0"/>
          <w:numId w:val="0"/>
        </w:numPr>
        <w:ind w:left="851" w:hanging="851"/>
      </w:pPr>
      <w:bookmarkStart w:id="116" w:name="_Toc443393757"/>
    </w:p>
    <w:p w:rsidR="0077285A" w:rsidRPr="00774A86" w:rsidRDefault="0030367F" w:rsidP="00CD5F48">
      <w:pPr>
        <w:pStyle w:val="Heading2"/>
      </w:pPr>
      <w:r w:rsidRPr="00774A86">
        <w:t>“</w:t>
      </w:r>
      <w:r w:rsidR="0077285A" w:rsidRPr="00774A86">
        <w:t>Place of birth</w:t>
      </w:r>
      <w:r w:rsidRPr="00774A86">
        <w:t>”</w:t>
      </w:r>
      <w:r w:rsidR="0077285A" w:rsidRPr="00774A86">
        <w:t xml:space="preserve"> of individuals</w:t>
      </w:r>
      <w:bookmarkEnd w:id="116"/>
    </w:p>
    <w:p w:rsidR="0077285A" w:rsidRPr="00774A86" w:rsidRDefault="0077285A" w:rsidP="00CD5F48">
      <w:pPr>
        <w:pStyle w:val="Chapter5"/>
        <w:numPr>
          <w:ilvl w:val="0"/>
          <w:numId w:val="0"/>
        </w:numPr>
        <w:ind w:left="851" w:hanging="851"/>
      </w:pPr>
    </w:p>
    <w:p w:rsidR="0077285A" w:rsidRPr="00774A86" w:rsidRDefault="0077285A" w:rsidP="00CD5F48">
      <w:pPr>
        <w:pStyle w:val="Chapter5"/>
      </w:pPr>
      <w:r w:rsidRPr="00774A86">
        <w:t xml:space="preserve">Should there be a legislative requirement for </w:t>
      </w:r>
      <w:r w:rsidR="00522274" w:rsidRPr="00774A86">
        <w:t>New Zealand</w:t>
      </w:r>
      <w:r w:rsidRPr="00774A86">
        <w:t xml:space="preserve"> </w:t>
      </w:r>
      <w:r w:rsidR="00895638" w:rsidRPr="00774A86">
        <w:t>r</w:t>
      </w:r>
      <w:r w:rsidRPr="00774A86">
        <w:t xml:space="preserve">eporting </w:t>
      </w:r>
      <w:r w:rsidR="00895638" w:rsidRPr="00774A86">
        <w:t>f</w:t>
      </w:r>
      <w:r w:rsidR="00991E68" w:rsidRPr="00774A86">
        <w:t>inancial institutions</w:t>
      </w:r>
      <w:r w:rsidRPr="00774A86">
        <w:t xml:space="preserve"> to obtain and report </w:t>
      </w:r>
      <w:r w:rsidR="0030367F" w:rsidRPr="00774A86">
        <w:t>“</w:t>
      </w:r>
      <w:r w:rsidRPr="00774A86">
        <w:t>place of birth</w:t>
      </w:r>
      <w:r w:rsidR="0030367F" w:rsidRPr="00774A86">
        <w:t>”</w:t>
      </w:r>
      <w:r w:rsidRPr="00774A86">
        <w:t xml:space="preserve"> information for </w:t>
      </w:r>
      <w:r w:rsidR="00AF1873" w:rsidRPr="00774A86">
        <w:t xml:space="preserve">reportable </w:t>
      </w:r>
      <w:r w:rsidR="00EE5866" w:rsidRPr="00774A86">
        <w:t>accounts</w:t>
      </w:r>
      <w:r w:rsidRPr="00774A86">
        <w:t xml:space="preserve"> of individuals where such information is available in the electronically searchable data that they maintain?</w:t>
      </w:r>
    </w:p>
    <w:p w:rsidR="008C74C6" w:rsidRPr="00774A86" w:rsidRDefault="008C74C6" w:rsidP="00D64344">
      <w:pPr>
        <w:pStyle w:val="Chapter5"/>
        <w:numPr>
          <w:ilvl w:val="0"/>
          <w:numId w:val="0"/>
        </w:numPr>
        <w:ind w:left="851" w:hanging="851"/>
      </w:pPr>
      <w:bookmarkStart w:id="117" w:name="_Toc443393758"/>
    </w:p>
    <w:p w:rsidR="0077285A" w:rsidRPr="00774A86" w:rsidRDefault="0077285A" w:rsidP="00CD5F48">
      <w:pPr>
        <w:pStyle w:val="Heading2"/>
      </w:pPr>
      <w:r w:rsidRPr="00774A86">
        <w:t>Reporting average monthly balances or values</w:t>
      </w:r>
      <w:bookmarkEnd w:id="117"/>
    </w:p>
    <w:p w:rsidR="0077285A" w:rsidRPr="00774A86" w:rsidRDefault="0077285A" w:rsidP="00141FBF">
      <w:pPr>
        <w:pStyle w:val="Chapter5"/>
        <w:numPr>
          <w:ilvl w:val="0"/>
          <w:numId w:val="0"/>
        </w:numPr>
        <w:ind w:left="851" w:hanging="851"/>
      </w:pPr>
    </w:p>
    <w:p w:rsidR="0077285A" w:rsidRPr="00774A86" w:rsidRDefault="0077285A" w:rsidP="00CD5F48">
      <w:pPr>
        <w:pStyle w:val="Chapter5"/>
      </w:pPr>
      <w:r w:rsidRPr="00774A86">
        <w:t xml:space="preserve">Should reporting of average monthly balances or values of </w:t>
      </w:r>
      <w:r w:rsidR="00895638" w:rsidRPr="00774A86">
        <w:t>r</w:t>
      </w:r>
      <w:r w:rsidR="00EE5866" w:rsidRPr="00774A86">
        <w:t>eportable accounts</w:t>
      </w:r>
      <w:r w:rsidRPr="00774A86">
        <w:t xml:space="preserve"> be a legislative requirement in </w:t>
      </w:r>
      <w:r w:rsidR="00522274" w:rsidRPr="00774A86">
        <w:t>New Zealand</w:t>
      </w:r>
      <w:r w:rsidRPr="00774A86">
        <w:t>?</w:t>
      </w:r>
    </w:p>
    <w:p w:rsidR="008C74C6" w:rsidRPr="00774A86" w:rsidRDefault="008C74C6" w:rsidP="00D64344">
      <w:pPr>
        <w:pStyle w:val="Chapter5"/>
        <w:numPr>
          <w:ilvl w:val="0"/>
          <w:numId w:val="0"/>
        </w:numPr>
        <w:ind w:left="851" w:hanging="851"/>
      </w:pPr>
      <w:bookmarkStart w:id="118" w:name="_Toc443393759"/>
    </w:p>
    <w:p w:rsidR="0077285A" w:rsidRPr="00774A86" w:rsidRDefault="0077285A" w:rsidP="00CD5F48">
      <w:pPr>
        <w:pStyle w:val="Heading2"/>
      </w:pPr>
      <w:r w:rsidRPr="00774A86">
        <w:t>Certain trades facilitated by brokers</w:t>
      </w:r>
      <w:bookmarkEnd w:id="118"/>
    </w:p>
    <w:p w:rsidR="0077285A" w:rsidRPr="00774A86" w:rsidRDefault="0077285A" w:rsidP="00CD5F48">
      <w:pPr>
        <w:pStyle w:val="Chapter5"/>
        <w:numPr>
          <w:ilvl w:val="0"/>
          <w:numId w:val="0"/>
        </w:numPr>
        <w:ind w:left="851" w:hanging="851"/>
      </w:pPr>
    </w:p>
    <w:p w:rsidR="0077285A" w:rsidRPr="00774A86" w:rsidRDefault="0077285A" w:rsidP="00CD5F48">
      <w:pPr>
        <w:pStyle w:val="Chapter5"/>
      </w:pPr>
      <w:r w:rsidRPr="00774A86">
        <w:t xml:space="preserve">Are any legislative provisions required so that exchange traded </w:t>
      </w:r>
      <w:r w:rsidR="00522274" w:rsidRPr="00774A86">
        <w:t>New Zealand</w:t>
      </w:r>
      <w:r w:rsidRPr="00774A86">
        <w:t xml:space="preserve"> </w:t>
      </w:r>
      <w:r w:rsidR="00895638" w:rsidRPr="00774A86">
        <w:t>r</w:t>
      </w:r>
      <w:r w:rsidRPr="00774A86">
        <w:t xml:space="preserve">eporting </w:t>
      </w:r>
      <w:r w:rsidR="00895638" w:rsidRPr="00774A86">
        <w:t>f</w:t>
      </w:r>
      <w:r w:rsidR="00991E68" w:rsidRPr="00774A86">
        <w:t>inancial institutions</w:t>
      </w:r>
      <w:r w:rsidRPr="00774A86">
        <w:t xml:space="preserve"> are able to comply with their due diligence and reporting obligations under CRS where trades are facilitated by brokers?</w:t>
      </w:r>
    </w:p>
    <w:p w:rsidR="008C74C6" w:rsidRPr="00774A86" w:rsidRDefault="008C74C6" w:rsidP="00D64344">
      <w:pPr>
        <w:pStyle w:val="Chapter5"/>
        <w:numPr>
          <w:ilvl w:val="0"/>
          <w:numId w:val="0"/>
        </w:numPr>
        <w:ind w:left="851" w:hanging="851"/>
      </w:pPr>
      <w:bookmarkStart w:id="119" w:name="_Toc443393760"/>
    </w:p>
    <w:p w:rsidR="0077285A" w:rsidRPr="00774A86" w:rsidRDefault="0077285A" w:rsidP="00CD5F48">
      <w:pPr>
        <w:pStyle w:val="Heading2"/>
      </w:pPr>
      <w:r w:rsidRPr="00774A86">
        <w:t>Service providers</w:t>
      </w:r>
      <w:bookmarkEnd w:id="119"/>
    </w:p>
    <w:p w:rsidR="0077285A" w:rsidRPr="00774A86" w:rsidRDefault="0077285A" w:rsidP="00CD5F48">
      <w:pPr>
        <w:pStyle w:val="Chapter5"/>
        <w:numPr>
          <w:ilvl w:val="0"/>
          <w:numId w:val="0"/>
        </w:numPr>
        <w:ind w:left="851" w:hanging="851"/>
      </w:pPr>
    </w:p>
    <w:p w:rsidR="0077285A" w:rsidRPr="00774A86" w:rsidRDefault="0077285A" w:rsidP="00CD5F48">
      <w:pPr>
        <w:pStyle w:val="Chapter5"/>
      </w:pPr>
      <w:r w:rsidRPr="00774A86">
        <w:t xml:space="preserve">Should </w:t>
      </w:r>
      <w:r w:rsidR="00522274" w:rsidRPr="00774A86">
        <w:t>New Zealand</w:t>
      </w:r>
      <w:r w:rsidRPr="00774A86">
        <w:t xml:space="preserve"> </w:t>
      </w:r>
      <w:r w:rsidR="00895638" w:rsidRPr="00774A86">
        <w:t>r</w:t>
      </w:r>
      <w:r w:rsidRPr="00774A86">
        <w:t xml:space="preserve">eporting </w:t>
      </w:r>
      <w:r w:rsidR="00895638" w:rsidRPr="00774A86">
        <w:t>f</w:t>
      </w:r>
      <w:r w:rsidR="00991E68" w:rsidRPr="00774A86">
        <w:t>inancial institutions</w:t>
      </w:r>
      <w:r w:rsidRPr="00774A86">
        <w:t xml:space="preserve"> be able to use third party service providers to fulfil their due diligence and reporting obligations?</w:t>
      </w:r>
    </w:p>
    <w:p w:rsidR="008C74C6" w:rsidRPr="00774A86" w:rsidRDefault="008C74C6" w:rsidP="00D64344">
      <w:pPr>
        <w:pStyle w:val="Chapter5"/>
        <w:numPr>
          <w:ilvl w:val="0"/>
          <w:numId w:val="0"/>
        </w:numPr>
        <w:ind w:left="851" w:hanging="851"/>
      </w:pPr>
      <w:bookmarkStart w:id="120" w:name="_Toc443393761"/>
    </w:p>
    <w:p w:rsidR="0077285A" w:rsidRPr="00774A86" w:rsidRDefault="00522274" w:rsidP="00CD5F48">
      <w:pPr>
        <w:pStyle w:val="Heading2"/>
      </w:pPr>
      <w:r w:rsidRPr="00774A86">
        <w:t>New Zealand</w:t>
      </w:r>
      <w:r w:rsidR="0077285A" w:rsidRPr="00774A86">
        <w:t xml:space="preserve"> resident </w:t>
      </w:r>
      <w:r w:rsidR="00FC1B31" w:rsidRPr="00774A86">
        <w:t>c</w:t>
      </w:r>
      <w:r w:rsidR="0077285A" w:rsidRPr="00774A86">
        <w:t xml:space="preserve">ontrolling </w:t>
      </w:r>
      <w:r w:rsidR="00FC1B31" w:rsidRPr="00774A86">
        <w:t>p</w:t>
      </w:r>
      <w:r w:rsidR="0077285A" w:rsidRPr="00774A86">
        <w:t xml:space="preserve">ersons as </w:t>
      </w:r>
      <w:r w:rsidR="0030367F" w:rsidRPr="00774A86">
        <w:t>“</w:t>
      </w:r>
      <w:r w:rsidR="00FC1B31" w:rsidRPr="00774A86">
        <w:t>r</w:t>
      </w:r>
      <w:r w:rsidR="0077285A" w:rsidRPr="00774A86">
        <w:t xml:space="preserve">eportable </w:t>
      </w:r>
      <w:r w:rsidR="00FC1B31" w:rsidRPr="00774A86">
        <w:t>p</w:t>
      </w:r>
      <w:r w:rsidR="0077285A" w:rsidRPr="00774A86">
        <w:t>ersons</w:t>
      </w:r>
      <w:r w:rsidR="0030367F" w:rsidRPr="00774A86">
        <w:t>”</w:t>
      </w:r>
      <w:bookmarkEnd w:id="120"/>
    </w:p>
    <w:p w:rsidR="0077285A" w:rsidRPr="00774A86" w:rsidRDefault="0077285A" w:rsidP="00CD5F48">
      <w:pPr>
        <w:pStyle w:val="Chapter5"/>
        <w:numPr>
          <w:ilvl w:val="0"/>
          <w:numId w:val="0"/>
        </w:numPr>
        <w:ind w:left="851" w:hanging="851"/>
      </w:pPr>
    </w:p>
    <w:p w:rsidR="0077285A" w:rsidRPr="00774A86" w:rsidRDefault="0077285A" w:rsidP="00CD5F48">
      <w:pPr>
        <w:pStyle w:val="Chapter5"/>
      </w:pPr>
      <w:r w:rsidRPr="00774A86">
        <w:t xml:space="preserve">Should </w:t>
      </w:r>
      <w:r w:rsidR="00522274" w:rsidRPr="00774A86">
        <w:t>New Zealand</w:t>
      </w:r>
      <w:r w:rsidRPr="00774A86">
        <w:t xml:space="preserve"> resident </w:t>
      </w:r>
      <w:r w:rsidR="00895638" w:rsidRPr="00774A86">
        <w:t>c</w:t>
      </w:r>
      <w:r w:rsidRPr="00774A86">
        <w:t xml:space="preserve">ontrolling </w:t>
      </w:r>
      <w:r w:rsidR="00895638" w:rsidRPr="00774A86">
        <w:t>p</w:t>
      </w:r>
      <w:r w:rsidRPr="00774A86">
        <w:t xml:space="preserve">ersons of </w:t>
      </w:r>
      <w:r w:rsidR="00895638" w:rsidRPr="00774A86">
        <w:t>p</w:t>
      </w:r>
      <w:r w:rsidRPr="00774A86">
        <w:t xml:space="preserve">assive NFEs be treated as </w:t>
      </w:r>
      <w:r w:rsidR="00895638" w:rsidRPr="00774A86">
        <w:t>r</w:t>
      </w:r>
      <w:r w:rsidRPr="00774A86">
        <w:t xml:space="preserve">eportable </w:t>
      </w:r>
      <w:r w:rsidR="00895638" w:rsidRPr="00774A86">
        <w:t>p</w:t>
      </w:r>
      <w:r w:rsidRPr="00774A86">
        <w:t>ersons for domestic CRS purposes?</w:t>
      </w:r>
    </w:p>
    <w:p w:rsidR="008C74C6" w:rsidRPr="00774A86" w:rsidRDefault="008C74C6" w:rsidP="00D64344">
      <w:pPr>
        <w:pStyle w:val="Chapter5"/>
        <w:numPr>
          <w:ilvl w:val="0"/>
          <w:numId w:val="0"/>
        </w:numPr>
        <w:ind w:left="851" w:hanging="851"/>
      </w:pPr>
      <w:bookmarkStart w:id="121" w:name="_Toc443393762"/>
    </w:p>
    <w:p w:rsidR="0077285A" w:rsidRPr="00774A86" w:rsidRDefault="0077285A" w:rsidP="00CD5F48">
      <w:pPr>
        <w:pStyle w:val="Heading2"/>
      </w:pPr>
      <w:r w:rsidRPr="00774A86">
        <w:t>Pre</w:t>
      </w:r>
      <w:r w:rsidR="00522274" w:rsidRPr="00774A86">
        <w:t>-e</w:t>
      </w:r>
      <w:r w:rsidRPr="00774A86">
        <w:t xml:space="preserve">xisting </w:t>
      </w:r>
      <w:r w:rsidR="00FC1B31" w:rsidRPr="00774A86">
        <w:t>e</w:t>
      </w:r>
      <w:r w:rsidRPr="00774A86">
        <w:t xml:space="preserve">ntity </w:t>
      </w:r>
      <w:r w:rsidR="00FC1B31" w:rsidRPr="00774A86">
        <w:t>a</w:t>
      </w:r>
      <w:r w:rsidRPr="00774A86">
        <w:t>ccounts – using standard industry coding systems</w:t>
      </w:r>
      <w:bookmarkEnd w:id="121"/>
    </w:p>
    <w:p w:rsidR="0077285A" w:rsidRPr="00774A86" w:rsidRDefault="0077285A" w:rsidP="00CD5F48">
      <w:pPr>
        <w:pStyle w:val="Chapter5"/>
        <w:numPr>
          <w:ilvl w:val="0"/>
          <w:numId w:val="0"/>
        </w:numPr>
        <w:ind w:left="851" w:hanging="851"/>
      </w:pPr>
    </w:p>
    <w:p w:rsidR="0077285A" w:rsidRPr="00774A86" w:rsidRDefault="0077285A" w:rsidP="00CD5F48">
      <w:pPr>
        <w:pStyle w:val="Chapter5"/>
      </w:pPr>
      <w:r w:rsidRPr="00774A86">
        <w:t xml:space="preserve">Should </w:t>
      </w:r>
      <w:r w:rsidR="00522274" w:rsidRPr="00774A86">
        <w:t>New Zealand</w:t>
      </w:r>
      <w:r w:rsidRPr="00774A86">
        <w:t xml:space="preserve"> </w:t>
      </w:r>
      <w:r w:rsidR="00895638" w:rsidRPr="00774A86">
        <w:t>r</w:t>
      </w:r>
      <w:r w:rsidRPr="00774A86">
        <w:t xml:space="preserve">eporting </w:t>
      </w:r>
      <w:r w:rsidR="00895638" w:rsidRPr="00774A86">
        <w:t>f</w:t>
      </w:r>
      <w:r w:rsidR="00991E68" w:rsidRPr="00774A86">
        <w:t>inancial institutions</w:t>
      </w:r>
      <w:r w:rsidRPr="00774A86">
        <w:t xml:space="preserve"> be able, with respect to </w:t>
      </w:r>
      <w:r w:rsidR="00895638" w:rsidRPr="00774A86">
        <w:t>p</w:t>
      </w:r>
      <w:r w:rsidRPr="00774A86">
        <w:t>re</w:t>
      </w:r>
      <w:r w:rsidR="00522274" w:rsidRPr="00774A86">
        <w:t>-</w:t>
      </w:r>
      <w:r w:rsidRPr="00774A86">
        <w:t xml:space="preserve">existing </w:t>
      </w:r>
      <w:r w:rsidR="00895638" w:rsidRPr="00774A86">
        <w:t>e</w:t>
      </w:r>
      <w:r w:rsidRPr="00774A86">
        <w:t xml:space="preserve">ntity </w:t>
      </w:r>
      <w:r w:rsidR="00895638" w:rsidRPr="00774A86">
        <w:t>a</w:t>
      </w:r>
      <w:r w:rsidRPr="00774A86">
        <w:t xml:space="preserve">ccounts, to use as </w:t>
      </w:r>
      <w:r w:rsidR="00895638" w:rsidRPr="00774A86">
        <w:t>d</w:t>
      </w:r>
      <w:r w:rsidRPr="00774A86">
        <w:t xml:space="preserve">ocumentary </w:t>
      </w:r>
      <w:r w:rsidR="00895638" w:rsidRPr="00774A86">
        <w:t>e</w:t>
      </w:r>
      <w:r w:rsidRPr="00774A86">
        <w:t xml:space="preserve">vidence for the purposes </w:t>
      </w:r>
      <w:r w:rsidRPr="00774A86">
        <w:lastRenderedPageBreak/>
        <w:t xml:space="preserve">of CRS due diligence, any classification in their records with respect to the </w:t>
      </w:r>
      <w:r w:rsidR="00895638" w:rsidRPr="00774A86">
        <w:t>a</w:t>
      </w:r>
      <w:r w:rsidRPr="00774A86">
        <w:t xml:space="preserve">ccount </w:t>
      </w:r>
      <w:r w:rsidR="00895638" w:rsidRPr="00774A86">
        <w:t>h</w:t>
      </w:r>
      <w:r w:rsidRPr="00774A86">
        <w:t xml:space="preserve">older that was determined based on a standard industry coding system (provided that the conditions set out in the CRS </w:t>
      </w:r>
      <w:r w:rsidR="004D6202" w:rsidRPr="00774A86">
        <w:t>C</w:t>
      </w:r>
      <w:r w:rsidRPr="00774A86">
        <w:t>ommentar</w:t>
      </w:r>
      <w:r w:rsidR="004D6202" w:rsidRPr="00774A86">
        <w:t>ies</w:t>
      </w:r>
      <w:r w:rsidRPr="00774A86">
        <w:t xml:space="preserve"> are met)?</w:t>
      </w:r>
    </w:p>
    <w:p w:rsidR="008C74C6" w:rsidRPr="00774A86" w:rsidRDefault="008C74C6" w:rsidP="00D64344">
      <w:pPr>
        <w:pStyle w:val="Chapter5"/>
        <w:numPr>
          <w:ilvl w:val="0"/>
          <w:numId w:val="0"/>
        </w:numPr>
        <w:ind w:left="851" w:hanging="851"/>
      </w:pPr>
      <w:bookmarkStart w:id="122" w:name="_Toc443393763"/>
    </w:p>
    <w:p w:rsidR="0077285A" w:rsidRPr="00774A86" w:rsidRDefault="0077285A" w:rsidP="00D13759">
      <w:pPr>
        <w:pStyle w:val="Heading2"/>
      </w:pPr>
      <w:r w:rsidRPr="00774A86">
        <w:t xml:space="preserve">Using the </w:t>
      </w:r>
      <w:r w:rsidR="0030367F" w:rsidRPr="00774A86">
        <w:t>“</w:t>
      </w:r>
      <w:r w:rsidRPr="00774A86">
        <w:t>residence address</w:t>
      </w:r>
      <w:r w:rsidR="0030367F" w:rsidRPr="00774A86">
        <w:t>”</w:t>
      </w:r>
      <w:r w:rsidRPr="00774A86">
        <w:t xml:space="preserve"> test for </w:t>
      </w:r>
      <w:r w:rsidR="00FC1B31" w:rsidRPr="00774A86">
        <w:t>l</w:t>
      </w:r>
      <w:r w:rsidRPr="00774A86">
        <w:t xml:space="preserve">ower </w:t>
      </w:r>
      <w:r w:rsidR="00FC1B31" w:rsidRPr="00774A86">
        <w:t>v</w:t>
      </w:r>
      <w:r w:rsidRPr="00774A86">
        <w:t xml:space="preserve">alue </w:t>
      </w:r>
      <w:r w:rsidR="00FC1B31" w:rsidRPr="00774A86">
        <w:t>p</w:t>
      </w:r>
      <w:r w:rsidRPr="00774A86">
        <w:t>re</w:t>
      </w:r>
      <w:r w:rsidR="00522274" w:rsidRPr="00774A86">
        <w:t>-</w:t>
      </w:r>
      <w:r w:rsidRPr="00774A86">
        <w:t xml:space="preserve">existing </w:t>
      </w:r>
      <w:r w:rsidR="00FC1B31" w:rsidRPr="00774A86">
        <w:t>i</w:t>
      </w:r>
      <w:r w:rsidRPr="00774A86">
        <w:t xml:space="preserve">ndividual </w:t>
      </w:r>
      <w:r w:rsidR="00FC1B31" w:rsidRPr="00774A86">
        <w:t>a</w:t>
      </w:r>
      <w:r w:rsidRPr="00774A86">
        <w:t>ccounts</w:t>
      </w:r>
      <w:bookmarkEnd w:id="122"/>
    </w:p>
    <w:p w:rsidR="0077285A" w:rsidRPr="00774A86" w:rsidRDefault="0077285A" w:rsidP="00D13759">
      <w:pPr>
        <w:pStyle w:val="Chapter5"/>
        <w:numPr>
          <w:ilvl w:val="0"/>
          <w:numId w:val="0"/>
        </w:numPr>
        <w:ind w:left="851" w:hanging="851"/>
      </w:pPr>
    </w:p>
    <w:p w:rsidR="0077285A" w:rsidRPr="00774A86" w:rsidRDefault="0077285A" w:rsidP="00D13759">
      <w:pPr>
        <w:pStyle w:val="Chapter5"/>
      </w:pPr>
      <w:r w:rsidRPr="00774A86">
        <w:t xml:space="preserve">Should </w:t>
      </w:r>
      <w:r w:rsidR="00522274" w:rsidRPr="00774A86">
        <w:t>New Zealand</w:t>
      </w:r>
      <w:r w:rsidRPr="00774A86">
        <w:t xml:space="preserve"> </w:t>
      </w:r>
      <w:r w:rsidR="00895638" w:rsidRPr="00774A86">
        <w:t>r</w:t>
      </w:r>
      <w:r w:rsidRPr="00774A86">
        <w:t xml:space="preserve">eporting </w:t>
      </w:r>
      <w:r w:rsidR="00895638" w:rsidRPr="00774A86">
        <w:t>f</w:t>
      </w:r>
      <w:r w:rsidR="00991E68" w:rsidRPr="00774A86">
        <w:t>inancial institutions</w:t>
      </w:r>
      <w:r w:rsidRPr="00774A86">
        <w:t xml:space="preserve"> be able </w:t>
      </w:r>
      <w:r w:rsidR="001074DD" w:rsidRPr="00774A86">
        <w:t>to use</w:t>
      </w:r>
      <w:r w:rsidRPr="00774A86">
        <w:t xml:space="preserve"> the </w:t>
      </w:r>
      <w:r w:rsidR="0030367F" w:rsidRPr="00774A86">
        <w:t>“</w:t>
      </w:r>
      <w:r w:rsidRPr="00774A86">
        <w:t>residence address</w:t>
      </w:r>
      <w:r w:rsidR="0030367F" w:rsidRPr="00774A86">
        <w:t>”</w:t>
      </w:r>
      <w:r w:rsidRPr="00774A86">
        <w:t xml:space="preserve"> test (including the change in circumstance procedures) for </w:t>
      </w:r>
      <w:r w:rsidR="00895638" w:rsidRPr="00774A86">
        <w:t>l</w:t>
      </w:r>
      <w:r w:rsidRPr="00774A86">
        <w:t xml:space="preserve">ower </w:t>
      </w:r>
      <w:r w:rsidR="00895638" w:rsidRPr="00774A86">
        <w:t>v</w:t>
      </w:r>
      <w:r w:rsidRPr="00774A86">
        <w:t xml:space="preserve">alue </w:t>
      </w:r>
      <w:r w:rsidR="00895638" w:rsidRPr="00774A86">
        <w:t>p</w:t>
      </w:r>
      <w:r w:rsidRPr="00774A86">
        <w:t>re</w:t>
      </w:r>
      <w:r w:rsidR="00522274" w:rsidRPr="00774A86">
        <w:t>-</w:t>
      </w:r>
      <w:r w:rsidRPr="00774A86">
        <w:t xml:space="preserve">existing </w:t>
      </w:r>
      <w:r w:rsidR="00895638" w:rsidRPr="00774A86">
        <w:t>in</w:t>
      </w:r>
      <w:r w:rsidRPr="00774A86">
        <w:t xml:space="preserve">dividual </w:t>
      </w:r>
      <w:r w:rsidR="001074DD" w:rsidRPr="00774A86">
        <w:t>accounts to</w:t>
      </w:r>
      <w:r w:rsidRPr="00774A86">
        <w:t xml:space="preserve"> identify the tax residence of the </w:t>
      </w:r>
      <w:r w:rsidR="00895638" w:rsidRPr="00774A86">
        <w:t>a</w:t>
      </w:r>
      <w:r w:rsidRPr="00774A86">
        <w:t xml:space="preserve">ccount </w:t>
      </w:r>
      <w:r w:rsidR="00895638" w:rsidRPr="00774A86">
        <w:t>h</w:t>
      </w:r>
      <w:r w:rsidRPr="00774A86">
        <w:t xml:space="preserve">older (as an alternative to the </w:t>
      </w:r>
      <w:r w:rsidR="0030367F" w:rsidRPr="00774A86">
        <w:t>“</w:t>
      </w:r>
      <w:r w:rsidRPr="00774A86">
        <w:t>electronic records</w:t>
      </w:r>
      <w:r w:rsidR="0030367F" w:rsidRPr="00774A86">
        <w:t>”</w:t>
      </w:r>
      <w:r w:rsidRPr="00774A86">
        <w:t xml:space="preserve"> test)?</w:t>
      </w:r>
    </w:p>
    <w:p w:rsidR="008C74C6" w:rsidRPr="00774A86" w:rsidRDefault="008C74C6" w:rsidP="00D64344">
      <w:pPr>
        <w:pStyle w:val="Chapter5"/>
        <w:numPr>
          <w:ilvl w:val="0"/>
          <w:numId w:val="0"/>
        </w:numPr>
        <w:ind w:left="851" w:hanging="851"/>
      </w:pPr>
      <w:bookmarkStart w:id="123" w:name="_Toc443393764"/>
    </w:p>
    <w:p w:rsidR="0077285A" w:rsidRPr="00774A86" w:rsidRDefault="0030367F" w:rsidP="00D13759">
      <w:pPr>
        <w:pStyle w:val="Heading2"/>
      </w:pPr>
      <w:r w:rsidRPr="00774A86">
        <w:t>“</w:t>
      </w:r>
      <w:r w:rsidR="0077285A" w:rsidRPr="00774A86">
        <w:t xml:space="preserve">Related </w:t>
      </w:r>
      <w:r w:rsidR="00FC1B31" w:rsidRPr="00774A86">
        <w:t>e</w:t>
      </w:r>
      <w:r w:rsidR="0077285A" w:rsidRPr="00774A86">
        <w:t>ntity</w:t>
      </w:r>
      <w:r w:rsidRPr="00774A86">
        <w:t>”</w:t>
      </w:r>
      <w:r w:rsidR="0077285A" w:rsidRPr="00774A86">
        <w:t xml:space="preserve"> definition and related managed investment funds</w:t>
      </w:r>
      <w:bookmarkEnd w:id="123"/>
    </w:p>
    <w:p w:rsidR="0077285A" w:rsidRPr="00774A86" w:rsidRDefault="0077285A" w:rsidP="00D13759">
      <w:pPr>
        <w:pStyle w:val="Chapter5"/>
        <w:numPr>
          <w:ilvl w:val="0"/>
          <w:numId w:val="0"/>
        </w:numPr>
        <w:ind w:left="851" w:hanging="851"/>
      </w:pPr>
    </w:p>
    <w:p w:rsidR="0077285A" w:rsidRPr="00774A86" w:rsidRDefault="0077285A" w:rsidP="00D13759">
      <w:pPr>
        <w:pStyle w:val="Chapter5"/>
      </w:pPr>
      <w:r w:rsidRPr="00774A86">
        <w:t xml:space="preserve">Should an expanded definition of </w:t>
      </w:r>
      <w:r w:rsidR="0030367F" w:rsidRPr="00774A86">
        <w:t>“</w:t>
      </w:r>
      <w:r w:rsidRPr="00774A86">
        <w:t>related entity</w:t>
      </w:r>
      <w:r w:rsidR="0030367F" w:rsidRPr="00774A86">
        <w:t>”</w:t>
      </w:r>
      <w:r w:rsidRPr="00774A86">
        <w:t xml:space="preserve"> be introduced into domestic law for the purposes of CRS due diligence to include related managed investment funds?</w:t>
      </w:r>
    </w:p>
    <w:p w:rsidR="008C74C6" w:rsidRPr="00774A86" w:rsidRDefault="008C74C6" w:rsidP="00D64344">
      <w:pPr>
        <w:pStyle w:val="Chapter5"/>
        <w:numPr>
          <w:ilvl w:val="0"/>
          <w:numId w:val="0"/>
        </w:numPr>
        <w:ind w:left="851" w:hanging="851"/>
      </w:pPr>
      <w:bookmarkStart w:id="124" w:name="_Toc443393765"/>
    </w:p>
    <w:p w:rsidR="0077285A" w:rsidRPr="00774A86" w:rsidRDefault="0077285A" w:rsidP="00D13759">
      <w:pPr>
        <w:pStyle w:val="Heading2"/>
      </w:pPr>
      <w:r w:rsidRPr="00774A86">
        <w:t>Pre</w:t>
      </w:r>
      <w:r w:rsidR="00522274" w:rsidRPr="00774A86">
        <w:t>-</w:t>
      </w:r>
      <w:r w:rsidRPr="00774A86">
        <w:t xml:space="preserve">existing </w:t>
      </w:r>
      <w:r w:rsidR="00FC1B31" w:rsidRPr="00774A86">
        <w:t>e</w:t>
      </w:r>
      <w:r w:rsidRPr="00774A86">
        <w:t xml:space="preserve">ntity </w:t>
      </w:r>
      <w:r w:rsidR="00FC1B31" w:rsidRPr="00774A86">
        <w:t>a</w:t>
      </w:r>
      <w:r w:rsidRPr="00774A86">
        <w:t>ccounts’ threshold</w:t>
      </w:r>
      <w:bookmarkEnd w:id="124"/>
    </w:p>
    <w:p w:rsidR="0077285A" w:rsidRPr="00774A86" w:rsidRDefault="0077285A" w:rsidP="00D13759">
      <w:pPr>
        <w:pStyle w:val="Chapter5"/>
        <w:numPr>
          <w:ilvl w:val="0"/>
          <w:numId w:val="0"/>
        </w:numPr>
        <w:ind w:left="851" w:hanging="851"/>
      </w:pPr>
    </w:p>
    <w:p w:rsidR="0077285A" w:rsidRPr="00774A86" w:rsidRDefault="0077285A" w:rsidP="00D13759">
      <w:pPr>
        <w:pStyle w:val="Chapter5"/>
      </w:pPr>
      <w:r w:rsidRPr="00774A86">
        <w:t xml:space="preserve">Should </w:t>
      </w:r>
      <w:r w:rsidR="00522274" w:rsidRPr="00774A86">
        <w:t>New Zealand</w:t>
      </w:r>
      <w:r w:rsidRPr="00774A86">
        <w:t xml:space="preserve"> </w:t>
      </w:r>
      <w:r w:rsidR="00895638" w:rsidRPr="00774A86">
        <w:t>r</w:t>
      </w:r>
      <w:r w:rsidRPr="00774A86">
        <w:t xml:space="preserve">eporting </w:t>
      </w:r>
      <w:r w:rsidR="00895638" w:rsidRPr="00774A86">
        <w:t>f</w:t>
      </w:r>
      <w:r w:rsidR="00991E68" w:rsidRPr="00774A86">
        <w:t>inancial institutions</w:t>
      </w:r>
      <w:r w:rsidRPr="00774A86">
        <w:t xml:space="preserve"> have the option of excluding from due diligence procedures pre-existing </w:t>
      </w:r>
      <w:r w:rsidR="00895638" w:rsidRPr="00774A86">
        <w:t>e</w:t>
      </w:r>
      <w:r w:rsidRPr="00774A86">
        <w:t xml:space="preserve">ntity </w:t>
      </w:r>
      <w:r w:rsidR="00895638" w:rsidRPr="00774A86">
        <w:t>a</w:t>
      </w:r>
      <w:r w:rsidRPr="00774A86">
        <w:t xml:space="preserve">ccounts with an aggregate account balance or value of US </w:t>
      </w:r>
      <w:r w:rsidR="00774A86">
        <w:t>$</w:t>
      </w:r>
      <w:r w:rsidRPr="00774A86">
        <w:t>250,000 or less as at the relevant CRS date?</w:t>
      </w:r>
    </w:p>
    <w:p w:rsidR="008C74C6" w:rsidRPr="00774A86" w:rsidRDefault="008C74C6" w:rsidP="00D64344">
      <w:pPr>
        <w:pStyle w:val="Chapter5"/>
        <w:numPr>
          <w:ilvl w:val="0"/>
          <w:numId w:val="0"/>
        </w:numPr>
        <w:ind w:left="851" w:hanging="851"/>
      </w:pPr>
      <w:bookmarkStart w:id="125" w:name="_Toc443393766"/>
    </w:p>
    <w:p w:rsidR="0077285A" w:rsidRPr="00774A86" w:rsidRDefault="0077285A" w:rsidP="00D13759">
      <w:pPr>
        <w:pStyle w:val="Heading2"/>
      </w:pPr>
      <w:r w:rsidRPr="00774A86">
        <w:t>Alternative due diligence procedures</w:t>
      </w:r>
      <w:bookmarkEnd w:id="125"/>
    </w:p>
    <w:p w:rsidR="0077285A" w:rsidRPr="00774A86" w:rsidRDefault="0077285A" w:rsidP="00D13759">
      <w:pPr>
        <w:pStyle w:val="Chapter5"/>
        <w:numPr>
          <w:ilvl w:val="0"/>
          <w:numId w:val="0"/>
        </w:numPr>
        <w:ind w:left="851" w:hanging="851"/>
      </w:pPr>
    </w:p>
    <w:p w:rsidR="0077285A" w:rsidRPr="00774A86" w:rsidRDefault="0077285A" w:rsidP="00D13759">
      <w:pPr>
        <w:pStyle w:val="Chapter5"/>
      </w:pPr>
      <w:r w:rsidRPr="00774A86">
        <w:t xml:space="preserve">Should </w:t>
      </w:r>
      <w:r w:rsidR="00522274" w:rsidRPr="00774A86">
        <w:t>New Zealand</w:t>
      </w:r>
      <w:r w:rsidRPr="00774A86">
        <w:t xml:space="preserve"> </w:t>
      </w:r>
      <w:r w:rsidR="00895638" w:rsidRPr="00774A86">
        <w:t>r</w:t>
      </w:r>
      <w:r w:rsidRPr="00774A86">
        <w:t xml:space="preserve">eporting </w:t>
      </w:r>
      <w:r w:rsidR="00895638" w:rsidRPr="00774A86">
        <w:t>f</w:t>
      </w:r>
      <w:r w:rsidR="00991E68" w:rsidRPr="00774A86">
        <w:t>inancial institutions</w:t>
      </w:r>
      <w:r w:rsidRPr="00774A86">
        <w:t xml:space="preserve"> be able to apply the due diligence procedures for </w:t>
      </w:r>
      <w:r w:rsidR="00895638" w:rsidRPr="00774A86">
        <w:t>n</w:t>
      </w:r>
      <w:r w:rsidRPr="00774A86">
        <w:t xml:space="preserve">ew </w:t>
      </w:r>
      <w:r w:rsidR="00895638" w:rsidRPr="00774A86">
        <w:t>a</w:t>
      </w:r>
      <w:r w:rsidRPr="00774A86">
        <w:t xml:space="preserve">ccounts to </w:t>
      </w:r>
      <w:r w:rsidR="00895638" w:rsidRPr="00774A86">
        <w:t>p</w:t>
      </w:r>
      <w:r w:rsidRPr="00774A86">
        <w:t>re</w:t>
      </w:r>
      <w:r w:rsidR="00522274" w:rsidRPr="00774A86">
        <w:t>-</w:t>
      </w:r>
      <w:r w:rsidRPr="00774A86">
        <w:t xml:space="preserve">existing </w:t>
      </w:r>
      <w:r w:rsidR="00895638" w:rsidRPr="00774A86">
        <w:t>a</w:t>
      </w:r>
      <w:r w:rsidRPr="00774A86">
        <w:t xml:space="preserve">ccounts, and to apply the due diligence procedures for </w:t>
      </w:r>
      <w:r w:rsidR="00895638" w:rsidRPr="00774A86">
        <w:t>h</w:t>
      </w:r>
      <w:r w:rsidRPr="00774A86">
        <w:t xml:space="preserve">igh </w:t>
      </w:r>
      <w:r w:rsidR="00895638" w:rsidRPr="00774A86">
        <w:t>v</w:t>
      </w:r>
      <w:r w:rsidRPr="00774A86">
        <w:t xml:space="preserve">alue </w:t>
      </w:r>
      <w:r w:rsidR="00895638" w:rsidRPr="00774A86">
        <w:t>p</w:t>
      </w:r>
      <w:r w:rsidRPr="00774A86">
        <w:t>re</w:t>
      </w:r>
      <w:r w:rsidR="00522274" w:rsidRPr="00774A86">
        <w:t>-</w:t>
      </w:r>
      <w:r w:rsidRPr="00774A86">
        <w:t xml:space="preserve">existing </w:t>
      </w:r>
      <w:r w:rsidR="00AF1873" w:rsidRPr="00774A86">
        <w:t xml:space="preserve">individual accounts </w:t>
      </w:r>
      <w:r w:rsidRPr="00774A86">
        <w:t xml:space="preserve">to </w:t>
      </w:r>
      <w:r w:rsidR="00895638" w:rsidRPr="00774A86">
        <w:t>l</w:t>
      </w:r>
      <w:r w:rsidRPr="00774A86">
        <w:t xml:space="preserve">ower </w:t>
      </w:r>
      <w:r w:rsidR="00895638" w:rsidRPr="00774A86">
        <w:t>v</w:t>
      </w:r>
      <w:r w:rsidRPr="00774A86">
        <w:t xml:space="preserve">alue </w:t>
      </w:r>
      <w:r w:rsidR="00895638" w:rsidRPr="00774A86">
        <w:t>p</w:t>
      </w:r>
      <w:r w:rsidRPr="00774A86">
        <w:t>re</w:t>
      </w:r>
      <w:r w:rsidR="00522274" w:rsidRPr="00774A86">
        <w:t>-</w:t>
      </w:r>
      <w:r w:rsidRPr="00774A86">
        <w:t xml:space="preserve">existing </w:t>
      </w:r>
      <w:r w:rsidR="00895638" w:rsidRPr="00774A86">
        <w:t>i</w:t>
      </w:r>
      <w:r w:rsidRPr="00774A86">
        <w:t xml:space="preserve">ndividual </w:t>
      </w:r>
      <w:r w:rsidR="00895638" w:rsidRPr="00774A86">
        <w:t>a</w:t>
      </w:r>
      <w:r w:rsidRPr="00774A86">
        <w:t>ccounts?</w:t>
      </w:r>
    </w:p>
    <w:p w:rsidR="008C74C6" w:rsidRPr="00774A86" w:rsidRDefault="008C74C6" w:rsidP="00D64344">
      <w:pPr>
        <w:pStyle w:val="Chapter5"/>
        <w:numPr>
          <w:ilvl w:val="0"/>
          <w:numId w:val="0"/>
        </w:numPr>
        <w:ind w:left="851" w:hanging="851"/>
      </w:pPr>
      <w:bookmarkStart w:id="126" w:name="_Toc443393767"/>
    </w:p>
    <w:p w:rsidR="0077285A" w:rsidRPr="00774A86" w:rsidRDefault="0077285A" w:rsidP="00D13759">
      <w:pPr>
        <w:pStyle w:val="Heading2"/>
      </w:pPr>
      <w:r w:rsidRPr="00774A86">
        <w:t xml:space="preserve">New </w:t>
      </w:r>
      <w:r w:rsidR="00FC1B31" w:rsidRPr="00774A86">
        <w:t>a</w:t>
      </w:r>
      <w:r w:rsidRPr="00774A86">
        <w:t>ccounts opened by pre</w:t>
      </w:r>
      <w:r w:rsidR="00522274" w:rsidRPr="00774A86">
        <w:t>-</w:t>
      </w:r>
      <w:r w:rsidRPr="00774A86">
        <w:t>existing customers</w:t>
      </w:r>
      <w:bookmarkEnd w:id="126"/>
    </w:p>
    <w:p w:rsidR="0077285A" w:rsidRPr="00774A86" w:rsidRDefault="0077285A" w:rsidP="00D13759">
      <w:pPr>
        <w:pStyle w:val="Chapter5"/>
        <w:numPr>
          <w:ilvl w:val="0"/>
          <w:numId w:val="0"/>
        </w:numPr>
        <w:ind w:left="851" w:hanging="851"/>
      </w:pPr>
    </w:p>
    <w:p w:rsidR="0077285A" w:rsidRPr="00774A86" w:rsidRDefault="0077285A" w:rsidP="00D13759">
      <w:pPr>
        <w:pStyle w:val="Chapter5"/>
      </w:pPr>
      <w:r w:rsidRPr="00774A86">
        <w:t xml:space="preserve">Should the CRS definition of </w:t>
      </w:r>
      <w:r w:rsidR="0030367F" w:rsidRPr="00774A86">
        <w:t>“</w:t>
      </w:r>
      <w:r w:rsidR="00895638" w:rsidRPr="00774A86">
        <w:t>p</w:t>
      </w:r>
      <w:r w:rsidRPr="00774A86">
        <w:t>re</w:t>
      </w:r>
      <w:r w:rsidR="00522274" w:rsidRPr="00774A86">
        <w:t>-</w:t>
      </w:r>
      <w:r w:rsidRPr="00774A86">
        <w:t xml:space="preserve">existing </w:t>
      </w:r>
      <w:r w:rsidR="00895638" w:rsidRPr="00774A86">
        <w:t>a</w:t>
      </w:r>
      <w:r w:rsidRPr="00774A86">
        <w:t>ccount</w:t>
      </w:r>
      <w:r w:rsidR="0030367F" w:rsidRPr="00774A86">
        <w:t>”</w:t>
      </w:r>
      <w:r w:rsidRPr="00774A86">
        <w:t xml:space="preserve"> be expanded to include an additional account opened by a </w:t>
      </w:r>
      <w:r w:rsidR="00895638" w:rsidRPr="00774A86">
        <w:t>p</w:t>
      </w:r>
      <w:r w:rsidRPr="00774A86">
        <w:t>re</w:t>
      </w:r>
      <w:r w:rsidR="00522274" w:rsidRPr="00774A86">
        <w:t>-</w:t>
      </w:r>
      <w:r w:rsidRPr="00774A86">
        <w:t xml:space="preserve">existing customer (in the circumstances set out in the CRS </w:t>
      </w:r>
      <w:r w:rsidR="004D6202" w:rsidRPr="00774A86">
        <w:t>Commentaries</w:t>
      </w:r>
      <w:r w:rsidRPr="00774A86">
        <w:t>)?</w:t>
      </w:r>
    </w:p>
    <w:p w:rsidR="008C74C6" w:rsidRPr="00774A86" w:rsidRDefault="008C74C6" w:rsidP="00D64344">
      <w:pPr>
        <w:pStyle w:val="Chapter5"/>
        <w:numPr>
          <w:ilvl w:val="0"/>
          <w:numId w:val="0"/>
        </w:numPr>
        <w:ind w:left="851" w:hanging="851"/>
      </w:pPr>
      <w:bookmarkStart w:id="127" w:name="_Toc443393768"/>
    </w:p>
    <w:p w:rsidR="0077285A" w:rsidRPr="00774A86" w:rsidRDefault="0077285A" w:rsidP="00D13759">
      <w:pPr>
        <w:pStyle w:val="Heading2"/>
      </w:pPr>
      <w:r w:rsidRPr="00774A86">
        <w:t xml:space="preserve">Group </w:t>
      </w:r>
      <w:r w:rsidR="00FC1B31" w:rsidRPr="00774A86">
        <w:t>c</w:t>
      </w:r>
      <w:r w:rsidRPr="00774A86">
        <w:t xml:space="preserve">ash </w:t>
      </w:r>
      <w:r w:rsidR="00FC1B31" w:rsidRPr="00774A86">
        <w:t>v</w:t>
      </w:r>
      <w:r w:rsidRPr="00774A86">
        <w:t xml:space="preserve">alue </w:t>
      </w:r>
      <w:r w:rsidR="00FC1B31" w:rsidRPr="00774A86">
        <w:t>i</w:t>
      </w:r>
      <w:r w:rsidRPr="00774A86">
        <w:t xml:space="preserve">nsurance </w:t>
      </w:r>
      <w:r w:rsidR="00FC1B31" w:rsidRPr="00774A86">
        <w:t>c</w:t>
      </w:r>
      <w:r w:rsidRPr="00774A86">
        <w:t xml:space="preserve">ontracts or </w:t>
      </w:r>
      <w:r w:rsidR="00FC1B31" w:rsidRPr="00774A86">
        <w:t>a</w:t>
      </w:r>
      <w:r w:rsidRPr="00774A86">
        <w:t xml:space="preserve">nnuity </w:t>
      </w:r>
      <w:r w:rsidR="00FC1B31" w:rsidRPr="00774A86">
        <w:t>c</w:t>
      </w:r>
      <w:r w:rsidRPr="00774A86">
        <w:t>ontracts</w:t>
      </w:r>
      <w:bookmarkEnd w:id="127"/>
    </w:p>
    <w:p w:rsidR="0077285A" w:rsidRPr="00774A86" w:rsidRDefault="0077285A" w:rsidP="00D13759">
      <w:pPr>
        <w:pStyle w:val="Chapter5"/>
        <w:numPr>
          <w:ilvl w:val="0"/>
          <w:numId w:val="0"/>
        </w:numPr>
        <w:ind w:left="851" w:hanging="851"/>
      </w:pPr>
    </w:p>
    <w:p w:rsidR="0077285A" w:rsidRPr="00774A86" w:rsidRDefault="0077285A" w:rsidP="00D13759">
      <w:pPr>
        <w:pStyle w:val="Chapter5"/>
      </w:pPr>
      <w:r w:rsidRPr="00774A86">
        <w:rPr>
          <w:rStyle w:val="Chapter5Char"/>
        </w:rPr>
        <w:t>S</w:t>
      </w:r>
      <w:r w:rsidRPr="00774A86">
        <w:t xml:space="preserve">hould </w:t>
      </w:r>
      <w:r w:rsidR="00522274" w:rsidRPr="00774A86">
        <w:t>New Zealand</w:t>
      </w:r>
      <w:r w:rsidRPr="00774A86">
        <w:t xml:space="preserve"> </w:t>
      </w:r>
      <w:r w:rsidR="00895638" w:rsidRPr="00774A86">
        <w:t>r</w:t>
      </w:r>
      <w:r w:rsidRPr="00774A86">
        <w:t xml:space="preserve">eporting </w:t>
      </w:r>
      <w:r w:rsidR="00895638" w:rsidRPr="00774A86">
        <w:t>f</w:t>
      </w:r>
      <w:r w:rsidR="00991E68" w:rsidRPr="00774A86">
        <w:t>inancial institutions</w:t>
      </w:r>
      <w:r w:rsidRPr="00774A86">
        <w:t xml:space="preserve"> be able to treat a group cash value insurance contract or annuity contract that is issued to an employer and individual employees as a </w:t>
      </w:r>
      <w:r w:rsidR="00895638" w:rsidRPr="00774A86">
        <w:t>f</w:t>
      </w:r>
      <w:r w:rsidRPr="00774A86">
        <w:t xml:space="preserve">inancial </w:t>
      </w:r>
      <w:r w:rsidR="00895638" w:rsidRPr="00774A86">
        <w:t>a</w:t>
      </w:r>
      <w:r w:rsidRPr="00774A86">
        <w:t xml:space="preserve">ccount that is not a </w:t>
      </w:r>
      <w:r w:rsidR="00895638" w:rsidRPr="00774A86">
        <w:t>r</w:t>
      </w:r>
      <w:r w:rsidRPr="00774A86">
        <w:t xml:space="preserve">eportable </w:t>
      </w:r>
      <w:r w:rsidR="00895638" w:rsidRPr="00774A86">
        <w:t>a</w:t>
      </w:r>
      <w:r w:rsidRPr="00774A86">
        <w:t>ccount until the date on which an amount is payable to an employee or certificate holder or beneficiary?</w:t>
      </w:r>
    </w:p>
    <w:p w:rsidR="008C74C6" w:rsidRPr="00774A86" w:rsidRDefault="008C74C6" w:rsidP="00D64344">
      <w:pPr>
        <w:pStyle w:val="Chapter5"/>
        <w:numPr>
          <w:ilvl w:val="0"/>
          <w:numId w:val="0"/>
        </w:numPr>
        <w:ind w:left="851" w:hanging="851"/>
      </w:pPr>
      <w:bookmarkStart w:id="128" w:name="_Toc443393769"/>
    </w:p>
    <w:p w:rsidR="0077285A" w:rsidRPr="00774A86" w:rsidRDefault="0077285A" w:rsidP="00D13759">
      <w:pPr>
        <w:pStyle w:val="Heading2"/>
      </w:pPr>
      <w:r w:rsidRPr="00774A86">
        <w:t xml:space="preserve">Custodial </w:t>
      </w:r>
      <w:r w:rsidR="00FC1B31" w:rsidRPr="00774A86">
        <w:t>a</w:t>
      </w:r>
      <w:r w:rsidRPr="00774A86">
        <w:t xml:space="preserve">ccounts – reporting of </w:t>
      </w:r>
      <w:r w:rsidR="0030367F" w:rsidRPr="00774A86">
        <w:t>“</w:t>
      </w:r>
      <w:r w:rsidRPr="00774A86">
        <w:t>gross proceeds</w:t>
      </w:r>
      <w:r w:rsidR="0030367F" w:rsidRPr="00774A86">
        <w:t>”</w:t>
      </w:r>
      <w:bookmarkEnd w:id="128"/>
    </w:p>
    <w:p w:rsidR="0077285A" w:rsidRPr="00774A86" w:rsidRDefault="0077285A" w:rsidP="00D13759">
      <w:pPr>
        <w:pStyle w:val="Chapter5"/>
        <w:numPr>
          <w:ilvl w:val="0"/>
          <w:numId w:val="0"/>
        </w:numPr>
        <w:ind w:left="851" w:hanging="851"/>
      </w:pPr>
    </w:p>
    <w:p w:rsidR="0077285A" w:rsidRPr="00774A86" w:rsidRDefault="0077285A" w:rsidP="00D13759">
      <w:pPr>
        <w:pStyle w:val="Chapter5"/>
      </w:pPr>
      <w:r w:rsidRPr="00774A86">
        <w:t xml:space="preserve">Should there be a phased implementation of the reporting of </w:t>
      </w:r>
      <w:r w:rsidR="0030367F" w:rsidRPr="00774A86">
        <w:t>“</w:t>
      </w:r>
      <w:r w:rsidRPr="00774A86">
        <w:t>gross proceeds</w:t>
      </w:r>
      <w:r w:rsidR="0030367F" w:rsidRPr="00774A86">
        <w:t>”</w:t>
      </w:r>
      <w:r w:rsidRPr="00774A86">
        <w:t xml:space="preserve"> of </w:t>
      </w:r>
      <w:r w:rsidR="00895638" w:rsidRPr="00774A86">
        <w:t>c</w:t>
      </w:r>
      <w:r w:rsidRPr="00774A86">
        <w:t xml:space="preserve">ustodial </w:t>
      </w:r>
      <w:r w:rsidR="00895638" w:rsidRPr="00774A86">
        <w:t>r</w:t>
      </w:r>
      <w:r w:rsidR="00EE5866" w:rsidRPr="00774A86">
        <w:t>eportable accounts</w:t>
      </w:r>
      <w:r w:rsidRPr="00774A86">
        <w:t>?</w:t>
      </w:r>
    </w:p>
    <w:p w:rsidR="008C74C6" w:rsidRPr="00774A86" w:rsidRDefault="008C74C6" w:rsidP="00D64344">
      <w:pPr>
        <w:pStyle w:val="Chapter5"/>
        <w:numPr>
          <w:ilvl w:val="0"/>
          <w:numId w:val="0"/>
        </w:numPr>
        <w:ind w:left="851" w:hanging="851"/>
      </w:pPr>
      <w:bookmarkStart w:id="129" w:name="_Toc443393770"/>
    </w:p>
    <w:p w:rsidR="0051122F" w:rsidRPr="00774A86" w:rsidRDefault="0051122F">
      <w:pPr>
        <w:jc w:val="left"/>
        <w:rPr>
          <w:b/>
          <w:i/>
          <w:szCs w:val="24"/>
        </w:rPr>
      </w:pPr>
      <w:r w:rsidRPr="00774A86">
        <w:br w:type="page"/>
      </w:r>
    </w:p>
    <w:p w:rsidR="0077285A" w:rsidRPr="00774A86" w:rsidRDefault="0077285A" w:rsidP="00D13759">
      <w:pPr>
        <w:pStyle w:val="Heading2"/>
      </w:pPr>
      <w:r w:rsidRPr="00774A86">
        <w:lastRenderedPageBreak/>
        <w:t xml:space="preserve">Trust beneficiaries as </w:t>
      </w:r>
      <w:r w:rsidR="00FC1B31" w:rsidRPr="00774A86">
        <w:t>c</w:t>
      </w:r>
      <w:r w:rsidRPr="00774A86">
        <w:t xml:space="preserve">ontrolling </w:t>
      </w:r>
      <w:r w:rsidR="00FC1B31" w:rsidRPr="00774A86">
        <w:t>p</w:t>
      </w:r>
      <w:r w:rsidRPr="00774A86">
        <w:t xml:space="preserve">ersons of </w:t>
      </w:r>
      <w:r w:rsidR="00FC1B31" w:rsidRPr="00774A86">
        <w:t>p</w:t>
      </w:r>
      <w:r w:rsidRPr="00774A86">
        <w:t>assive NFEs</w:t>
      </w:r>
      <w:bookmarkEnd w:id="129"/>
    </w:p>
    <w:p w:rsidR="0077285A" w:rsidRPr="00774A86" w:rsidRDefault="0077285A" w:rsidP="00D13759">
      <w:pPr>
        <w:pStyle w:val="Chapter5"/>
        <w:numPr>
          <w:ilvl w:val="0"/>
          <w:numId w:val="0"/>
        </w:numPr>
        <w:ind w:left="851" w:hanging="851"/>
      </w:pPr>
    </w:p>
    <w:p w:rsidR="0077285A" w:rsidRPr="00774A86" w:rsidRDefault="0077285A" w:rsidP="00D13759">
      <w:pPr>
        <w:pStyle w:val="Chapter5"/>
      </w:pPr>
      <w:r w:rsidRPr="00774A86">
        <w:t xml:space="preserve">Should </w:t>
      </w:r>
      <w:r w:rsidR="00522274" w:rsidRPr="00774A86">
        <w:t>New Zealand</w:t>
      </w:r>
      <w:r w:rsidRPr="00774A86">
        <w:t xml:space="preserve"> </w:t>
      </w:r>
      <w:r w:rsidR="00895638" w:rsidRPr="00774A86">
        <w:t>r</w:t>
      </w:r>
      <w:r w:rsidRPr="00774A86">
        <w:t xml:space="preserve">eporting </w:t>
      </w:r>
      <w:r w:rsidR="00895638" w:rsidRPr="00774A86">
        <w:t>f</w:t>
      </w:r>
      <w:r w:rsidR="00991E68" w:rsidRPr="00774A86">
        <w:t>inancial institutions</w:t>
      </w:r>
      <w:r w:rsidRPr="00774A86">
        <w:t xml:space="preserve"> be allowed to align the scope of the </w:t>
      </w:r>
      <w:r w:rsidR="001074DD" w:rsidRPr="00774A86">
        <w:t>beneficiaries</w:t>
      </w:r>
      <w:r w:rsidRPr="00774A86">
        <w:t xml:space="preserve"> of a trust treated as </w:t>
      </w:r>
      <w:r w:rsidR="00895638" w:rsidRPr="00774A86">
        <w:t>c</w:t>
      </w:r>
      <w:r w:rsidRPr="00774A86">
        <w:t xml:space="preserve">ontrolling </w:t>
      </w:r>
      <w:r w:rsidR="00895638" w:rsidRPr="00774A86">
        <w:t>p</w:t>
      </w:r>
      <w:r w:rsidRPr="00774A86">
        <w:t xml:space="preserve">ersons of the trust with the scope of the beneficiaries of a trust treated as </w:t>
      </w:r>
      <w:r w:rsidR="00895638" w:rsidRPr="00774A86">
        <w:t>r</w:t>
      </w:r>
      <w:r w:rsidRPr="00774A86">
        <w:t xml:space="preserve">eportable </w:t>
      </w:r>
      <w:r w:rsidR="00895638" w:rsidRPr="00774A86">
        <w:t>p</w:t>
      </w:r>
      <w:r w:rsidRPr="00774A86">
        <w:t xml:space="preserve">ersons of a trust that is a </w:t>
      </w:r>
      <w:r w:rsidR="00895638" w:rsidRPr="00774A86">
        <w:t>f</w:t>
      </w:r>
      <w:r w:rsidRPr="00774A86">
        <w:t xml:space="preserve">inancial </w:t>
      </w:r>
      <w:r w:rsidR="00895638" w:rsidRPr="00774A86">
        <w:t>i</w:t>
      </w:r>
      <w:r w:rsidRPr="00774A86">
        <w:t>nstitution?</w:t>
      </w:r>
    </w:p>
    <w:p w:rsidR="008C74C6" w:rsidRPr="00774A86" w:rsidRDefault="008C74C6" w:rsidP="00D64344">
      <w:pPr>
        <w:pStyle w:val="Chapter5"/>
        <w:numPr>
          <w:ilvl w:val="0"/>
          <w:numId w:val="0"/>
        </w:numPr>
        <w:ind w:left="851" w:hanging="851"/>
      </w:pPr>
      <w:bookmarkStart w:id="130" w:name="_Toc443393771"/>
    </w:p>
    <w:p w:rsidR="0077285A" w:rsidRPr="00774A86" w:rsidRDefault="00AE5B35" w:rsidP="00D13759">
      <w:pPr>
        <w:pStyle w:val="Heading2"/>
      </w:pPr>
      <w:proofErr w:type="spellStart"/>
      <w:r w:rsidRPr="00774A86">
        <w:t>Grandparenting</w:t>
      </w:r>
      <w:proofErr w:type="spellEnd"/>
      <w:r w:rsidR="0077285A" w:rsidRPr="00774A86">
        <w:t xml:space="preserve"> rule for certain bearer shares for regulated collective investment vehicles</w:t>
      </w:r>
      <w:bookmarkEnd w:id="130"/>
    </w:p>
    <w:p w:rsidR="0077285A" w:rsidRPr="00774A86" w:rsidRDefault="0077285A" w:rsidP="00D13759">
      <w:pPr>
        <w:pStyle w:val="Chapter5"/>
        <w:numPr>
          <w:ilvl w:val="0"/>
          <w:numId w:val="0"/>
        </w:numPr>
        <w:ind w:left="851" w:hanging="851"/>
      </w:pPr>
      <w:bookmarkStart w:id="131" w:name="_Toc441680443"/>
    </w:p>
    <w:p w:rsidR="0077285A" w:rsidRPr="00774A86" w:rsidRDefault="0077285A" w:rsidP="00D13759">
      <w:pPr>
        <w:pStyle w:val="Chapter5"/>
      </w:pPr>
      <w:r w:rsidRPr="00774A86">
        <w:t xml:space="preserve">What are the dates that should be used in the </w:t>
      </w:r>
      <w:proofErr w:type="spellStart"/>
      <w:r w:rsidR="00AE5B35" w:rsidRPr="00774A86">
        <w:t>grandparenting</w:t>
      </w:r>
      <w:proofErr w:type="spellEnd"/>
      <w:r w:rsidR="00AE5B35" w:rsidRPr="00774A86">
        <w:t xml:space="preserve"> </w:t>
      </w:r>
      <w:r w:rsidRPr="00774A86">
        <w:t>rule for certain bearer shares (set out in CRS VIII.B(9)) regarding the non-issuing of bearer shares and ensuring that such shares are redeemed or immobilised?</w:t>
      </w:r>
    </w:p>
    <w:p w:rsidR="008C74C6" w:rsidRPr="00774A86" w:rsidRDefault="008C74C6" w:rsidP="00D64344">
      <w:pPr>
        <w:pStyle w:val="Chapter5"/>
        <w:numPr>
          <w:ilvl w:val="0"/>
          <w:numId w:val="0"/>
        </w:numPr>
        <w:ind w:left="851" w:hanging="851"/>
      </w:pPr>
      <w:bookmarkStart w:id="132" w:name="V"/>
      <w:bookmarkEnd w:id="131"/>
      <w:bookmarkEnd w:id="132"/>
    </w:p>
    <w:p w:rsidR="008C74C6" w:rsidRPr="00774A86" w:rsidRDefault="008C74C6" w:rsidP="00D64344">
      <w:pPr>
        <w:pStyle w:val="Chapter5"/>
        <w:numPr>
          <w:ilvl w:val="0"/>
          <w:numId w:val="0"/>
        </w:numPr>
        <w:ind w:left="851" w:hanging="851"/>
      </w:pPr>
    </w:p>
    <w:p w:rsidR="0077285A" w:rsidRPr="00774A86" w:rsidRDefault="0077285A" w:rsidP="006210A3">
      <w:pPr>
        <w:pStyle w:val="Heading1"/>
        <w:jc w:val="both"/>
      </w:pPr>
      <w:bookmarkStart w:id="133" w:name="_Toc443470090"/>
      <w:r w:rsidRPr="00774A86">
        <w:t>Part B – Background context to the consultation questions</w:t>
      </w:r>
      <w:bookmarkEnd w:id="133"/>
    </w:p>
    <w:p w:rsidR="008C74C6" w:rsidRPr="00774A86" w:rsidRDefault="008C74C6" w:rsidP="00D64344">
      <w:pPr>
        <w:pStyle w:val="Chapter5"/>
        <w:numPr>
          <w:ilvl w:val="0"/>
          <w:numId w:val="0"/>
        </w:numPr>
        <w:ind w:left="851" w:hanging="851"/>
      </w:pPr>
      <w:bookmarkStart w:id="134" w:name="_Toc441680444"/>
      <w:bookmarkStart w:id="135" w:name="_Toc443393773"/>
    </w:p>
    <w:p w:rsidR="0077285A" w:rsidRPr="00774A86" w:rsidRDefault="0077285A" w:rsidP="00D13759">
      <w:pPr>
        <w:pStyle w:val="Heading2"/>
      </w:pPr>
      <w:r w:rsidRPr="00774A86">
        <w:t xml:space="preserve">Defining the CRS </w:t>
      </w:r>
      <w:r w:rsidR="0030367F" w:rsidRPr="00774A86">
        <w:t>“</w:t>
      </w:r>
      <w:r w:rsidRPr="00774A86">
        <w:t>reporting period</w:t>
      </w:r>
      <w:bookmarkEnd w:id="134"/>
      <w:r w:rsidR="0030367F" w:rsidRPr="00774A86">
        <w:t>”</w:t>
      </w:r>
      <w:bookmarkEnd w:id="135"/>
    </w:p>
    <w:p w:rsidR="0077285A" w:rsidRPr="00774A86" w:rsidRDefault="0077285A" w:rsidP="00D13759">
      <w:pPr>
        <w:pStyle w:val="Chapter5"/>
        <w:numPr>
          <w:ilvl w:val="0"/>
          <w:numId w:val="0"/>
        </w:numPr>
        <w:ind w:left="851" w:hanging="851"/>
      </w:pPr>
    </w:p>
    <w:p w:rsidR="0077285A" w:rsidRPr="00774A86" w:rsidRDefault="0077285A" w:rsidP="00D13759">
      <w:pPr>
        <w:pStyle w:val="Chapter5"/>
      </w:pPr>
      <w:r w:rsidRPr="00774A86">
        <w:t xml:space="preserve">The information that </w:t>
      </w:r>
      <w:r w:rsidR="00895638" w:rsidRPr="00774A86">
        <w:t>r</w:t>
      </w:r>
      <w:r w:rsidRPr="00774A86">
        <w:t xml:space="preserve">eporting </w:t>
      </w:r>
      <w:r w:rsidR="00895638" w:rsidRPr="00774A86">
        <w:t>f</w:t>
      </w:r>
      <w:r w:rsidR="00991E68" w:rsidRPr="00774A86">
        <w:t>inancial institutions</w:t>
      </w:r>
      <w:r w:rsidRPr="00774A86">
        <w:t xml:space="preserve"> need to report annually under the CRS must be as of the end of the relevant calendar year, or other </w:t>
      </w:r>
      <w:r w:rsidR="0030367F" w:rsidRPr="00774A86">
        <w:t>“</w:t>
      </w:r>
      <w:r w:rsidRPr="00774A86">
        <w:t>appropriate reporting period</w:t>
      </w:r>
      <w:r w:rsidR="0030367F" w:rsidRPr="00774A86">
        <w:t>”</w:t>
      </w:r>
      <w:r w:rsidRPr="00774A86">
        <w:t xml:space="preserve">, depending on the meaning of that the term under each </w:t>
      </w:r>
      <w:r w:rsidR="00895638" w:rsidRPr="00774A86">
        <w:t>p</w:t>
      </w:r>
      <w:r w:rsidR="00991E68" w:rsidRPr="00774A86">
        <w:t>articipating jurisdiction</w:t>
      </w:r>
      <w:r w:rsidRPr="00774A86">
        <w:t>’s reporting rules (</w:t>
      </w:r>
      <w:r w:rsidR="00472CC4" w:rsidRPr="00774A86">
        <w:t>for example,</w:t>
      </w:r>
      <w:r w:rsidRPr="00774A86">
        <w:t xml:space="preserve"> alternatives include: tax year, fiscal year, </w:t>
      </w:r>
      <w:proofErr w:type="spellStart"/>
      <w:r w:rsidRPr="00774A86">
        <w:t>etc</w:t>
      </w:r>
      <w:proofErr w:type="spellEnd"/>
      <w:r w:rsidRPr="00774A86">
        <w:t>).</w:t>
      </w:r>
      <w:r w:rsidRPr="00774A86">
        <w:rPr>
          <w:sz w:val="22"/>
          <w:szCs w:val="22"/>
          <w:vertAlign w:val="superscript"/>
        </w:rPr>
        <w:footnoteReference w:id="39"/>
      </w:r>
    </w:p>
    <w:p w:rsidR="008C74C6" w:rsidRPr="00774A86" w:rsidRDefault="008C74C6" w:rsidP="00D64344">
      <w:pPr>
        <w:pStyle w:val="Chapter5"/>
        <w:numPr>
          <w:ilvl w:val="0"/>
          <w:numId w:val="0"/>
        </w:numPr>
        <w:ind w:left="851" w:hanging="851"/>
      </w:pPr>
      <w:bookmarkStart w:id="136" w:name="_Toc441680446"/>
      <w:bookmarkStart w:id="137" w:name="_Toc443393774"/>
    </w:p>
    <w:p w:rsidR="0077285A" w:rsidRPr="00774A86" w:rsidRDefault="0077285A" w:rsidP="00D13759">
      <w:pPr>
        <w:pStyle w:val="Heading2"/>
      </w:pPr>
      <w:r w:rsidRPr="00774A86">
        <w:t>Nil returns</w:t>
      </w:r>
      <w:bookmarkEnd w:id="136"/>
      <w:bookmarkEnd w:id="137"/>
    </w:p>
    <w:p w:rsidR="0077285A" w:rsidRPr="00774A86" w:rsidRDefault="0077285A" w:rsidP="00D13759">
      <w:pPr>
        <w:pStyle w:val="Chapter5"/>
        <w:numPr>
          <w:ilvl w:val="0"/>
          <w:numId w:val="0"/>
        </w:numPr>
        <w:ind w:left="851" w:hanging="851"/>
      </w:pPr>
    </w:p>
    <w:p w:rsidR="0077285A" w:rsidRPr="00774A86" w:rsidRDefault="0077285A" w:rsidP="00D13759">
      <w:pPr>
        <w:pStyle w:val="Chapter5"/>
      </w:pPr>
      <w:r w:rsidRPr="00774A86">
        <w:t xml:space="preserve">The CRS leaves it optional whether a </w:t>
      </w:r>
      <w:r w:rsidR="00895638" w:rsidRPr="00774A86">
        <w:t>p</w:t>
      </w:r>
      <w:r w:rsidR="00991E68" w:rsidRPr="00774A86">
        <w:t>articipating jurisdiction</w:t>
      </w:r>
      <w:r w:rsidRPr="00774A86">
        <w:t xml:space="preserve"> </w:t>
      </w:r>
      <w:r w:rsidR="00BD7572" w:rsidRPr="00774A86">
        <w:t xml:space="preserve">allows a </w:t>
      </w:r>
      <w:r w:rsidR="00895638" w:rsidRPr="00774A86">
        <w:t>r</w:t>
      </w:r>
      <w:r w:rsidR="00BD7572" w:rsidRPr="00774A86">
        <w:t xml:space="preserve">eporting </w:t>
      </w:r>
      <w:r w:rsidR="00895638" w:rsidRPr="00774A86">
        <w:t>f</w:t>
      </w:r>
      <w:r w:rsidR="00BD7572" w:rsidRPr="00774A86">
        <w:t xml:space="preserve">inancial </w:t>
      </w:r>
      <w:r w:rsidR="00895638" w:rsidRPr="00774A86">
        <w:t>i</w:t>
      </w:r>
      <w:r w:rsidR="00BD7572" w:rsidRPr="00774A86">
        <w:t xml:space="preserve">nstitution to </w:t>
      </w:r>
      <w:r w:rsidRPr="00774A86">
        <w:t xml:space="preserve">file nil returns (when the </w:t>
      </w:r>
      <w:r w:rsidR="00895638" w:rsidRPr="00774A86">
        <w:t>f</w:t>
      </w:r>
      <w:r w:rsidRPr="00774A86">
        <w:t xml:space="preserve">inancial </w:t>
      </w:r>
      <w:r w:rsidR="00895638" w:rsidRPr="00774A86">
        <w:t>i</w:t>
      </w:r>
      <w:r w:rsidRPr="00774A86">
        <w:t xml:space="preserve">nstitution has no </w:t>
      </w:r>
      <w:r w:rsidR="00895638" w:rsidRPr="00774A86">
        <w:t>r</w:t>
      </w:r>
      <w:r w:rsidR="00EE5866" w:rsidRPr="00774A86">
        <w:t>eportable accounts</w:t>
      </w:r>
      <w:r w:rsidRPr="00774A86">
        <w:t xml:space="preserve"> or </w:t>
      </w:r>
      <w:r w:rsidR="00EE5866" w:rsidRPr="00774A86">
        <w:t>undocumented accounts</w:t>
      </w:r>
      <w:r w:rsidRPr="00774A86">
        <w:t xml:space="preserve"> to report for CRS purposes).</w:t>
      </w:r>
      <w:r w:rsidRPr="00774A86">
        <w:rPr>
          <w:sz w:val="22"/>
          <w:szCs w:val="22"/>
          <w:vertAlign w:val="superscript"/>
        </w:rPr>
        <w:footnoteReference w:id="40"/>
      </w:r>
    </w:p>
    <w:p w:rsidR="008C74C6" w:rsidRPr="00774A86" w:rsidRDefault="008C74C6" w:rsidP="00D64344">
      <w:pPr>
        <w:pStyle w:val="Chapter5"/>
        <w:numPr>
          <w:ilvl w:val="0"/>
          <w:numId w:val="0"/>
        </w:numPr>
        <w:ind w:left="851" w:hanging="851"/>
      </w:pPr>
      <w:bookmarkStart w:id="138" w:name="_Toc441680447"/>
      <w:bookmarkStart w:id="139" w:name="_Toc443393775"/>
    </w:p>
    <w:p w:rsidR="0077285A" w:rsidRPr="00774A86" w:rsidRDefault="0077285A" w:rsidP="00D13759">
      <w:pPr>
        <w:pStyle w:val="Heading2"/>
      </w:pPr>
      <w:r w:rsidRPr="00774A86">
        <w:t>Whether certain CRS terms need to be define</w:t>
      </w:r>
      <w:bookmarkEnd w:id="138"/>
      <w:r w:rsidRPr="00774A86">
        <w:t>d</w:t>
      </w:r>
      <w:bookmarkEnd w:id="139"/>
    </w:p>
    <w:p w:rsidR="0077285A" w:rsidRPr="00774A86" w:rsidRDefault="0077285A" w:rsidP="00D13759">
      <w:pPr>
        <w:pStyle w:val="Chapter5"/>
        <w:numPr>
          <w:ilvl w:val="0"/>
          <w:numId w:val="0"/>
        </w:numPr>
        <w:ind w:left="851" w:hanging="851"/>
      </w:pPr>
    </w:p>
    <w:p w:rsidR="0077285A" w:rsidRPr="00774A86" w:rsidRDefault="00D13759" w:rsidP="00D13759">
      <w:pPr>
        <w:pStyle w:val="Chapter5"/>
      </w:pPr>
      <w:r w:rsidRPr="00774A86">
        <w:t xml:space="preserve">A </w:t>
      </w:r>
      <w:r w:rsidR="0077285A" w:rsidRPr="00774A86">
        <w:t>number of CRS terms are not defined in the CRS and may need to be defined under our domestic law.</w:t>
      </w:r>
      <w:r w:rsidR="0077285A" w:rsidRPr="00774A86">
        <w:rPr>
          <w:sz w:val="22"/>
          <w:szCs w:val="22"/>
          <w:vertAlign w:val="superscript"/>
        </w:rPr>
        <w:footnoteReference w:id="41"/>
      </w:r>
      <w:r w:rsidR="0077285A" w:rsidRPr="00774A86">
        <w:t xml:space="preserve">  Such terms include:</w:t>
      </w:r>
    </w:p>
    <w:p w:rsidR="00556556" w:rsidRPr="00774A86" w:rsidRDefault="00556556" w:rsidP="00D13759">
      <w:pPr>
        <w:pStyle w:val="Chapter5"/>
        <w:numPr>
          <w:ilvl w:val="0"/>
          <w:numId w:val="0"/>
        </w:numPr>
      </w:pPr>
    </w:p>
    <w:p w:rsidR="0077285A" w:rsidRPr="00774A86" w:rsidRDefault="00527A01" w:rsidP="00A571DE">
      <w:pPr>
        <w:pStyle w:val="Bullets"/>
        <w:rPr>
          <w:rFonts w:eastAsiaTheme="minorHAnsi"/>
          <w:lang w:eastAsia="en-US"/>
        </w:rPr>
      </w:pPr>
      <w:r w:rsidRPr="00774A86">
        <w:rPr>
          <w:rFonts w:eastAsiaTheme="minorHAnsi"/>
          <w:lang w:eastAsia="en-US"/>
        </w:rPr>
        <w:t xml:space="preserve">debt </w:t>
      </w:r>
      <w:r w:rsidR="0077285A" w:rsidRPr="00774A86">
        <w:rPr>
          <w:rFonts w:eastAsiaTheme="minorHAnsi"/>
          <w:lang w:eastAsia="en-US"/>
        </w:rPr>
        <w:t>interest;</w:t>
      </w:r>
    </w:p>
    <w:p w:rsidR="0077285A" w:rsidRPr="00774A86" w:rsidRDefault="00527A01" w:rsidP="00A571DE">
      <w:pPr>
        <w:pStyle w:val="Bullets"/>
        <w:rPr>
          <w:rFonts w:eastAsiaTheme="minorHAnsi"/>
          <w:lang w:eastAsia="en-US"/>
        </w:rPr>
      </w:pPr>
      <w:r w:rsidRPr="00774A86">
        <w:rPr>
          <w:rFonts w:eastAsiaTheme="minorHAnsi"/>
          <w:lang w:eastAsia="en-US"/>
        </w:rPr>
        <w:t xml:space="preserve">gross </w:t>
      </w:r>
      <w:r w:rsidR="0077285A" w:rsidRPr="00774A86">
        <w:rPr>
          <w:rFonts w:eastAsiaTheme="minorHAnsi"/>
          <w:lang w:eastAsia="en-US"/>
        </w:rPr>
        <w:t>income;</w:t>
      </w:r>
    </w:p>
    <w:p w:rsidR="0077285A" w:rsidRPr="00774A86" w:rsidRDefault="00527A01" w:rsidP="00A571DE">
      <w:pPr>
        <w:pStyle w:val="Bullets"/>
        <w:rPr>
          <w:rFonts w:eastAsiaTheme="minorHAnsi"/>
          <w:lang w:eastAsia="en-US"/>
        </w:rPr>
      </w:pPr>
      <w:r w:rsidRPr="00774A86">
        <w:rPr>
          <w:rFonts w:eastAsiaTheme="minorHAnsi"/>
          <w:lang w:eastAsia="en-US"/>
        </w:rPr>
        <w:t xml:space="preserve">maintaining </w:t>
      </w:r>
      <w:r w:rsidR="0077285A" w:rsidRPr="00774A86">
        <w:rPr>
          <w:rFonts w:eastAsiaTheme="minorHAnsi"/>
          <w:lang w:eastAsia="en-US"/>
        </w:rPr>
        <w:t>an account;</w:t>
      </w:r>
    </w:p>
    <w:p w:rsidR="0077285A" w:rsidRPr="00774A86" w:rsidRDefault="00527A01" w:rsidP="00A571DE">
      <w:pPr>
        <w:pStyle w:val="Bullets"/>
        <w:rPr>
          <w:rFonts w:eastAsiaTheme="minorHAnsi"/>
          <w:lang w:eastAsia="en-US"/>
        </w:rPr>
      </w:pPr>
      <w:r w:rsidRPr="00774A86">
        <w:rPr>
          <w:rFonts w:eastAsiaTheme="minorHAnsi"/>
          <w:lang w:eastAsia="en-US"/>
        </w:rPr>
        <w:t xml:space="preserve">passive </w:t>
      </w:r>
      <w:r w:rsidR="0077285A" w:rsidRPr="00774A86">
        <w:rPr>
          <w:rFonts w:eastAsiaTheme="minorHAnsi"/>
          <w:lang w:eastAsia="en-US"/>
        </w:rPr>
        <w:t>income; and</w:t>
      </w:r>
    </w:p>
    <w:p w:rsidR="0077285A" w:rsidRPr="00774A86" w:rsidRDefault="00527A01" w:rsidP="00A571DE">
      <w:pPr>
        <w:pStyle w:val="Bullets"/>
        <w:spacing w:after="0"/>
        <w:rPr>
          <w:rFonts w:eastAsiaTheme="minorHAnsi"/>
          <w:lang w:eastAsia="en-US"/>
        </w:rPr>
      </w:pPr>
      <w:proofErr w:type="gramStart"/>
      <w:r w:rsidRPr="00774A86">
        <w:rPr>
          <w:rFonts w:eastAsiaTheme="minorHAnsi"/>
          <w:lang w:eastAsia="en-US"/>
        </w:rPr>
        <w:t>policyholder</w:t>
      </w:r>
      <w:proofErr w:type="gramEnd"/>
      <w:r w:rsidRPr="00774A86">
        <w:rPr>
          <w:rFonts w:eastAsiaTheme="minorHAnsi"/>
          <w:lang w:eastAsia="en-US"/>
        </w:rPr>
        <w:t xml:space="preserve"> </w:t>
      </w:r>
      <w:r w:rsidR="0077285A" w:rsidRPr="00774A86">
        <w:rPr>
          <w:rFonts w:eastAsiaTheme="minorHAnsi"/>
          <w:lang w:eastAsia="en-US"/>
        </w:rPr>
        <w:t>dividend.</w:t>
      </w:r>
    </w:p>
    <w:p w:rsidR="0051122F" w:rsidRPr="00774A86" w:rsidRDefault="0051122F" w:rsidP="00D64344">
      <w:pPr>
        <w:pStyle w:val="Chapter5"/>
        <w:numPr>
          <w:ilvl w:val="0"/>
          <w:numId w:val="0"/>
        </w:numPr>
        <w:ind w:left="851" w:hanging="851"/>
      </w:pPr>
      <w:bookmarkStart w:id="140" w:name="_Toc441680448"/>
      <w:bookmarkStart w:id="141" w:name="_Toc443393776"/>
    </w:p>
    <w:p w:rsidR="0043595D" w:rsidRPr="00774A86" w:rsidRDefault="0043595D">
      <w:pPr>
        <w:jc w:val="left"/>
        <w:rPr>
          <w:b/>
          <w:i/>
          <w:szCs w:val="24"/>
        </w:rPr>
      </w:pPr>
      <w:r w:rsidRPr="00774A86">
        <w:br w:type="page"/>
      </w:r>
    </w:p>
    <w:p w:rsidR="0077285A" w:rsidRPr="00774A86" w:rsidRDefault="0077285A" w:rsidP="00D13759">
      <w:pPr>
        <w:pStyle w:val="Heading2"/>
      </w:pPr>
      <w:r w:rsidRPr="00774A86">
        <w:lastRenderedPageBreak/>
        <w:t>Currency translation rules</w:t>
      </w:r>
      <w:bookmarkEnd w:id="140"/>
      <w:bookmarkEnd w:id="141"/>
    </w:p>
    <w:p w:rsidR="0077285A" w:rsidRPr="00774A86" w:rsidRDefault="0077285A" w:rsidP="00D13759">
      <w:pPr>
        <w:pStyle w:val="Chapter5"/>
        <w:numPr>
          <w:ilvl w:val="0"/>
          <w:numId w:val="0"/>
        </w:numPr>
        <w:ind w:left="851" w:hanging="851"/>
      </w:pPr>
    </w:p>
    <w:p w:rsidR="0077285A" w:rsidRPr="00774A86" w:rsidRDefault="0077285A" w:rsidP="00D13759">
      <w:pPr>
        <w:pStyle w:val="Chapter5"/>
      </w:pPr>
      <w:r w:rsidRPr="00774A86">
        <w:t>The CRS states that all dollar amounts to be reported are in US dollars and shall be read to include equivalent amounts in other currencies, as determined by domestic law.</w:t>
      </w:r>
      <w:r w:rsidRPr="00774A86">
        <w:rPr>
          <w:sz w:val="22"/>
          <w:szCs w:val="22"/>
          <w:vertAlign w:val="superscript"/>
        </w:rPr>
        <w:footnoteReference w:id="42"/>
      </w:r>
    </w:p>
    <w:p w:rsidR="0077285A" w:rsidRPr="00774A86" w:rsidRDefault="0077285A" w:rsidP="00D13759">
      <w:pPr>
        <w:pStyle w:val="Chapter5"/>
        <w:numPr>
          <w:ilvl w:val="0"/>
          <w:numId w:val="0"/>
        </w:numPr>
      </w:pPr>
    </w:p>
    <w:p w:rsidR="0077285A" w:rsidRPr="00774A86" w:rsidRDefault="0077285A" w:rsidP="00D13759">
      <w:pPr>
        <w:pStyle w:val="Chapter5"/>
      </w:pPr>
      <w:r w:rsidRPr="00774A86">
        <w:t xml:space="preserve">We are interested in your submissions regarding whether </w:t>
      </w:r>
      <w:r w:rsidR="00895638" w:rsidRPr="00774A86">
        <w:t>r</w:t>
      </w:r>
      <w:r w:rsidRPr="00774A86">
        <w:t xml:space="preserve">eporting </w:t>
      </w:r>
      <w:r w:rsidR="00895638" w:rsidRPr="00774A86">
        <w:t>f</w:t>
      </w:r>
      <w:r w:rsidR="00991E68" w:rsidRPr="00774A86">
        <w:t>inancial institutions</w:t>
      </w:r>
      <w:r w:rsidRPr="00774A86">
        <w:t xml:space="preserve"> should be able to simply apply the dollar amounts specified in the CRS in </w:t>
      </w:r>
      <w:r w:rsidR="00522274" w:rsidRPr="00774A86">
        <w:t>New Zealand</w:t>
      </w:r>
      <w:r w:rsidRPr="00774A86">
        <w:t xml:space="preserve"> dollars (rather than US – as referred to in the CRS)</w:t>
      </w:r>
      <w:r w:rsidR="0030367F" w:rsidRPr="00774A86">
        <w:t>.  T</w:t>
      </w:r>
      <w:r w:rsidRPr="00774A86">
        <w:t xml:space="preserve">his would reduce compliance costs, in the sense that </w:t>
      </w:r>
      <w:r w:rsidR="00895638" w:rsidRPr="00774A86">
        <w:t>r</w:t>
      </w:r>
      <w:r w:rsidRPr="00774A86">
        <w:t xml:space="preserve">eporting </w:t>
      </w:r>
      <w:r w:rsidR="00895638" w:rsidRPr="00774A86">
        <w:t>f</w:t>
      </w:r>
      <w:r w:rsidR="00991E68" w:rsidRPr="00774A86">
        <w:t>inancial institutions</w:t>
      </w:r>
      <w:r w:rsidRPr="00774A86">
        <w:t xml:space="preserve"> would not need to undertake currency conversion procedures to determine the value of </w:t>
      </w:r>
      <w:r w:rsidR="00016300" w:rsidRPr="00774A86">
        <w:t>f</w:t>
      </w:r>
      <w:r w:rsidRPr="00774A86">
        <w:t xml:space="preserve">inancial </w:t>
      </w:r>
      <w:r w:rsidR="00016300" w:rsidRPr="00774A86">
        <w:t>a</w:t>
      </w:r>
      <w:r w:rsidRPr="00774A86">
        <w:t>ccounts in US.</w:t>
      </w:r>
    </w:p>
    <w:p w:rsidR="00BF1D3D" w:rsidRPr="00774A86" w:rsidRDefault="00BF1D3D" w:rsidP="00BF1D3D">
      <w:pPr>
        <w:pStyle w:val="Chapter5"/>
        <w:numPr>
          <w:ilvl w:val="0"/>
          <w:numId w:val="0"/>
        </w:numPr>
        <w:ind w:left="851" w:hanging="851"/>
      </w:pPr>
    </w:p>
    <w:p w:rsidR="0077285A" w:rsidRPr="00774A86" w:rsidRDefault="0077285A" w:rsidP="00D13759">
      <w:pPr>
        <w:pStyle w:val="Chapter5"/>
      </w:pPr>
      <w:r w:rsidRPr="00774A86">
        <w:t xml:space="preserve">For example, a </w:t>
      </w:r>
      <w:r w:rsidR="00895638" w:rsidRPr="00774A86">
        <w:t>p</w:t>
      </w:r>
      <w:r w:rsidRPr="00774A86">
        <w:t>re</w:t>
      </w:r>
      <w:r w:rsidR="00522274" w:rsidRPr="00774A86">
        <w:t>-</w:t>
      </w:r>
      <w:r w:rsidRPr="00774A86">
        <w:t xml:space="preserve">existing </w:t>
      </w:r>
      <w:r w:rsidR="00895638" w:rsidRPr="00774A86">
        <w:t>i</w:t>
      </w:r>
      <w:r w:rsidRPr="00774A86">
        <w:t xml:space="preserve">ndividual </w:t>
      </w:r>
      <w:r w:rsidR="00895638" w:rsidRPr="00774A86">
        <w:t>a</w:t>
      </w:r>
      <w:r w:rsidRPr="00774A86">
        <w:t xml:space="preserve">ccount will be a </w:t>
      </w:r>
      <w:r w:rsidR="00895638" w:rsidRPr="00774A86">
        <w:t>h</w:t>
      </w:r>
      <w:r w:rsidRPr="00774A86">
        <w:t xml:space="preserve">igh </w:t>
      </w:r>
      <w:r w:rsidR="00895638" w:rsidRPr="00774A86">
        <w:t>v</w:t>
      </w:r>
      <w:r w:rsidRPr="00774A86">
        <w:t xml:space="preserve">alue </w:t>
      </w:r>
      <w:r w:rsidR="00895638" w:rsidRPr="00774A86">
        <w:t>a</w:t>
      </w:r>
      <w:r w:rsidRPr="00774A86">
        <w:t>ccount</w:t>
      </w:r>
      <w:r w:rsidRPr="00774A86">
        <w:rPr>
          <w:sz w:val="22"/>
          <w:szCs w:val="22"/>
          <w:vertAlign w:val="superscript"/>
        </w:rPr>
        <w:footnoteReference w:id="43"/>
      </w:r>
      <w:r w:rsidRPr="00774A86">
        <w:t xml:space="preserve"> if its balance exceeds </w:t>
      </w:r>
      <w:r w:rsidR="00B44E3F" w:rsidRPr="00774A86">
        <w:t xml:space="preserve">US </w:t>
      </w:r>
      <w:r w:rsidR="00774A86">
        <w:t>$</w:t>
      </w:r>
      <w:r w:rsidRPr="00774A86">
        <w:t>1,000,000 as at the relevant date</w:t>
      </w:r>
      <w:r w:rsidRPr="00774A86">
        <w:rPr>
          <w:sz w:val="22"/>
          <w:szCs w:val="22"/>
          <w:vertAlign w:val="superscript"/>
        </w:rPr>
        <w:footnoteReference w:id="44"/>
      </w:r>
      <w:r w:rsidRPr="00774A86">
        <w:t xml:space="preserve"> or, if a </w:t>
      </w:r>
      <w:r w:rsidR="00895638" w:rsidRPr="00774A86">
        <w:t>r</w:t>
      </w:r>
      <w:r w:rsidRPr="00774A86">
        <w:t xml:space="preserve">eporting </w:t>
      </w:r>
      <w:r w:rsidR="00895638" w:rsidRPr="00774A86">
        <w:t>f</w:t>
      </w:r>
      <w:r w:rsidRPr="00774A86">
        <w:t xml:space="preserve">inancial </w:t>
      </w:r>
      <w:r w:rsidR="00895638" w:rsidRPr="00774A86">
        <w:t>i</w:t>
      </w:r>
      <w:r w:rsidRPr="00774A86">
        <w:t xml:space="preserve">nstitution chooses to apply the threshold in </w:t>
      </w:r>
      <w:r w:rsidR="00522274" w:rsidRPr="00774A86">
        <w:t>New Zealand</w:t>
      </w:r>
      <w:r w:rsidRPr="00774A86">
        <w:t xml:space="preserve"> dollar terms (to the extent permitted by domestic law), if the account exceeds </w:t>
      </w:r>
      <w:r w:rsidR="00B44E3F" w:rsidRPr="00774A86">
        <w:t xml:space="preserve">NZ </w:t>
      </w:r>
      <w:r w:rsidR="00774A86">
        <w:t>$</w:t>
      </w:r>
      <w:r w:rsidRPr="00774A86">
        <w:t>1,000,000 as at that date.</w:t>
      </w:r>
    </w:p>
    <w:p w:rsidR="008C74C6" w:rsidRPr="00774A86" w:rsidRDefault="008C74C6" w:rsidP="00D64344">
      <w:pPr>
        <w:pStyle w:val="Chapter5"/>
        <w:numPr>
          <w:ilvl w:val="0"/>
          <w:numId w:val="0"/>
        </w:numPr>
        <w:ind w:left="851" w:hanging="851"/>
      </w:pPr>
      <w:bookmarkStart w:id="142" w:name="_Toc441680449"/>
      <w:bookmarkStart w:id="143" w:name="_Toc443393777"/>
    </w:p>
    <w:p w:rsidR="0077285A" w:rsidRPr="00774A86" w:rsidRDefault="0077285A" w:rsidP="00D13759">
      <w:pPr>
        <w:pStyle w:val="Heading2"/>
      </w:pPr>
      <w:r w:rsidRPr="00774A86">
        <w:t>Pre</w:t>
      </w:r>
      <w:r w:rsidR="00522274" w:rsidRPr="00774A86">
        <w:t>-</w:t>
      </w:r>
      <w:r w:rsidRPr="00774A86">
        <w:t xml:space="preserve">existing </w:t>
      </w:r>
      <w:r w:rsidR="00B44E3F" w:rsidRPr="00774A86">
        <w:t xml:space="preserve">accounts </w:t>
      </w:r>
      <w:r w:rsidRPr="00774A86">
        <w:t xml:space="preserve">– TINs and </w:t>
      </w:r>
      <w:r w:rsidR="00B44E3F" w:rsidRPr="00774A86">
        <w:t xml:space="preserve">date </w:t>
      </w:r>
      <w:r w:rsidRPr="00774A86">
        <w:t xml:space="preserve">of </w:t>
      </w:r>
      <w:bookmarkEnd w:id="142"/>
      <w:r w:rsidR="00B44E3F" w:rsidRPr="00774A86">
        <w:t>birth</w:t>
      </w:r>
      <w:bookmarkEnd w:id="143"/>
    </w:p>
    <w:p w:rsidR="0077285A" w:rsidRPr="00774A86" w:rsidRDefault="0077285A" w:rsidP="00D13759">
      <w:pPr>
        <w:pStyle w:val="Chapter5"/>
        <w:numPr>
          <w:ilvl w:val="0"/>
          <w:numId w:val="0"/>
        </w:numPr>
        <w:ind w:left="851" w:hanging="851"/>
      </w:pPr>
    </w:p>
    <w:p w:rsidR="0077285A" w:rsidRPr="00774A86" w:rsidRDefault="0077285A" w:rsidP="00D13759">
      <w:pPr>
        <w:pStyle w:val="Chapter5"/>
      </w:pPr>
      <w:r w:rsidRPr="00774A86">
        <w:t xml:space="preserve">The CRS provides that with respect to each </w:t>
      </w:r>
      <w:r w:rsidR="00895638" w:rsidRPr="00774A86">
        <w:t>r</w:t>
      </w:r>
      <w:r w:rsidRPr="00774A86">
        <w:t xml:space="preserve">eportable </w:t>
      </w:r>
      <w:r w:rsidR="00895638" w:rsidRPr="00774A86">
        <w:t>a</w:t>
      </w:r>
      <w:r w:rsidRPr="00774A86">
        <w:t xml:space="preserve">ccount maintained by a </w:t>
      </w:r>
      <w:r w:rsidR="00895638" w:rsidRPr="00774A86">
        <w:t>r</w:t>
      </w:r>
      <w:r w:rsidRPr="00774A86">
        <w:t xml:space="preserve">eporting </w:t>
      </w:r>
      <w:r w:rsidR="00895638" w:rsidRPr="00774A86">
        <w:t>f</w:t>
      </w:r>
      <w:r w:rsidRPr="00774A86">
        <w:t xml:space="preserve">inancial </w:t>
      </w:r>
      <w:r w:rsidR="00895638" w:rsidRPr="00774A86">
        <w:t>i</w:t>
      </w:r>
      <w:r w:rsidRPr="00774A86">
        <w:t xml:space="preserve">nstitution that is a </w:t>
      </w:r>
      <w:r w:rsidR="00895638" w:rsidRPr="00774A86">
        <w:t>p</w:t>
      </w:r>
      <w:r w:rsidRPr="00774A86">
        <w:t>re</w:t>
      </w:r>
      <w:r w:rsidR="00522274" w:rsidRPr="00774A86">
        <w:t>-</w:t>
      </w:r>
      <w:r w:rsidRPr="00774A86">
        <w:t xml:space="preserve">existing </w:t>
      </w:r>
      <w:r w:rsidR="00895638" w:rsidRPr="00774A86">
        <w:t>a</w:t>
      </w:r>
      <w:r w:rsidRPr="00774A86">
        <w:t>ccount, the TIN(s) and date of birth are not required to be reported</w:t>
      </w:r>
      <w:r w:rsidRPr="00774A86">
        <w:rPr>
          <w:sz w:val="22"/>
          <w:szCs w:val="22"/>
          <w:vertAlign w:val="superscript"/>
        </w:rPr>
        <w:footnoteReference w:id="45"/>
      </w:r>
      <w:r w:rsidRPr="00774A86">
        <w:t xml:space="preserve"> if such TIN(s) and date of birth are not in the records of the </w:t>
      </w:r>
      <w:r w:rsidR="00895638" w:rsidRPr="00774A86">
        <w:t>r</w:t>
      </w:r>
      <w:r w:rsidRPr="00774A86">
        <w:t xml:space="preserve">eporting </w:t>
      </w:r>
      <w:r w:rsidR="00895638" w:rsidRPr="00774A86">
        <w:t>f</w:t>
      </w:r>
      <w:r w:rsidRPr="00774A86">
        <w:t xml:space="preserve">inancial </w:t>
      </w:r>
      <w:r w:rsidR="00895638" w:rsidRPr="00774A86">
        <w:t>i</w:t>
      </w:r>
      <w:r w:rsidRPr="00774A86">
        <w:t>nstitution, and are not otherwise required to be collected under domestic law</w:t>
      </w:r>
      <w:r w:rsidR="0030367F" w:rsidRPr="00774A86">
        <w:t>.  T</w:t>
      </w:r>
      <w:r w:rsidRPr="00774A86">
        <w:t xml:space="preserve">his is subject to the </w:t>
      </w:r>
      <w:r w:rsidR="00895638" w:rsidRPr="00774A86">
        <w:t>r</w:t>
      </w:r>
      <w:r w:rsidRPr="00774A86">
        <w:t xml:space="preserve">eporting </w:t>
      </w:r>
      <w:r w:rsidR="00895638" w:rsidRPr="00774A86">
        <w:t>f</w:t>
      </w:r>
      <w:r w:rsidRPr="00774A86">
        <w:t xml:space="preserve">inancial </w:t>
      </w:r>
      <w:r w:rsidR="00895638" w:rsidRPr="00774A86">
        <w:t>i</w:t>
      </w:r>
      <w:r w:rsidRPr="00774A86">
        <w:t xml:space="preserve">nstitution making reasonable efforts to obtain such information by the end of the second year following the year in which such accounts are identified as </w:t>
      </w:r>
      <w:r w:rsidR="00895638" w:rsidRPr="00774A86">
        <w:t>r</w:t>
      </w:r>
      <w:r w:rsidR="00EE5866" w:rsidRPr="00774A86">
        <w:t>eportable accounts</w:t>
      </w:r>
      <w:r w:rsidRPr="00774A86">
        <w:t>.</w:t>
      </w:r>
      <w:r w:rsidRPr="00774A86">
        <w:rPr>
          <w:sz w:val="22"/>
          <w:szCs w:val="22"/>
          <w:vertAlign w:val="superscript"/>
        </w:rPr>
        <w:footnoteReference w:id="46"/>
      </w:r>
    </w:p>
    <w:p w:rsidR="0077285A" w:rsidRPr="00774A86" w:rsidRDefault="0077285A" w:rsidP="00D13759">
      <w:pPr>
        <w:pStyle w:val="Chapter5"/>
        <w:numPr>
          <w:ilvl w:val="0"/>
          <w:numId w:val="0"/>
        </w:numPr>
      </w:pPr>
    </w:p>
    <w:p w:rsidR="0077285A" w:rsidRPr="00774A86" w:rsidRDefault="0077285A" w:rsidP="00D13759">
      <w:pPr>
        <w:pStyle w:val="Chapter5"/>
      </w:pPr>
      <w:r w:rsidRPr="00774A86">
        <w:t xml:space="preserve">Thus, TIN(s) and date of birth information would be required to be obtained and reported (beyond merely making such reasonable efforts to obtain such information) if, with respect to a </w:t>
      </w:r>
      <w:r w:rsidR="00895638" w:rsidRPr="00774A86">
        <w:t>p</w:t>
      </w:r>
      <w:r w:rsidRPr="00774A86">
        <w:t>re</w:t>
      </w:r>
      <w:r w:rsidR="00522274" w:rsidRPr="00774A86">
        <w:t>-</w:t>
      </w:r>
      <w:r w:rsidRPr="00774A86">
        <w:t xml:space="preserve">existing </w:t>
      </w:r>
      <w:r w:rsidR="00895638" w:rsidRPr="00774A86">
        <w:t>a</w:t>
      </w:r>
      <w:r w:rsidRPr="00774A86">
        <w:t>ccount, such information is required to be collected under domestic law.</w:t>
      </w:r>
    </w:p>
    <w:p w:rsidR="008C74C6" w:rsidRPr="00774A86" w:rsidRDefault="008C74C6" w:rsidP="00D64344">
      <w:pPr>
        <w:pStyle w:val="Chapter5"/>
        <w:numPr>
          <w:ilvl w:val="0"/>
          <w:numId w:val="0"/>
        </w:numPr>
        <w:ind w:left="851" w:hanging="851"/>
      </w:pPr>
      <w:bookmarkStart w:id="144" w:name="_Toc441680450"/>
      <w:bookmarkStart w:id="145" w:name="_Toc443393778"/>
    </w:p>
    <w:p w:rsidR="0077285A" w:rsidRPr="00774A86" w:rsidRDefault="0030367F" w:rsidP="00D13759">
      <w:pPr>
        <w:pStyle w:val="Heading2"/>
      </w:pPr>
      <w:r w:rsidRPr="00774A86">
        <w:t>“</w:t>
      </w:r>
      <w:r w:rsidR="0077285A" w:rsidRPr="00774A86">
        <w:t>Place of birth</w:t>
      </w:r>
      <w:r w:rsidRPr="00774A86">
        <w:t>”</w:t>
      </w:r>
      <w:bookmarkEnd w:id="144"/>
      <w:r w:rsidR="0077285A" w:rsidRPr="00774A86">
        <w:t xml:space="preserve"> of individuals</w:t>
      </w:r>
      <w:bookmarkEnd w:id="145"/>
    </w:p>
    <w:p w:rsidR="0077285A" w:rsidRPr="00774A86" w:rsidRDefault="0077285A" w:rsidP="00D13759">
      <w:pPr>
        <w:pStyle w:val="Chapter5"/>
        <w:numPr>
          <w:ilvl w:val="0"/>
          <w:numId w:val="0"/>
        </w:numPr>
        <w:ind w:left="851" w:hanging="851"/>
      </w:pPr>
    </w:p>
    <w:p w:rsidR="0077285A" w:rsidRPr="00774A86" w:rsidRDefault="0077285A" w:rsidP="00D13759">
      <w:pPr>
        <w:pStyle w:val="Chapter5"/>
      </w:pPr>
      <w:r w:rsidRPr="00774A86">
        <w:t xml:space="preserve">The CRS provides that the place of birth of an individual is not required to be reported with respect to a </w:t>
      </w:r>
      <w:r w:rsidR="00895638" w:rsidRPr="00774A86">
        <w:t>r</w:t>
      </w:r>
      <w:r w:rsidRPr="00774A86">
        <w:t xml:space="preserve">eportable </w:t>
      </w:r>
      <w:r w:rsidR="00895638" w:rsidRPr="00774A86">
        <w:t>a</w:t>
      </w:r>
      <w:r w:rsidRPr="00774A86">
        <w:t xml:space="preserve">ccount unless the </w:t>
      </w:r>
      <w:r w:rsidR="00895638" w:rsidRPr="00774A86">
        <w:t>re</w:t>
      </w:r>
      <w:r w:rsidRPr="00774A86">
        <w:t xml:space="preserve">porting </w:t>
      </w:r>
      <w:r w:rsidR="00895638" w:rsidRPr="00774A86">
        <w:t>f</w:t>
      </w:r>
      <w:r w:rsidRPr="00774A86">
        <w:t xml:space="preserve">inancial </w:t>
      </w:r>
      <w:r w:rsidR="00895638" w:rsidRPr="00774A86">
        <w:t>i</w:t>
      </w:r>
      <w:r w:rsidRPr="00774A86">
        <w:t xml:space="preserve">nstitution is otherwise required to obtain and report it under domestic law and it is available in the electronically searchable data maintained by the </w:t>
      </w:r>
      <w:r w:rsidR="00895638" w:rsidRPr="00774A86">
        <w:t>r</w:t>
      </w:r>
      <w:r w:rsidRPr="00774A86">
        <w:t xml:space="preserve">eporting </w:t>
      </w:r>
      <w:r w:rsidR="00895638" w:rsidRPr="00774A86">
        <w:t>f</w:t>
      </w:r>
      <w:r w:rsidRPr="00774A86">
        <w:t xml:space="preserve">inancial </w:t>
      </w:r>
      <w:r w:rsidR="00895638" w:rsidRPr="00774A86">
        <w:t>i</w:t>
      </w:r>
      <w:r w:rsidRPr="00774A86">
        <w:t>nstitution.</w:t>
      </w:r>
      <w:r w:rsidRPr="00774A86">
        <w:rPr>
          <w:sz w:val="22"/>
          <w:szCs w:val="22"/>
          <w:vertAlign w:val="superscript"/>
        </w:rPr>
        <w:footnoteReference w:id="47"/>
      </w:r>
    </w:p>
    <w:p w:rsidR="0077285A" w:rsidRPr="00774A86" w:rsidRDefault="0077285A" w:rsidP="00D13759">
      <w:pPr>
        <w:pStyle w:val="Chapter5"/>
        <w:numPr>
          <w:ilvl w:val="0"/>
          <w:numId w:val="0"/>
        </w:numPr>
      </w:pPr>
    </w:p>
    <w:p w:rsidR="0077285A" w:rsidRPr="00774A86" w:rsidRDefault="0077285A" w:rsidP="00D13759">
      <w:pPr>
        <w:pStyle w:val="Chapter5"/>
      </w:pPr>
      <w:r w:rsidRPr="00774A86">
        <w:t>Thus</w:t>
      </w:r>
      <w:r w:rsidR="00B44E3F" w:rsidRPr="00774A86">
        <w:t>,</w:t>
      </w:r>
      <w:r w:rsidRPr="00774A86">
        <w:t xml:space="preserve"> place of birth information would be required to be reported with respect to a </w:t>
      </w:r>
      <w:r w:rsidR="00895638" w:rsidRPr="00774A86">
        <w:t>r</w:t>
      </w:r>
      <w:r w:rsidRPr="00774A86">
        <w:t xml:space="preserve">eportable </w:t>
      </w:r>
      <w:r w:rsidR="00895638" w:rsidRPr="00774A86">
        <w:t>a</w:t>
      </w:r>
      <w:r w:rsidRPr="00774A86">
        <w:t xml:space="preserve">ccount if the </w:t>
      </w:r>
      <w:r w:rsidR="00895638" w:rsidRPr="00774A86">
        <w:t>r</w:t>
      </w:r>
      <w:r w:rsidRPr="00774A86">
        <w:t xml:space="preserve">eporting </w:t>
      </w:r>
      <w:r w:rsidR="00895638" w:rsidRPr="00774A86">
        <w:t>f</w:t>
      </w:r>
      <w:r w:rsidRPr="00774A86">
        <w:t xml:space="preserve">inancial </w:t>
      </w:r>
      <w:r w:rsidR="00895638" w:rsidRPr="00774A86">
        <w:t>i</w:t>
      </w:r>
      <w:r w:rsidRPr="00774A86">
        <w:t xml:space="preserve">nstitution is required to obtain and report it under domestic law and it is available in the </w:t>
      </w:r>
      <w:r w:rsidRPr="00774A86">
        <w:lastRenderedPageBreak/>
        <w:t xml:space="preserve">electronically searchable data maintained by the </w:t>
      </w:r>
      <w:r w:rsidR="00895638" w:rsidRPr="00774A86">
        <w:t>r</w:t>
      </w:r>
      <w:r w:rsidRPr="00774A86">
        <w:t xml:space="preserve">eporting </w:t>
      </w:r>
      <w:r w:rsidR="00895638" w:rsidRPr="00774A86">
        <w:t>f</w:t>
      </w:r>
      <w:r w:rsidRPr="00774A86">
        <w:t xml:space="preserve">inancial </w:t>
      </w:r>
      <w:r w:rsidR="00895638" w:rsidRPr="00774A86">
        <w:t>i</w:t>
      </w:r>
      <w:r w:rsidRPr="00774A86">
        <w:t>nstitution.</w:t>
      </w:r>
    </w:p>
    <w:p w:rsidR="008C74C6" w:rsidRPr="00774A86" w:rsidRDefault="008C74C6" w:rsidP="00D64344">
      <w:pPr>
        <w:pStyle w:val="Chapter5"/>
        <w:numPr>
          <w:ilvl w:val="0"/>
          <w:numId w:val="0"/>
        </w:numPr>
        <w:ind w:left="851" w:hanging="851"/>
      </w:pPr>
      <w:bookmarkStart w:id="146" w:name="_Toc441680451"/>
      <w:bookmarkStart w:id="147" w:name="_Toc443393779"/>
    </w:p>
    <w:p w:rsidR="0077285A" w:rsidRPr="00774A86" w:rsidRDefault="0077285A" w:rsidP="00D13759">
      <w:pPr>
        <w:pStyle w:val="Heading2"/>
      </w:pPr>
      <w:r w:rsidRPr="00774A86">
        <w:t>Reporting average monthly balances or values</w:t>
      </w:r>
      <w:bookmarkEnd w:id="146"/>
      <w:bookmarkEnd w:id="147"/>
    </w:p>
    <w:p w:rsidR="0077285A" w:rsidRPr="00774A86" w:rsidRDefault="0077285A" w:rsidP="00141FBF">
      <w:pPr>
        <w:pStyle w:val="Chapter5"/>
        <w:numPr>
          <w:ilvl w:val="0"/>
          <w:numId w:val="0"/>
        </w:numPr>
        <w:ind w:left="851" w:hanging="851"/>
      </w:pPr>
    </w:p>
    <w:p w:rsidR="0077285A" w:rsidRPr="00774A86" w:rsidRDefault="0077285A" w:rsidP="00D13759">
      <w:pPr>
        <w:pStyle w:val="Chapter5"/>
      </w:pPr>
      <w:r w:rsidRPr="00774A86">
        <w:t xml:space="preserve">The CRS provides that a </w:t>
      </w:r>
      <w:r w:rsidR="00895638" w:rsidRPr="00774A86">
        <w:t>r</w:t>
      </w:r>
      <w:r w:rsidRPr="00774A86">
        <w:t xml:space="preserve">eporting </w:t>
      </w:r>
      <w:r w:rsidR="00895638" w:rsidRPr="00774A86">
        <w:t>f</w:t>
      </w:r>
      <w:r w:rsidRPr="00774A86">
        <w:t xml:space="preserve">inancial </w:t>
      </w:r>
      <w:r w:rsidR="00895638" w:rsidRPr="00774A86">
        <w:t>i</w:t>
      </w:r>
      <w:r w:rsidRPr="00774A86">
        <w:t xml:space="preserve">nstitution that maintains a </w:t>
      </w:r>
      <w:r w:rsidR="00895638" w:rsidRPr="00774A86">
        <w:t>r</w:t>
      </w:r>
      <w:r w:rsidRPr="00774A86">
        <w:t xml:space="preserve">eportable </w:t>
      </w:r>
      <w:r w:rsidR="00895638" w:rsidRPr="00774A86">
        <w:t>a</w:t>
      </w:r>
      <w:r w:rsidRPr="00774A86">
        <w:t xml:space="preserve">ccount must report the balance or value of the account as </w:t>
      </w:r>
      <w:r w:rsidR="00B44E3F" w:rsidRPr="00774A86">
        <w:t xml:space="preserve">at </w:t>
      </w:r>
      <w:r w:rsidRPr="00774A86">
        <w:t xml:space="preserve">the end of the calendar year (or other appropriate reporting period) or, if the account was closed during the reporting period, the </w:t>
      </w:r>
      <w:r w:rsidR="00016300" w:rsidRPr="00774A86">
        <w:t>r</w:t>
      </w:r>
      <w:r w:rsidRPr="00774A86">
        <w:t xml:space="preserve">eporting </w:t>
      </w:r>
      <w:r w:rsidR="00016300" w:rsidRPr="00774A86">
        <w:t>f</w:t>
      </w:r>
      <w:r w:rsidRPr="00774A86">
        <w:t xml:space="preserve">inancial </w:t>
      </w:r>
      <w:r w:rsidR="00016300" w:rsidRPr="00774A86">
        <w:t>i</w:t>
      </w:r>
      <w:r w:rsidRPr="00774A86">
        <w:t>nstitution must report the fact that the account was closed.</w:t>
      </w:r>
    </w:p>
    <w:p w:rsidR="0077285A" w:rsidRPr="00774A86" w:rsidRDefault="0077285A" w:rsidP="00D13759">
      <w:pPr>
        <w:pStyle w:val="Chapter5"/>
        <w:numPr>
          <w:ilvl w:val="0"/>
          <w:numId w:val="0"/>
        </w:numPr>
      </w:pPr>
    </w:p>
    <w:p w:rsidR="0077285A" w:rsidRPr="00774A86" w:rsidRDefault="0077285A" w:rsidP="00D13759">
      <w:pPr>
        <w:pStyle w:val="Chapter5"/>
      </w:pPr>
      <w:r w:rsidRPr="00774A86">
        <w:t xml:space="preserve">However, the CRS </w:t>
      </w:r>
      <w:r w:rsidR="004D6202" w:rsidRPr="00774A86">
        <w:t>C</w:t>
      </w:r>
      <w:r w:rsidRPr="00774A86">
        <w:t>ommentar</w:t>
      </w:r>
      <w:r w:rsidR="004D6202" w:rsidRPr="00774A86">
        <w:t>ies</w:t>
      </w:r>
      <w:r w:rsidRPr="00774A86">
        <w:t xml:space="preserve"> also provide scope for a </w:t>
      </w:r>
      <w:r w:rsidR="00016300" w:rsidRPr="00774A86">
        <w:t>p</w:t>
      </w:r>
      <w:r w:rsidR="00991E68" w:rsidRPr="00774A86">
        <w:t>articipating jurisdiction</w:t>
      </w:r>
      <w:r w:rsidRPr="00774A86">
        <w:t xml:space="preserve"> to require the reporting of average balance or average value instead of the reporting of the account balance or value as </w:t>
      </w:r>
      <w:r w:rsidR="00B44E3F" w:rsidRPr="00774A86">
        <w:t xml:space="preserve">at </w:t>
      </w:r>
      <w:r w:rsidRPr="00774A86">
        <w:t>the end of the calendar year (or other reporting period).</w:t>
      </w:r>
      <w:r w:rsidRPr="00774A86">
        <w:rPr>
          <w:sz w:val="22"/>
          <w:szCs w:val="22"/>
          <w:vertAlign w:val="superscript"/>
        </w:rPr>
        <w:footnoteReference w:id="48"/>
      </w:r>
    </w:p>
    <w:p w:rsidR="0077285A" w:rsidRPr="00774A86" w:rsidRDefault="0077285A" w:rsidP="00D13759">
      <w:pPr>
        <w:pStyle w:val="Chapter5"/>
        <w:numPr>
          <w:ilvl w:val="0"/>
          <w:numId w:val="0"/>
        </w:numPr>
      </w:pPr>
    </w:p>
    <w:p w:rsidR="0077285A" w:rsidRPr="00774A86" w:rsidRDefault="0077285A" w:rsidP="00D13759">
      <w:pPr>
        <w:pStyle w:val="Chapter5"/>
      </w:pPr>
      <w:r w:rsidRPr="00774A86">
        <w:t xml:space="preserve">This option is directed at those </w:t>
      </w:r>
      <w:r w:rsidR="00016300" w:rsidRPr="00774A86">
        <w:t>p</w:t>
      </w:r>
      <w:r w:rsidR="00991E68" w:rsidRPr="00774A86">
        <w:t>articipating jurisdictions</w:t>
      </w:r>
      <w:r w:rsidRPr="00774A86">
        <w:t xml:space="preserve"> that already require </w:t>
      </w:r>
      <w:r w:rsidR="00016300" w:rsidRPr="00774A86">
        <w:t>r</w:t>
      </w:r>
      <w:r w:rsidRPr="00774A86">
        <w:t xml:space="preserve">eporting </w:t>
      </w:r>
      <w:r w:rsidR="00016300" w:rsidRPr="00774A86">
        <w:t>f</w:t>
      </w:r>
      <w:r w:rsidR="00991E68" w:rsidRPr="00774A86">
        <w:t>inancial institutions</w:t>
      </w:r>
      <w:r w:rsidRPr="00774A86">
        <w:t xml:space="preserve"> to report the average balance or value for </w:t>
      </w:r>
      <w:r w:rsidR="009F5A08" w:rsidRPr="00774A86">
        <w:t xml:space="preserve">US </w:t>
      </w:r>
      <w:r w:rsidRPr="00774A86">
        <w:t xml:space="preserve">FATCA purposes instead of the reporting of the account balance or value as </w:t>
      </w:r>
      <w:r w:rsidR="00B44E3F" w:rsidRPr="00774A86">
        <w:t xml:space="preserve">at </w:t>
      </w:r>
      <w:r w:rsidRPr="00774A86">
        <w:t>the end of the calendar year or other reporting period.</w:t>
      </w:r>
    </w:p>
    <w:p w:rsidR="0077285A" w:rsidRPr="00774A86" w:rsidRDefault="0077285A" w:rsidP="00141FBF">
      <w:pPr>
        <w:pStyle w:val="Chapter5"/>
        <w:numPr>
          <w:ilvl w:val="0"/>
          <w:numId w:val="0"/>
        </w:numPr>
      </w:pPr>
    </w:p>
    <w:p w:rsidR="0077285A" w:rsidRPr="00774A86" w:rsidRDefault="00522274" w:rsidP="00D13759">
      <w:pPr>
        <w:pStyle w:val="Chapter5"/>
      </w:pPr>
      <w:r w:rsidRPr="00774A86">
        <w:t>New Zealand</w:t>
      </w:r>
      <w:r w:rsidR="0077285A" w:rsidRPr="00774A86">
        <w:t xml:space="preserve"> does not require </w:t>
      </w:r>
      <w:r w:rsidR="00016300" w:rsidRPr="00774A86">
        <w:t>r</w:t>
      </w:r>
      <w:r w:rsidR="0077285A" w:rsidRPr="00774A86">
        <w:t xml:space="preserve">eporting </w:t>
      </w:r>
      <w:r w:rsidR="00016300" w:rsidRPr="00774A86">
        <w:t>f</w:t>
      </w:r>
      <w:r w:rsidR="00991E68" w:rsidRPr="00774A86">
        <w:t>inancial institutions</w:t>
      </w:r>
      <w:r w:rsidR="0077285A" w:rsidRPr="00774A86">
        <w:t xml:space="preserve"> to report the average balance or value for </w:t>
      </w:r>
      <w:r w:rsidR="009F5A08" w:rsidRPr="00774A86">
        <w:t xml:space="preserve">US </w:t>
      </w:r>
      <w:r w:rsidR="0077285A" w:rsidRPr="00774A86">
        <w:t xml:space="preserve">FATCA purposes. </w:t>
      </w:r>
      <w:r w:rsidR="00BF2D3B" w:rsidRPr="00774A86">
        <w:t xml:space="preserve"> </w:t>
      </w:r>
      <w:r w:rsidR="0077285A" w:rsidRPr="00774A86">
        <w:t>Therefore, we do not intend to require a similar reporting of average balance or value for CRS purposes.</w:t>
      </w:r>
    </w:p>
    <w:p w:rsidR="008C74C6" w:rsidRPr="00774A86" w:rsidRDefault="008C74C6" w:rsidP="00D64344">
      <w:pPr>
        <w:pStyle w:val="Chapter5"/>
        <w:numPr>
          <w:ilvl w:val="0"/>
          <w:numId w:val="0"/>
        </w:numPr>
        <w:ind w:left="851" w:hanging="851"/>
      </w:pPr>
      <w:bookmarkStart w:id="148" w:name="_Toc441680452"/>
      <w:bookmarkStart w:id="149" w:name="_Toc443393780"/>
    </w:p>
    <w:p w:rsidR="0077285A" w:rsidRPr="00774A86" w:rsidRDefault="0077285A" w:rsidP="00D13759">
      <w:pPr>
        <w:pStyle w:val="Heading2"/>
      </w:pPr>
      <w:r w:rsidRPr="00774A86">
        <w:t>Certain trades facilitated by brokers</w:t>
      </w:r>
      <w:bookmarkEnd w:id="148"/>
      <w:bookmarkEnd w:id="149"/>
    </w:p>
    <w:p w:rsidR="0077285A" w:rsidRPr="00774A86" w:rsidRDefault="0077285A" w:rsidP="00D13759">
      <w:pPr>
        <w:pStyle w:val="Chapter5"/>
        <w:numPr>
          <w:ilvl w:val="0"/>
          <w:numId w:val="0"/>
        </w:numPr>
        <w:ind w:left="851" w:hanging="851"/>
      </w:pPr>
    </w:p>
    <w:p w:rsidR="0077285A" w:rsidRPr="00774A86" w:rsidRDefault="00FC1B31" w:rsidP="00D13759">
      <w:pPr>
        <w:pStyle w:val="Chapter5"/>
      </w:pPr>
      <w:r w:rsidRPr="00774A86">
        <w:t>R</w:t>
      </w:r>
      <w:r w:rsidR="0077285A" w:rsidRPr="00774A86">
        <w:t xml:space="preserve">eporting </w:t>
      </w:r>
      <w:r w:rsidR="00016300" w:rsidRPr="00774A86">
        <w:t>f</w:t>
      </w:r>
      <w:r w:rsidR="00991E68" w:rsidRPr="00774A86">
        <w:t>inancial institutions</w:t>
      </w:r>
      <w:r w:rsidR="0077285A" w:rsidRPr="00774A86">
        <w:t xml:space="preserve"> </w:t>
      </w:r>
      <w:r w:rsidRPr="00774A86">
        <w:t xml:space="preserve">are obliged </w:t>
      </w:r>
      <w:r w:rsidR="0077285A" w:rsidRPr="00774A86">
        <w:t xml:space="preserve">to carry out due diligence on their </w:t>
      </w:r>
      <w:r w:rsidR="003C18F0" w:rsidRPr="00774A86">
        <w:t xml:space="preserve">non-exempt </w:t>
      </w:r>
      <w:r w:rsidR="0077285A" w:rsidRPr="00774A86">
        <w:t xml:space="preserve">accounts to identify and report </w:t>
      </w:r>
      <w:r w:rsidR="00016300" w:rsidRPr="00774A86">
        <w:t>r</w:t>
      </w:r>
      <w:r w:rsidR="00EE5866" w:rsidRPr="00774A86">
        <w:t>eportable accounts</w:t>
      </w:r>
      <w:r w:rsidR="0077285A" w:rsidRPr="00774A86">
        <w:t xml:space="preserve"> and undocumented accounts</w:t>
      </w:r>
      <w:r w:rsidR="0030367F" w:rsidRPr="00774A86">
        <w:t>.  T</w:t>
      </w:r>
      <w:r w:rsidR="0077285A" w:rsidRPr="00774A86">
        <w:t xml:space="preserve">his extends to cover exchange traded funds that are </w:t>
      </w:r>
      <w:r w:rsidR="00016300" w:rsidRPr="00774A86">
        <w:t>r</w:t>
      </w:r>
      <w:r w:rsidR="0077285A" w:rsidRPr="00774A86">
        <w:t xml:space="preserve">eporting </w:t>
      </w:r>
      <w:r w:rsidR="00016300" w:rsidRPr="00774A86">
        <w:t>f</w:t>
      </w:r>
      <w:r w:rsidR="00991E68" w:rsidRPr="00774A86">
        <w:t>inancial institutions</w:t>
      </w:r>
      <w:r w:rsidR="0077285A" w:rsidRPr="00774A86">
        <w:t xml:space="preserve"> and whose trades are facilitated by brokers</w:t>
      </w:r>
      <w:r w:rsidR="0030367F" w:rsidRPr="00774A86">
        <w:t>.  T</w:t>
      </w:r>
      <w:r w:rsidR="0077285A" w:rsidRPr="00774A86">
        <w:t xml:space="preserve">he CRS </w:t>
      </w:r>
      <w:r w:rsidR="004D6202" w:rsidRPr="00774A86">
        <w:t>C</w:t>
      </w:r>
      <w:r w:rsidR="0077285A" w:rsidRPr="00774A86">
        <w:t>ommentar</w:t>
      </w:r>
      <w:r w:rsidR="004D6202" w:rsidRPr="00774A86">
        <w:t>ies</w:t>
      </w:r>
      <w:r w:rsidR="0077285A" w:rsidRPr="00774A86">
        <w:t xml:space="preserve"> acknowledge that this could pose difficulties where the broker may have due diligence information, but </w:t>
      </w:r>
      <w:r w:rsidRPr="00774A86">
        <w:t xml:space="preserve">it is </w:t>
      </w:r>
      <w:r w:rsidR="0077285A" w:rsidRPr="00774A86">
        <w:t xml:space="preserve">the </w:t>
      </w:r>
      <w:r w:rsidR="00016300" w:rsidRPr="00774A86">
        <w:t>r</w:t>
      </w:r>
      <w:r w:rsidR="0077285A" w:rsidRPr="00774A86">
        <w:t xml:space="preserve">eporting </w:t>
      </w:r>
      <w:r w:rsidR="00016300" w:rsidRPr="00774A86">
        <w:t>f</w:t>
      </w:r>
      <w:r w:rsidR="0077285A" w:rsidRPr="00774A86">
        <w:t xml:space="preserve">inancial </w:t>
      </w:r>
      <w:r w:rsidR="00016300" w:rsidRPr="00774A86">
        <w:t>i</w:t>
      </w:r>
      <w:r w:rsidR="0077285A" w:rsidRPr="00774A86">
        <w:t xml:space="preserve">nstitution fund </w:t>
      </w:r>
      <w:r w:rsidRPr="00774A86">
        <w:t xml:space="preserve">that </w:t>
      </w:r>
      <w:r w:rsidR="0077285A" w:rsidRPr="00774A86">
        <w:t>has the CRS due diligence and reporting obligations</w:t>
      </w:r>
      <w:r w:rsidR="0030367F" w:rsidRPr="00774A86">
        <w:t>.  T</w:t>
      </w:r>
      <w:r w:rsidR="0077285A" w:rsidRPr="00774A86">
        <w:t xml:space="preserve">he </w:t>
      </w:r>
      <w:r w:rsidR="004D6202" w:rsidRPr="00774A86">
        <w:t xml:space="preserve">Commentaries </w:t>
      </w:r>
      <w:r w:rsidR="0077285A" w:rsidRPr="00774A86">
        <w:t xml:space="preserve">set out as an option that </w:t>
      </w:r>
      <w:r w:rsidR="00016300" w:rsidRPr="00774A86">
        <w:t>p</w:t>
      </w:r>
      <w:r w:rsidR="00991E68" w:rsidRPr="00774A86">
        <w:t>articipating jurisdictions</w:t>
      </w:r>
      <w:r w:rsidR="0077285A" w:rsidRPr="00774A86">
        <w:t xml:space="preserve"> may address such a case, for example, by requiring the brokers to provide all the necessary information to the fund, so that it may fulfil its reporting obligations.</w:t>
      </w:r>
      <w:r w:rsidR="0077285A" w:rsidRPr="00774A86">
        <w:rPr>
          <w:sz w:val="22"/>
          <w:szCs w:val="22"/>
          <w:vertAlign w:val="superscript"/>
        </w:rPr>
        <w:footnoteReference w:id="49"/>
      </w:r>
    </w:p>
    <w:p w:rsidR="008C74C6" w:rsidRPr="00774A86" w:rsidRDefault="008C74C6" w:rsidP="00D64344">
      <w:pPr>
        <w:pStyle w:val="Chapter5"/>
        <w:numPr>
          <w:ilvl w:val="0"/>
          <w:numId w:val="0"/>
        </w:numPr>
        <w:ind w:left="851" w:hanging="851"/>
      </w:pPr>
      <w:bookmarkStart w:id="150" w:name="_Toc441680453"/>
      <w:bookmarkStart w:id="151" w:name="_Toc443393781"/>
    </w:p>
    <w:p w:rsidR="0077285A" w:rsidRPr="00774A86" w:rsidRDefault="0077285A" w:rsidP="00D13759">
      <w:pPr>
        <w:pStyle w:val="Heading2"/>
      </w:pPr>
      <w:r w:rsidRPr="00774A86">
        <w:t>Service providers</w:t>
      </w:r>
      <w:bookmarkEnd w:id="150"/>
      <w:bookmarkEnd w:id="151"/>
    </w:p>
    <w:p w:rsidR="0077285A" w:rsidRPr="00774A86" w:rsidRDefault="0077285A" w:rsidP="00D13759">
      <w:pPr>
        <w:pStyle w:val="Chapter5"/>
        <w:numPr>
          <w:ilvl w:val="0"/>
          <w:numId w:val="0"/>
        </w:numPr>
        <w:ind w:left="851" w:hanging="851"/>
      </w:pPr>
    </w:p>
    <w:p w:rsidR="0077285A" w:rsidRPr="00774A86" w:rsidRDefault="0077285A" w:rsidP="00D13759">
      <w:pPr>
        <w:pStyle w:val="Chapter5"/>
      </w:pPr>
      <w:r w:rsidRPr="00774A86">
        <w:t xml:space="preserve">The CRS provides that each </w:t>
      </w:r>
      <w:r w:rsidR="00016300" w:rsidRPr="00774A86">
        <w:t>p</w:t>
      </w:r>
      <w:r w:rsidR="00991E68" w:rsidRPr="00774A86">
        <w:t>articipating jurisdiction</w:t>
      </w:r>
      <w:r w:rsidRPr="00774A86">
        <w:t xml:space="preserve"> may allow </w:t>
      </w:r>
      <w:r w:rsidR="00016300" w:rsidRPr="00774A86">
        <w:t>re</w:t>
      </w:r>
      <w:r w:rsidRPr="00774A86">
        <w:t xml:space="preserve">porting </w:t>
      </w:r>
      <w:r w:rsidR="00016300" w:rsidRPr="00774A86">
        <w:t>f</w:t>
      </w:r>
      <w:r w:rsidR="00991E68" w:rsidRPr="00774A86">
        <w:t>inancial institutions</w:t>
      </w:r>
      <w:r w:rsidRPr="00774A86">
        <w:t xml:space="preserve"> to use </w:t>
      </w:r>
      <w:r w:rsidR="00B44E3F" w:rsidRPr="00774A86">
        <w:t>third-</w:t>
      </w:r>
      <w:r w:rsidRPr="00774A86">
        <w:t>party service providers to fulfil their due diligence and reporting obligations</w:t>
      </w:r>
      <w:r w:rsidR="0030367F" w:rsidRPr="00774A86">
        <w:t>.  T</w:t>
      </w:r>
      <w:r w:rsidRPr="00774A86">
        <w:t xml:space="preserve">he </w:t>
      </w:r>
      <w:r w:rsidR="00016300" w:rsidRPr="00774A86">
        <w:t>r</w:t>
      </w:r>
      <w:r w:rsidRPr="00774A86">
        <w:t xml:space="preserve">eporting </w:t>
      </w:r>
      <w:r w:rsidR="00016300" w:rsidRPr="00774A86">
        <w:t>f</w:t>
      </w:r>
      <w:r w:rsidRPr="00774A86">
        <w:t xml:space="preserve">inancial </w:t>
      </w:r>
      <w:r w:rsidR="00016300" w:rsidRPr="00774A86">
        <w:t>i</w:t>
      </w:r>
      <w:r w:rsidRPr="00774A86">
        <w:t xml:space="preserve">nstitution would remain responsible for fulfilling these requirements and the actions of the service provider would be imputed to the </w:t>
      </w:r>
      <w:r w:rsidR="00016300" w:rsidRPr="00774A86">
        <w:t>r</w:t>
      </w:r>
      <w:r w:rsidRPr="00774A86">
        <w:t xml:space="preserve">eporting </w:t>
      </w:r>
      <w:r w:rsidR="00016300" w:rsidRPr="00774A86">
        <w:t>f</w:t>
      </w:r>
      <w:r w:rsidRPr="00774A86">
        <w:t xml:space="preserve">inancial </w:t>
      </w:r>
      <w:r w:rsidR="00016300" w:rsidRPr="00774A86">
        <w:t>i</w:t>
      </w:r>
      <w:r w:rsidRPr="00774A86">
        <w:t>nstitution.</w:t>
      </w:r>
      <w:r w:rsidRPr="00774A86">
        <w:rPr>
          <w:vertAlign w:val="superscript"/>
        </w:rPr>
        <w:footnoteReference w:id="50"/>
      </w:r>
    </w:p>
    <w:p w:rsidR="008C74C6" w:rsidRPr="00774A86" w:rsidRDefault="008C74C6" w:rsidP="00D64344">
      <w:pPr>
        <w:pStyle w:val="Chapter5"/>
        <w:numPr>
          <w:ilvl w:val="0"/>
          <w:numId w:val="0"/>
        </w:numPr>
        <w:ind w:left="851" w:hanging="851"/>
      </w:pPr>
      <w:bookmarkStart w:id="152" w:name="_Toc441680454"/>
      <w:bookmarkStart w:id="153" w:name="_Toc443393782"/>
    </w:p>
    <w:p w:rsidR="0043595D" w:rsidRPr="00774A86" w:rsidRDefault="0043595D">
      <w:pPr>
        <w:jc w:val="left"/>
        <w:rPr>
          <w:b/>
          <w:i/>
          <w:szCs w:val="24"/>
        </w:rPr>
      </w:pPr>
      <w:r w:rsidRPr="00774A86">
        <w:br w:type="page"/>
      </w:r>
    </w:p>
    <w:p w:rsidR="0077285A" w:rsidRPr="00774A86" w:rsidRDefault="00522274" w:rsidP="00D13759">
      <w:pPr>
        <w:pStyle w:val="Heading2"/>
      </w:pPr>
      <w:r w:rsidRPr="00774A86">
        <w:lastRenderedPageBreak/>
        <w:t>New Zealand</w:t>
      </w:r>
      <w:r w:rsidR="0077285A" w:rsidRPr="00774A86">
        <w:t xml:space="preserve"> resident </w:t>
      </w:r>
      <w:r w:rsidR="00B44E3F" w:rsidRPr="00774A86">
        <w:t xml:space="preserve">controlling persons </w:t>
      </w:r>
      <w:r w:rsidR="0077285A" w:rsidRPr="00774A86">
        <w:t xml:space="preserve">as </w:t>
      </w:r>
      <w:r w:rsidR="00DB5B9E" w:rsidRPr="00774A86">
        <w:t>“r</w:t>
      </w:r>
      <w:r w:rsidR="0077285A" w:rsidRPr="00774A86">
        <w:t xml:space="preserve">eportable </w:t>
      </w:r>
      <w:r w:rsidR="00DB5B9E" w:rsidRPr="00774A86">
        <w:t>p</w:t>
      </w:r>
      <w:r w:rsidR="0077285A" w:rsidRPr="00774A86">
        <w:t>ersons</w:t>
      </w:r>
      <w:r w:rsidR="00DB5B9E" w:rsidRPr="00774A86">
        <w:t>”</w:t>
      </w:r>
      <w:bookmarkEnd w:id="152"/>
      <w:bookmarkEnd w:id="153"/>
    </w:p>
    <w:p w:rsidR="0077285A" w:rsidRPr="00774A86" w:rsidRDefault="0077285A" w:rsidP="00D13759">
      <w:pPr>
        <w:pStyle w:val="Chapter5"/>
        <w:numPr>
          <w:ilvl w:val="0"/>
          <w:numId w:val="0"/>
        </w:numPr>
        <w:ind w:left="851" w:hanging="851"/>
      </w:pPr>
    </w:p>
    <w:p w:rsidR="0077285A" w:rsidRPr="00774A86" w:rsidRDefault="0077285A" w:rsidP="00D13759">
      <w:pPr>
        <w:pStyle w:val="Chapter5"/>
      </w:pPr>
      <w:r w:rsidRPr="00774A86">
        <w:t xml:space="preserve">Although not required by the CRS, it states that some </w:t>
      </w:r>
      <w:r w:rsidR="00016300" w:rsidRPr="00774A86">
        <w:t>p</w:t>
      </w:r>
      <w:r w:rsidR="00991E68" w:rsidRPr="00774A86">
        <w:t>articipating jurisdictions</w:t>
      </w:r>
      <w:r w:rsidRPr="00774A86">
        <w:t xml:space="preserve"> may want to extend their due diligence procedures to cover their own residents that are </w:t>
      </w:r>
      <w:r w:rsidR="00016300" w:rsidRPr="00774A86">
        <w:t>c</w:t>
      </w:r>
      <w:r w:rsidRPr="00774A86">
        <w:t xml:space="preserve">ontrolling </w:t>
      </w:r>
      <w:r w:rsidR="00016300" w:rsidRPr="00774A86">
        <w:t>p</w:t>
      </w:r>
      <w:r w:rsidRPr="00774A86">
        <w:t xml:space="preserve">ersons of </w:t>
      </w:r>
      <w:r w:rsidR="00016300" w:rsidRPr="00774A86">
        <w:t>p</w:t>
      </w:r>
      <w:r w:rsidRPr="00774A86">
        <w:t>assive NFEs.</w:t>
      </w:r>
      <w:r w:rsidRPr="00774A86">
        <w:rPr>
          <w:sz w:val="22"/>
          <w:szCs w:val="22"/>
          <w:vertAlign w:val="superscript"/>
        </w:rPr>
        <w:footnoteReference w:id="51"/>
      </w:r>
    </w:p>
    <w:p w:rsidR="0077285A" w:rsidRPr="00774A86" w:rsidRDefault="0077285A" w:rsidP="00D13759">
      <w:pPr>
        <w:pStyle w:val="Chapter5"/>
        <w:numPr>
          <w:ilvl w:val="0"/>
          <w:numId w:val="0"/>
        </w:numPr>
      </w:pPr>
    </w:p>
    <w:p w:rsidR="0077285A" w:rsidRPr="00774A86" w:rsidRDefault="0077285A" w:rsidP="00D13759">
      <w:pPr>
        <w:pStyle w:val="Chapter5"/>
      </w:pPr>
      <w:r w:rsidRPr="00774A86">
        <w:t>This may be done by broadening the scope of the definition of the term “</w:t>
      </w:r>
      <w:r w:rsidR="00016300" w:rsidRPr="00774A86">
        <w:t>r</w:t>
      </w:r>
      <w:r w:rsidRPr="00774A86">
        <w:t xml:space="preserve">eportable </w:t>
      </w:r>
      <w:r w:rsidR="00016300" w:rsidRPr="00774A86">
        <w:t>p</w:t>
      </w:r>
      <w:r w:rsidRPr="00774A86">
        <w:t>erson”</w:t>
      </w:r>
      <w:r w:rsidR="0030367F" w:rsidRPr="00774A86">
        <w:t>.  F</w:t>
      </w:r>
      <w:r w:rsidRPr="00774A86">
        <w:t xml:space="preserve">or example, this would (if implemented in New Zealand) require a </w:t>
      </w:r>
      <w:r w:rsidR="00522274" w:rsidRPr="00774A86">
        <w:t>New Zealand</w:t>
      </w:r>
      <w:r w:rsidRPr="00774A86">
        <w:t xml:space="preserve"> </w:t>
      </w:r>
      <w:r w:rsidR="00016300" w:rsidRPr="00774A86">
        <w:t>r</w:t>
      </w:r>
      <w:r w:rsidRPr="00774A86">
        <w:t xml:space="preserve">eporting </w:t>
      </w:r>
      <w:r w:rsidR="00016300" w:rsidRPr="00774A86">
        <w:t>f</w:t>
      </w:r>
      <w:r w:rsidRPr="00774A86">
        <w:t xml:space="preserve">inancial </w:t>
      </w:r>
      <w:r w:rsidR="00016300" w:rsidRPr="00774A86">
        <w:t>i</w:t>
      </w:r>
      <w:r w:rsidRPr="00774A86">
        <w:t xml:space="preserve">nstitution that maintains an account held by a </w:t>
      </w:r>
      <w:r w:rsidR="00016300" w:rsidRPr="00774A86">
        <w:t>p</w:t>
      </w:r>
      <w:r w:rsidRPr="00774A86">
        <w:t xml:space="preserve">assive NFE to report to Inland Revenue any </w:t>
      </w:r>
      <w:r w:rsidR="00522274" w:rsidRPr="00774A86">
        <w:t>New Zealand</w:t>
      </w:r>
      <w:r w:rsidRPr="00774A86">
        <w:t xml:space="preserve"> </w:t>
      </w:r>
      <w:r w:rsidR="00016300" w:rsidRPr="00774A86">
        <w:t>c</w:t>
      </w:r>
      <w:r w:rsidRPr="00774A86">
        <w:t xml:space="preserve">ontrolling </w:t>
      </w:r>
      <w:r w:rsidR="00016300" w:rsidRPr="00774A86">
        <w:t>p</w:t>
      </w:r>
      <w:r w:rsidRPr="00774A86">
        <w:t xml:space="preserve">ersons, in addition to other </w:t>
      </w:r>
      <w:r w:rsidR="00016300" w:rsidRPr="00774A86">
        <w:t>c</w:t>
      </w:r>
      <w:r w:rsidRPr="00774A86">
        <w:t xml:space="preserve">ontrolling </w:t>
      </w:r>
      <w:r w:rsidR="00016300" w:rsidRPr="00774A86">
        <w:t>p</w:t>
      </w:r>
      <w:r w:rsidRPr="00774A86">
        <w:t xml:space="preserve">ersons from </w:t>
      </w:r>
      <w:r w:rsidR="00016300" w:rsidRPr="00774A86">
        <w:t>r</w:t>
      </w:r>
      <w:r w:rsidR="00EE5866" w:rsidRPr="00774A86">
        <w:t>eportable jurisdiction</w:t>
      </w:r>
      <w:r w:rsidRPr="00774A86">
        <w:t xml:space="preserve">s of the </w:t>
      </w:r>
      <w:r w:rsidR="00016300" w:rsidRPr="00774A86">
        <w:t>p</w:t>
      </w:r>
      <w:r w:rsidRPr="00774A86">
        <w:t>assive NFE.</w:t>
      </w:r>
      <w:r w:rsidRPr="00774A86">
        <w:rPr>
          <w:sz w:val="22"/>
          <w:szCs w:val="22"/>
          <w:vertAlign w:val="superscript"/>
        </w:rPr>
        <w:footnoteReference w:id="52"/>
      </w:r>
    </w:p>
    <w:p w:rsidR="008C74C6" w:rsidRPr="00774A86" w:rsidRDefault="008C74C6" w:rsidP="00D64344">
      <w:pPr>
        <w:pStyle w:val="Chapter5"/>
        <w:numPr>
          <w:ilvl w:val="0"/>
          <w:numId w:val="0"/>
        </w:numPr>
        <w:ind w:left="851" w:hanging="851"/>
      </w:pPr>
      <w:bookmarkStart w:id="154" w:name="_Toc441680456"/>
      <w:bookmarkStart w:id="155" w:name="_Toc443393783"/>
    </w:p>
    <w:p w:rsidR="0077285A" w:rsidRPr="00774A86" w:rsidRDefault="0077285A" w:rsidP="00D13759">
      <w:pPr>
        <w:pStyle w:val="Heading2"/>
      </w:pPr>
      <w:r w:rsidRPr="00774A86">
        <w:t>Pre</w:t>
      </w:r>
      <w:r w:rsidR="00522274" w:rsidRPr="00774A86">
        <w:t>-</w:t>
      </w:r>
      <w:r w:rsidRPr="00774A86">
        <w:t xml:space="preserve">existing </w:t>
      </w:r>
      <w:r w:rsidR="00B44E3F" w:rsidRPr="00774A86">
        <w:t xml:space="preserve">entity accounts </w:t>
      </w:r>
      <w:r w:rsidRPr="00774A86">
        <w:t>– using standard industry coding systems</w:t>
      </w:r>
      <w:bookmarkEnd w:id="154"/>
      <w:bookmarkEnd w:id="155"/>
    </w:p>
    <w:p w:rsidR="0077285A" w:rsidRPr="00774A86" w:rsidRDefault="0077285A" w:rsidP="00D13759">
      <w:pPr>
        <w:pStyle w:val="Chapter5"/>
        <w:numPr>
          <w:ilvl w:val="0"/>
          <w:numId w:val="0"/>
        </w:numPr>
        <w:ind w:left="851" w:hanging="851"/>
      </w:pPr>
    </w:p>
    <w:p w:rsidR="0077285A" w:rsidRPr="00774A86" w:rsidRDefault="0077285A" w:rsidP="00D13759">
      <w:pPr>
        <w:pStyle w:val="Chapter5"/>
      </w:pPr>
      <w:r w:rsidRPr="00774A86">
        <w:t xml:space="preserve">A </w:t>
      </w:r>
      <w:r w:rsidR="00016300" w:rsidRPr="00774A86">
        <w:t>p</w:t>
      </w:r>
      <w:r w:rsidR="00991E68" w:rsidRPr="00774A86">
        <w:t>articipating jurisdiction</w:t>
      </w:r>
      <w:r w:rsidRPr="00774A86">
        <w:t xml:space="preserve"> may, with respect to </w:t>
      </w:r>
      <w:r w:rsidR="00016300" w:rsidRPr="00774A86">
        <w:t>p</w:t>
      </w:r>
      <w:r w:rsidRPr="00774A86">
        <w:t>re</w:t>
      </w:r>
      <w:r w:rsidR="00522274" w:rsidRPr="00774A86">
        <w:t>-</w:t>
      </w:r>
      <w:r w:rsidRPr="00774A86">
        <w:t xml:space="preserve">existing </w:t>
      </w:r>
      <w:r w:rsidR="00016300" w:rsidRPr="00774A86">
        <w:t>e</w:t>
      </w:r>
      <w:r w:rsidRPr="00774A86">
        <w:t xml:space="preserve">ntity </w:t>
      </w:r>
      <w:r w:rsidR="00016300" w:rsidRPr="00774A86">
        <w:t>a</w:t>
      </w:r>
      <w:r w:rsidRPr="00774A86">
        <w:t xml:space="preserve">ccounts, allow </w:t>
      </w:r>
      <w:r w:rsidR="00016300" w:rsidRPr="00774A86">
        <w:t>r</w:t>
      </w:r>
      <w:r w:rsidRPr="00774A86">
        <w:t xml:space="preserve">eporting </w:t>
      </w:r>
      <w:r w:rsidR="00016300" w:rsidRPr="00774A86">
        <w:t>f</w:t>
      </w:r>
      <w:r w:rsidR="00991E68" w:rsidRPr="00774A86">
        <w:t>inancial institutions</w:t>
      </w:r>
      <w:r w:rsidRPr="00774A86">
        <w:t xml:space="preserve"> to use as </w:t>
      </w:r>
      <w:r w:rsidR="00016300" w:rsidRPr="00774A86">
        <w:t>d</w:t>
      </w:r>
      <w:r w:rsidRPr="00774A86">
        <w:t xml:space="preserve">ocumentary </w:t>
      </w:r>
      <w:r w:rsidR="00016300" w:rsidRPr="00774A86">
        <w:t>e</w:t>
      </w:r>
      <w:r w:rsidRPr="00774A86">
        <w:t xml:space="preserve">vidence for the purposes of CRS due diligence, any classification in their records with respect to the </w:t>
      </w:r>
      <w:r w:rsidR="00016300" w:rsidRPr="00774A86">
        <w:t>a</w:t>
      </w:r>
      <w:r w:rsidRPr="00774A86">
        <w:t xml:space="preserve">ccount </w:t>
      </w:r>
      <w:r w:rsidR="00016300" w:rsidRPr="00774A86">
        <w:t>h</w:t>
      </w:r>
      <w:r w:rsidRPr="00774A86">
        <w:t xml:space="preserve">older that was determined based on a standard industry coding system (provided that certain conditions are met, as set out in the CRS </w:t>
      </w:r>
      <w:r w:rsidR="00901A07" w:rsidRPr="00774A86">
        <w:t>C</w:t>
      </w:r>
      <w:r w:rsidRPr="00774A86">
        <w:t>ommentar</w:t>
      </w:r>
      <w:r w:rsidR="00901A07" w:rsidRPr="00774A86">
        <w:t>ies</w:t>
      </w:r>
      <w:r w:rsidRPr="00774A86">
        <w:t>).</w:t>
      </w:r>
      <w:r w:rsidRPr="00774A86">
        <w:rPr>
          <w:sz w:val="22"/>
          <w:szCs w:val="22"/>
          <w:vertAlign w:val="superscript"/>
        </w:rPr>
        <w:footnoteReference w:id="53"/>
      </w:r>
    </w:p>
    <w:p w:rsidR="008C74C6" w:rsidRPr="00774A86" w:rsidRDefault="008C74C6" w:rsidP="00D64344">
      <w:pPr>
        <w:pStyle w:val="Chapter5"/>
        <w:numPr>
          <w:ilvl w:val="0"/>
          <w:numId w:val="0"/>
        </w:numPr>
        <w:ind w:left="851" w:hanging="851"/>
      </w:pPr>
      <w:bookmarkStart w:id="156" w:name="_Toc441680457"/>
      <w:bookmarkStart w:id="157" w:name="_Toc443393784"/>
    </w:p>
    <w:p w:rsidR="0077285A" w:rsidRPr="00774A86" w:rsidRDefault="0077285A" w:rsidP="00D13759">
      <w:pPr>
        <w:pStyle w:val="Heading2"/>
      </w:pPr>
      <w:r w:rsidRPr="00774A86">
        <w:t xml:space="preserve">Using the </w:t>
      </w:r>
      <w:r w:rsidR="00DB5B9E" w:rsidRPr="00774A86">
        <w:t>“</w:t>
      </w:r>
      <w:r w:rsidRPr="00774A86">
        <w:t>residence address</w:t>
      </w:r>
      <w:r w:rsidR="00DB5B9E" w:rsidRPr="00774A86">
        <w:t>”</w:t>
      </w:r>
      <w:r w:rsidRPr="00774A86">
        <w:t xml:space="preserve"> test for </w:t>
      </w:r>
      <w:r w:rsidR="00DB5B9E" w:rsidRPr="00774A86">
        <w:t>l</w:t>
      </w:r>
      <w:r w:rsidRPr="00774A86">
        <w:t xml:space="preserve">ower </w:t>
      </w:r>
      <w:r w:rsidR="00DB5B9E" w:rsidRPr="00774A86">
        <w:t>v</w:t>
      </w:r>
      <w:r w:rsidRPr="00774A86">
        <w:t xml:space="preserve">alue </w:t>
      </w:r>
      <w:r w:rsidR="00DB5B9E" w:rsidRPr="00774A86">
        <w:t>p</w:t>
      </w:r>
      <w:r w:rsidRPr="00774A86">
        <w:t>re</w:t>
      </w:r>
      <w:r w:rsidR="00522274" w:rsidRPr="00774A86">
        <w:t>-</w:t>
      </w:r>
      <w:r w:rsidRPr="00774A86">
        <w:t xml:space="preserve">existing </w:t>
      </w:r>
      <w:r w:rsidR="00DB5B9E" w:rsidRPr="00774A86">
        <w:t>i</w:t>
      </w:r>
      <w:r w:rsidRPr="00774A86">
        <w:t xml:space="preserve">ndividual </w:t>
      </w:r>
      <w:r w:rsidR="00DB5B9E" w:rsidRPr="00774A86">
        <w:t>a</w:t>
      </w:r>
      <w:r w:rsidRPr="00774A86">
        <w:t>ccounts</w:t>
      </w:r>
      <w:bookmarkEnd w:id="156"/>
      <w:bookmarkEnd w:id="157"/>
    </w:p>
    <w:p w:rsidR="0077285A" w:rsidRPr="00774A86" w:rsidRDefault="0077285A" w:rsidP="00D13759">
      <w:pPr>
        <w:pStyle w:val="Chapter5"/>
        <w:numPr>
          <w:ilvl w:val="0"/>
          <w:numId w:val="0"/>
        </w:numPr>
        <w:ind w:left="851" w:hanging="851"/>
      </w:pPr>
    </w:p>
    <w:p w:rsidR="0077285A" w:rsidRPr="00774A86" w:rsidRDefault="0077285A" w:rsidP="00D13759">
      <w:pPr>
        <w:pStyle w:val="Chapter5"/>
      </w:pPr>
      <w:r w:rsidRPr="00774A86">
        <w:t xml:space="preserve">The CRS provides that a </w:t>
      </w:r>
      <w:r w:rsidR="00016300" w:rsidRPr="00774A86">
        <w:t>p</w:t>
      </w:r>
      <w:r w:rsidR="00991E68" w:rsidRPr="00774A86">
        <w:t>articipating jurisdiction</w:t>
      </w:r>
      <w:r w:rsidRPr="00774A86">
        <w:t xml:space="preserve"> may give </w:t>
      </w:r>
      <w:r w:rsidR="00016300" w:rsidRPr="00774A86">
        <w:t>r</w:t>
      </w:r>
      <w:r w:rsidRPr="00774A86">
        <w:t xml:space="preserve">eporting </w:t>
      </w:r>
      <w:r w:rsidR="00016300" w:rsidRPr="00774A86">
        <w:t>f</w:t>
      </w:r>
      <w:r w:rsidR="00991E68" w:rsidRPr="00774A86">
        <w:t>inancial institutions</w:t>
      </w:r>
      <w:r w:rsidRPr="00774A86">
        <w:t xml:space="preserve"> the option to use a residence address test for Lower </w:t>
      </w:r>
      <w:r w:rsidR="00016300" w:rsidRPr="00774A86">
        <w:t>v</w:t>
      </w:r>
      <w:r w:rsidRPr="00774A86">
        <w:t xml:space="preserve">alue </w:t>
      </w:r>
      <w:r w:rsidR="00016300" w:rsidRPr="00774A86">
        <w:t>p</w:t>
      </w:r>
      <w:r w:rsidRPr="00774A86">
        <w:t>re</w:t>
      </w:r>
      <w:r w:rsidR="00522274" w:rsidRPr="00774A86">
        <w:t>-</w:t>
      </w:r>
      <w:r w:rsidRPr="00774A86">
        <w:t xml:space="preserve">existing </w:t>
      </w:r>
      <w:r w:rsidR="00016300" w:rsidRPr="00774A86">
        <w:t>i</w:t>
      </w:r>
      <w:r w:rsidRPr="00774A86">
        <w:t xml:space="preserve">ndividual </w:t>
      </w:r>
      <w:r w:rsidR="00016300" w:rsidRPr="00774A86">
        <w:t>a</w:t>
      </w:r>
      <w:r w:rsidRPr="00774A86">
        <w:t xml:space="preserve">ccounts (as an alternative to the electronic records test) to identify the tax residence of the </w:t>
      </w:r>
      <w:r w:rsidR="00016300" w:rsidRPr="00774A86">
        <w:t>a</w:t>
      </w:r>
      <w:r w:rsidRPr="00774A86">
        <w:t xml:space="preserve">ccount </w:t>
      </w:r>
      <w:r w:rsidR="00016300" w:rsidRPr="00774A86">
        <w:t>h</w:t>
      </w:r>
      <w:r w:rsidRPr="00774A86">
        <w:t xml:space="preserve">older, including using an </w:t>
      </w:r>
      <w:r w:rsidR="00B44E3F" w:rsidRPr="00774A86">
        <w:t>“</w:t>
      </w:r>
      <w:r w:rsidRPr="00774A86">
        <w:t>in care of</w:t>
      </w:r>
      <w:r w:rsidR="00B44E3F" w:rsidRPr="00774A86">
        <w:t>”</w:t>
      </w:r>
      <w:r w:rsidRPr="00774A86">
        <w:t xml:space="preserve"> address or post office box for the same purposes, in certain special defined circumstances</w:t>
      </w:r>
      <w:r w:rsidR="0030367F" w:rsidRPr="00774A86">
        <w:t>.  A</w:t>
      </w:r>
      <w:r w:rsidRPr="00774A86">
        <w:t xml:space="preserve"> </w:t>
      </w:r>
      <w:r w:rsidR="00016300" w:rsidRPr="00774A86">
        <w:t>p</w:t>
      </w:r>
      <w:r w:rsidR="00991E68" w:rsidRPr="00774A86">
        <w:t>articipating jurisdiction</w:t>
      </w:r>
      <w:r w:rsidRPr="00774A86">
        <w:t xml:space="preserve"> is also able to apply the </w:t>
      </w:r>
      <w:r w:rsidR="00DB5B9E" w:rsidRPr="00774A86">
        <w:t>“</w:t>
      </w:r>
      <w:r w:rsidRPr="00774A86">
        <w:t>change in circumstances</w:t>
      </w:r>
      <w:r w:rsidR="00DB5B9E" w:rsidRPr="00774A86">
        <w:t>”</w:t>
      </w:r>
      <w:r w:rsidRPr="00774A86">
        <w:t xml:space="preserve"> procedures to the residence address test.</w:t>
      </w:r>
      <w:r w:rsidRPr="00774A86">
        <w:rPr>
          <w:sz w:val="22"/>
          <w:szCs w:val="22"/>
          <w:vertAlign w:val="superscript"/>
        </w:rPr>
        <w:footnoteReference w:id="54"/>
      </w:r>
      <w:r w:rsidR="003C18F0" w:rsidRPr="00774A86">
        <w:t xml:space="preserve">  This is explained in detail in the Appendix.</w:t>
      </w:r>
    </w:p>
    <w:p w:rsidR="008C74C6" w:rsidRPr="00774A86" w:rsidRDefault="008C74C6" w:rsidP="00D64344">
      <w:pPr>
        <w:pStyle w:val="Chapter5"/>
        <w:numPr>
          <w:ilvl w:val="0"/>
          <w:numId w:val="0"/>
        </w:numPr>
        <w:ind w:left="851" w:hanging="851"/>
      </w:pPr>
      <w:bookmarkStart w:id="158" w:name="_Toc441680458"/>
      <w:bookmarkStart w:id="159" w:name="_Toc443393785"/>
    </w:p>
    <w:p w:rsidR="0077285A" w:rsidRPr="00774A86" w:rsidRDefault="00DB5B9E" w:rsidP="00D13759">
      <w:pPr>
        <w:pStyle w:val="Heading2"/>
      </w:pPr>
      <w:r w:rsidRPr="00774A86">
        <w:t>“</w:t>
      </w:r>
      <w:r w:rsidR="0077285A" w:rsidRPr="00774A86">
        <w:t xml:space="preserve">Related </w:t>
      </w:r>
      <w:r w:rsidRPr="00774A86">
        <w:t>e</w:t>
      </w:r>
      <w:r w:rsidR="0077285A" w:rsidRPr="00774A86">
        <w:t>ntity</w:t>
      </w:r>
      <w:r w:rsidRPr="00774A86">
        <w:t>”</w:t>
      </w:r>
      <w:r w:rsidR="0077285A" w:rsidRPr="00774A86">
        <w:t xml:space="preserve"> definition and managed investment fund</w:t>
      </w:r>
      <w:bookmarkEnd w:id="158"/>
      <w:r w:rsidR="0077285A" w:rsidRPr="00774A86">
        <w:t>s</w:t>
      </w:r>
      <w:bookmarkEnd w:id="159"/>
    </w:p>
    <w:p w:rsidR="0077285A" w:rsidRPr="00774A86" w:rsidRDefault="0077285A" w:rsidP="00D13759">
      <w:pPr>
        <w:pStyle w:val="Chapter5"/>
        <w:numPr>
          <w:ilvl w:val="0"/>
          <w:numId w:val="0"/>
        </w:numPr>
        <w:ind w:left="851" w:hanging="851"/>
      </w:pPr>
    </w:p>
    <w:p w:rsidR="0077285A" w:rsidRPr="00774A86" w:rsidRDefault="0077285A" w:rsidP="00D13759">
      <w:pPr>
        <w:pStyle w:val="Chapter5"/>
      </w:pPr>
      <w:r w:rsidRPr="00774A86">
        <w:t xml:space="preserve">This option relates to the ability of a </w:t>
      </w:r>
      <w:r w:rsidR="00016300" w:rsidRPr="00774A86">
        <w:t>p</w:t>
      </w:r>
      <w:r w:rsidR="00991E68" w:rsidRPr="00774A86">
        <w:t>articipating jurisdiction</w:t>
      </w:r>
      <w:r w:rsidRPr="00774A86">
        <w:t xml:space="preserve"> to adopt an expanded definition of “</w:t>
      </w:r>
      <w:r w:rsidR="00016300" w:rsidRPr="00774A86">
        <w:t>r</w:t>
      </w:r>
      <w:r w:rsidRPr="00774A86">
        <w:t xml:space="preserve">elated </w:t>
      </w:r>
      <w:r w:rsidR="00016300" w:rsidRPr="00774A86">
        <w:t>e</w:t>
      </w:r>
      <w:r w:rsidRPr="00774A86">
        <w:t>ntity” to cover managed investment funds for the purposes of CRS due diligence.</w:t>
      </w:r>
    </w:p>
    <w:p w:rsidR="0077285A" w:rsidRPr="00774A86" w:rsidRDefault="0077285A" w:rsidP="00D13759">
      <w:pPr>
        <w:pStyle w:val="Chapter5"/>
        <w:numPr>
          <w:ilvl w:val="0"/>
          <w:numId w:val="0"/>
        </w:numPr>
      </w:pPr>
    </w:p>
    <w:p w:rsidR="0077285A" w:rsidRPr="00774A86" w:rsidRDefault="0077285A" w:rsidP="00D13759">
      <w:pPr>
        <w:pStyle w:val="Chapter5"/>
      </w:pPr>
      <w:r w:rsidRPr="00774A86">
        <w:t xml:space="preserve">“Related </w:t>
      </w:r>
      <w:r w:rsidR="00016300" w:rsidRPr="00774A86">
        <w:t>e</w:t>
      </w:r>
      <w:r w:rsidRPr="00774A86">
        <w:t xml:space="preserve">ntities” are generally defined </w:t>
      </w:r>
      <w:r w:rsidR="003C18F0" w:rsidRPr="00774A86">
        <w:t xml:space="preserve">in the CRS </w:t>
      </w:r>
      <w:r w:rsidRPr="00774A86">
        <w:t>as one entity that controls another entity, or two or more entities that are under common control.</w:t>
      </w:r>
    </w:p>
    <w:p w:rsidR="00CB5012" w:rsidRPr="00774A86" w:rsidRDefault="00CB5012" w:rsidP="00D13759">
      <w:pPr>
        <w:pStyle w:val="Chapter5"/>
        <w:numPr>
          <w:ilvl w:val="0"/>
          <w:numId w:val="0"/>
        </w:numPr>
      </w:pPr>
    </w:p>
    <w:p w:rsidR="0077285A" w:rsidRPr="00774A86" w:rsidRDefault="0077285A" w:rsidP="00426E60">
      <w:pPr>
        <w:pStyle w:val="Chapter5"/>
      </w:pPr>
      <w:r w:rsidRPr="00774A86">
        <w:t xml:space="preserve">As provided in the CRS </w:t>
      </w:r>
      <w:r w:rsidR="00901A07" w:rsidRPr="00774A86">
        <w:t>Commentaries</w:t>
      </w:r>
      <w:r w:rsidRPr="00774A86">
        <w:t xml:space="preserve">, most </w:t>
      </w:r>
      <w:r w:rsidR="00016300" w:rsidRPr="00774A86">
        <w:t>i</w:t>
      </w:r>
      <w:r w:rsidRPr="00774A86">
        <w:t xml:space="preserve">nvestment </w:t>
      </w:r>
      <w:r w:rsidR="00016300" w:rsidRPr="00774A86">
        <w:t>e</w:t>
      </w:r>
      <w:r w:rsidRPr="00774A86">
        <w:t xml:space="preserve">ntity funds may not qualify as a </w:t>
      </w:r>
      <w:r w:rsidR="00016300" w:rsidRPr="00774A86">
        <w:t>r</w:t>
      </w:r>
      <w:r w:rsidRPr="00774A86">
        <w:t xml:space="preserve">elated </w:t>
      </w:r>
      <w:r w:rsidR="00016300" w:rsidRPr="00774A86">
        <w:t>e</w:t>
      </w:r>
      <w:r w:rsidRPr="00774A86">
        <w:t xml:space="preserve">ntity of another fund, and thus, will not be able to apply the rules for treating certain </w:t>
      </w:r>
      <w:r w:rsidR="00016300" w:rsidRPr="00774A86">
        <w:t>n</w:t>
      </w:r>
      <w:r w:rsidRPr="00774A86">
        <w:t xml:space="preserve">ew </w:t>
      </w:r>
      <w:r w:rsidR="00016300" w:rsidRPr="00774A86">
        <w:t>a</w:t>
      </w:r>
      <w:r w:rsidRPr="00774A86">
        <w:t xml:space="preserve">ccounts opened by pre-existing customers (referred to below) as being </w:t>
      </w:r>
      <w:r w:rsidR="00016300" w:rsidRPr="00774A86">
        <w:t>p</w:t>
      </w:r>
      <w:r w:rsidRPr="00774A86">
        <w:t>re</w:t>
      </w:r>
      <w:r w:rsidR="00522274" w:rsidRPr="00774A86">
        <w:t>-</w:t>
      </w:r>
      <w:r w:rsidRPr="00774A86">
        <w:t xml:space="preserve">existing </w:t>
      </w:r>
      <w:r w:rsidR="00016300" w:rsidRPr="00774A86">
        <w:t>a</w:t>
      </w:r>
      <w:r w:rsidRPr="00774A86">
        <w:t xml:space="preserve">ccounts, or to apply the account aggregation rules to </w:t>
      </w:r>
      <w:r w:rsidR="00016300" w:rsidRPr="00774A86">
        <w:t>f</w:t>
      </w:r>
      <w:r w:rsidRPr="00774A86">
        <w:t xml:space="preserve">inancial </w:t>
      </w:r>
      <w:r w:rsidR="00016300" w:rsidRPr="00774A86">
        <w:t>a</w:t>
      </w:r>
      <w:r w:rsidRPr="00774A86">
        <w:t xml:space="preserve">ccounts maintained by </w:t>
      </w:r>
      <w:r w:rsidR="00016300" w:rsidRPr="00774A86">
        <w:t>r</w:t>
      </w:r>
      <w:r w:rsidRPr="00774A86">
        <w:t xml:space="preserve">elated </w:t>
      </w:r>
      <w:r w:rsidR="00016300" w:rsidRPr="00774A86">
        <w:t>e</w:t>
      </w:r>
      <w:r w:rsidRPr="00774A86">
        <w:t xml:space="preserve">ntities. </w:t>
      </w:r>
      <w:r w:rsidR="003C18F0" w:rsidRPr="00774A86">
        <w:t xml:space="preserve"> (These types of accounts and procedures are expanded upon in the Appendix</w:t>
      </w:r>
      <w:r w:rsidR="001503F3" w:rsidRPr="00774A86">
        <w:t xml:space="preserve"> and Glossary</w:t>
      </w:r>
      <w:r w:rsidR="003C18F0" w:rsidRPr="00774A86">
        <w:t>)</w:t>
      </w:r>
      <w:r w:rsidR="00062652" w:rsidRPr="00774A86">
        <w:t>.</w:t>
      </w:r>
    </w:p>
    <w:p w:rsidR="0077285A" w:rsidRPr="00774A86" w:rsidRDefault="0077285A" w:rsidP="00D13759">
      <w:pPr>
        <w:pStyle w:val="Chapter5"/>
      </w:pPr>
      <w:r w:rsidRPr="00774A86">
        <w:lastRenderedPageBreak/>
        <w:t xml:space="preserve">However, the CRS provides that a </w:t>
      </w:r>
      <w:r w:rsidR="00016300" w:rsidRPr="00774A86">
        <w:t>p</w:t>
      </w:r>
      <w:r w:rsidR="00991E68" w:rsidRPr="00774A86">
        <w:t>articipating jurisdiction</w:t>
      </w:r>
      <w:r w:rsidRPr="00774A86">
        <w:t xml:space="preserve"> may choose to adopt an expanded definition of “</w:t>
      </w:r>
      <w:r w:rsidR="00016300" w:rsidRPr="00774A86">
        <w:t>r</w:t>
      </w:r>
      <w:r w:rsidRPr="00774A86">
        <w:t xml:space="preserve">elated </w:t>
      </w:r>
      <w:r w:rsidR="00016300" w:rsidRPr="00774A86">
        <w:t>e</w:t>
      </w:r>
      <w:r w:rsidRPr="00774A86">
        <w:t xml:space="preserve">ntity” that also covers two managed </w:t>
      </w:r>
      <w:r w:rsidR="00016300" w:rsidRPr="00774A86">
        <w:t>i</w:t>
      </w:r>
      <w:r w:rsidRPr="00774A86">
        <w:t xml:space="preserve">nvestment </w:t>
      </w:r>
      <w:r w:rsidR="00016300" w:rsidRPr="00774A86">
        <w:t>e</w:t>
      </w:r>
      <w:r w:rsidRPr="00774A86">
        <w:t>ntities that are under common management where such management fulfils the due diligence obligations of such entities.</w:t>
      </w:r>
    </w:p>
    <w:p w:rsidR="0077285A" w:rsidRPr="00774A86" w:rsidRDefault="0077285A" w:rsidP="00D13759">
      <w:pPr>
        <w:pStyle w:val="Chapter5"/>
        <w:numPr>
          <w:ilvl w:val="0"/>
          <w:numId w:val="0"/>
        </w:numPr>
      </w:pPr>
    </w:p>
    <w:p w:rsidR="0077285A" w:rsidRPr="00774A86" w:rsidRDefault="0077285A" w:rsidP="00D13759">
      <w:pPr>
        <w:pStyle w:val="Chapter5"/>
      </w:pPr>
      <w:r w:rsidRPr="00774A86">
        <w:t xml:space="preserve">If such an expanded definition of </w:t>
      </w:r>
      <w:r w:rsidR="00DB5B9E" w:rsidRPr="00774A86">
        <w:t>“</w:t>
      </w:r>
      <w:r w:rsidR="00016300" w:rsidRPr="00774A86">
        <w:t>r</w:t>
      </w:r>
      <w:r w:rsidRPr="00774A86">
        <w:t xml:space="preserve">elated </w:t>
      </w:r>
      <w:r w:rsidR="00016300" w:rsidRPr="00774A86">
        <w:t>e</w:t>
      </w:r>
      <w:r w:rsidRPr="00774A86">
        <w:t xml:space="preserve">ntity” is used, this will allow managed funds to benefit from the CRS due diligence procedures that leverage off the “related entity” test, such as the ability to treat certain </w:t>
      </w:r>
      <w:r w:rsidR="00016300" w:rsidRPr="00774A86">
        <w:t>n</w:t>
      </w:r>
      <w:r w:rsidRPr="00774A86">
        <w:t xml:space="preserve">ew </w:t>
      </w:r>
      <w:r w:rsidR="00016300" w:rsidRPr="00774A86">
        <w:t>a</w:t>
      </w:r>
      <w:r w:rsidRPr="00774A86">
        <w:t xml:space="preserve">ccounts opened by pre-existing customers (referred to below) as being </w:t>
      </w:r>
      <w:r w:rsidR="00016300" w:rsidRPr="00774A86">
        <w:t>p</w:t>
      </w:r>
      <w:r w:rsidRPr="00774A86">
        <w:t>re</w:t>
      </w:r>
      <w:r w:rsidR="00522274" w:rsidRPr="00774A86">
        <w:t>-</w:t>
      </w:r>
      <w:r w:rsidRPr="00774A86">
        <w:t xml:space="preserve">existing </w:t>
      </w:r>
      <w:r w:rsidR="00016300" w:rsidRPr="00774A86">
        <w:t>a</w:t>
      </w:r>
      <w:r w:rsidRPr="00774A86">
        <w:t xml:space="preserve">ccounts, or to apply the account aggregation rules to </w:t>
      </w:r>
      <w:r w:rsidR="00016300" w:rsidRPr="00774A86">
        <w:t>f</w:t>
      </w:r>
      <w:r w:rsidRPr="00774A86">
        <w:t xml:space="preserve">inancial </w:t>
      </w:r>
      <w:r w:rsidR="00016300" w:rsidRPr="00774A86">
        <w:t>a</w:t>
      </w:r>
      <w:r w:rsidRPr="00774A86">
        <w:t xml:space="preserve">ccounts maintained by </w:t>
      </w:r>
      <w:r w:rsidR="00016300" w:rsidRPr="00774A86">
        <w:t>r</w:t>
      </w:r>
      <w:r w:rsidRPr="00774A86">
        <w:t xml:space="preserve">elated </w:t>
      </w:r>
      <w:r w:rsidR="00016300" w:rsidRPr="00774A86">
        <w:t>e</w:t>
      </w:r>
      <w:r w:rsidRPr="00774A86">
        <w:t>ntities.</w:t>
      </w:r>
      <w:r w:rsidRPr="00774A86">
        <w:rPr>
          <w:sz w:val="22"/>
          <w:szCs w:val="22"/>
          <w:vertAlign w:val="superscript"/>
        </w:rPr>
        <w:footnoteReference w:id="55"/>
      </w:r>
    </w:p>
    <w:p w:rsidR="008C74C6" w:rsidRPr="00774A86" w:rsidRDefault="008C74C6" w:rsidP="00D64344">
      <w:pPr>
        <w:pStyle w:val="Chapter5"/>
        <w:numPr>
          <w:ilvl w:val="0"/>
          <w:numId w:val="0"/>
        </w:numPr>
        <w:ind w:left="851" w:hanging="851"/>
      </w:pPr>
      <w:bookmarkStart w:id="160" w:name="_Toc441680459"/>
      <w:bookmarkStart w:id="161" w:name="_Toc443393786"/>
    </w:p>
    <w:p w:rsidR="0077285A" w:rsidRPr="00774A86" w:rsidRDefault="0077285A" w:rsidP="00D13759">
      <w:pPr>
        <w:pStyle w:val="Heading2"/>
      </w:pPr>
      <w:r w:rsidRPr="00774A86">
        <w:t>Pre</w:t>
      </w:r>
      <w:r w:rsidR="00522274" w:rsidRPr="00774A86">
        <w:t>-</w:t>
      </w:r>
      <w:r w:rsidRPr="00774A86">
        <w:t xml:space="preserve">existing </w:t>
      </w:r>
      <w:r w:rsidR="0030367F" w:rsidRPr="00774A86">
        <w:t>e</w:t>
      </w:r>
      <w:r w:rsidRPr="00774A86">
        <w:t>ntity</w:t>
      </w:r>
      <w:r w:rsidR="0030367F" w:rsidRPr="00774A86">
        <w:t xml:space="preserve"> a</w:t>
      </w:r>
      <w:r w:rsidRPr="00774A86">
        <w:t>ccounts</w:t>
      </w:r>
      <w:bookmarkEnd w:id="160"/>
      <w:r w:rsidRPr="00774A86">
        <w:t>’ threshold</w:t>
      </w:r>
      <w:bookmarkEnd w:id="161"/>
    </w:p>
    <w:p w:rsidR="0077285A" w:rsidRPr="00774A86" w:rsidRDefault="0077285A" w:rsidP="00D13759">
      <w:pPr>
        <w:pStyle w:val="Chapter5"/>
        <w:numPr>
          <w:ilvl w:val="0"/>
          <w:numId w:val="0"/>
        </w:numPr>
        <w:ind w:left="851" w:hanging="851"/>
      </w:pPr>
    </w:p>
    <w:p w:rsidR="0077285A" w:rsidRPr="00774A86" w:rsidRDefault="0077285A" w:rsidP="00D13759">
      <w:pPr>
        <w:pStyle w:val="Chapter5"/>
      </w:pPr>
      <w:r w:rsidRPr="00774A86">
        <w:t xml:space="preserve">The CRS provides that a </w:t>
      </w:r>
      <w:r w:rsidR="00016300" w:rsidRPr="00774A86">
        <w:t>p</w:t>
      </w:r>
      <w:r w:rsidR="00991E68" w:rsidRPr="00774A86">
        <w:t>articipating jurisdiction</w:t>
      </w:r>
      <w:r w:rsidRPr="00774A86">
        <w:t xml:space="preserve"> may give </w:t>
      </w:r>
      <w:r w:rsidR="00016300" w:rsidRPr="00774A86">
        <w:t>r</w:t>
      </w:r>
      <w:r w:rsidRPr="00774A86">
        <w:t xml:space="preserve">eporting </w:t>
      </w:r>
      <w:r w:rsidR="00016300" w:rsidRPr="00774A86">
        <w:t>f</w:t>
      </w:r>
      <w:r w:rsidR="00991E68" w:rsidRPr="00774A86">
        <w:t>inancial institutions</w:t>
      </w:r>
      <w:r w:rsidRPr="00774A86">
        <w:t xml:space="preserve"> the option of excluding from due diligence and reporting a </w:t>
      </w:r>
      <w:r w:rsidR="00016300" w:rsidRPr="00774A86">
        <w:t>p</w:t>
      </w:r>
      <w:r w:rsidRPr="00774A86">
        <w:t>re</w:t>
      </w:r>
      <w:r w:rsidR="00522274" w:rsidRPr="00774A86">
        <w:t>-</w:t>
      </w:r>
      <w:r w:rsidRPr="00774A86">
        <w:t xml:space="preserve">existing </w:t>
      </w:r>
      <w:r w:rsidR="00016300" w:rsidRPr="00774A86">
        <w:t>e</w:t>
      </w:r>
      <w:r w:rsidRPr="00774A86">
        <w:t xml:space="preserve">ntity </w:t>
      </w:r>
      <w:r w:rsidR="00016300" w:rsidRPr="00774A86">
        <w:t>a</w:t>
      </w:r>
      <w:r w:rsidRPr="00774A86">
        <w:t xml:space="preserve">ccount that they maintain has an aggregate balance or value of </w:t>
      </w:r>
      <w:r w:rsidR="00B44E3F" w:rsidRPr="00774A86">
        <w:t xml:space="preserve">US </w:t>
      </w:r>
      <w:r w:rsidR="00774A86">
        <w:t>$</w:t>
      </w:r>
      <w:r w:rsidRPr="00774A86">
        <w:t>250,000 or less</w:t>
      </w:r>
      <w:r w:rsidR="003C18F0" w:rsidRPr="00774A86">
        <w:t xml:space="preserve"> at the relevant CRS date</w:t>
      </w:r>
      <w:r w:rsidRPr="00774A86">
        <w:t>.</w:t>
      </w:r>
      <w:r w:rsidRPr="00774A86">
        <w:rPr>
          <w:sz w:val="22"/>
          <w:szCs w:val="22"/>
          <w:vertAlign w:val="superscript"/>
        </w:rPr>
        <w:footnoteReference w:id="56"/>
      </w:r>
    </w:p>
    <w:p w:rsidR="0077285A" w:rsidRPr="00774A86" w:rsidRDefault="0077285A" w:rsidP="00D13759">
      <w:pPr>
        <w:pStyle w:val="Chapter5"/>
        <w:numPr>
          <w:ilvl w:val="0"/>
          <w:numId w:val="0"/>
        </w:numPr>
      </w:pPr>
    </w:p>
    <w:p w:rsidR="0077285A" w:rsidRPr="00774A86" w:rsidRDefault="0077285A" w:rsidP="00D13759">
      <w:pPr>
        <w:pStyle w:val="Chapter5"/>
      </w:pPr>
      <w:r w:rsidRPr="00774A86">
        <w:t xml:space="preserve">If, at the end of a subsequent reporting period, the aggregate account balance or value of the </w:t>
      </w:r>
      <w:r w:rsidR="00016300" w:rsidRPr="00774A86">
        <w:t>p</w:t>
      </w:r>
      <w:r w:rsidRPr="00774A86">
        <w:t>re</w:t>
      </w:r>
      <w:r w:rsidR="00522274" w:rsidRPr="00774A86">
        <w:t>-</w:t>
      </w:r>
      <w:r w:rsidRPr="00774A86">
        <w:t xml:space="preserve">existing </w:t>
      </w:r>
      <w:r w:rsidR="00016300" w:rsidRPr="00774A86">
        <w:t>e</w:t>
      </w:r>
      <w:r w:rsidRPr="00774A86">
        <w:t xml:space="preserve">ntity </w:t>
      </w:r>
      <w:r w:rsidR="00016300" w:rsidRPr="00774A86">
        <w:t>a</w:t>
      </w:r>
      <w:r w:rsidRPr="00774A86">
        <w:t xml:space="preserve">ccount exceeds </w:t>
      </w:r>
      <w:r w:rsidR="00B44E3F" w:rsidRPr="00774A86">
        <w:t xml:space="preserve">US </w:t>
      </w:r>
      <w:r w:rsidR="00774A86">
        <w:t>$</w:t>
      </w:r>
      <w:r w:rsidRPr="00774A86">
        <w:t xml:space="preserve">250,000, then the </w:t>
      </w:r>
      <w:r w:rsidR="00016300" w:rsidRPr="00774A86">
        <w:t>r</w:t>
      </w:r>
      <w:r w:rsidRPr="00774A86">
        <w:t xml:space="preserve">eporting </w:t>
      </w:r>
      <w:r w:rsidR="00016300" w:rsidRPr="00774A86">
        <w:t>f</w:t>
      </w:r>
      <w:r w:rsidRPr="00774A86">
        <w:t xml:space="preserve">inancial </w:t>
      </w:r>
      <w:r w:rsidR="00016300" w:rsidRPr="00774A86">
        <w:t>i</w:t>
      </w:r>
      <w:r w:rsidRPr="00774A86">
        <w:t xml:space="preserve">nstitution would need to apply the due diligence procedures to identify whether the account is a </w:t>
      </w:r>
      <w:r w:rsidR="00016300" w:rsidRPr="00774A86">
        <w:t>r</w:t>
      </w:r>
      <w:r w:rsidRPr="00774A86">
        <w:t xml:space="preserve">eportable </w:t>
      </w:r>
      <w:r w:rsidR="00016300" w:rsidRPr="00774A86">
        <w:t>a</w:t>
      </w:r>
      <w:r w:rsidRPr="00774A86">
        <w:t>ccount.</w:t>
      </w:r>
    </w:p>
    <w:p w:rsidR="0077285A" w:rsidRPr="00774A86" w:rsidRDefault="0077285A" w:rsidP="00D13759">
      <w:pPr>
        <w:pStyle w:val="Chapter5"/>
        <w:numPr>
          <w:ilvl w:val="0"/>
          <w:numId w:val="0"/>
        </w:numPr>
      </w:pPr>
    </w:p>
    <w:p w:rsidR="0077285A" w:rsidRPr="00774A86" w:rsidRDefault="0077285A" w:rsidP="00D13759">
      <w:pPr>
        <w:pStyle w:val="Chapter5"/>
      </w:pPr>
      <w:r w:rsidRPr="00774A86">
        <w:t xml:space="preserve">This threshold recognises compliance costs associated with reviewing </w:t>
      </w:r>
      <w:r w:rsidR="00016300" w:rsidRPr="00774A86">
        <w:t>p</w:t>
      </w:r>
      <w:r w:rsidRPr="00774A86">
        <w:t>re</w:t>
      </w:r>
      <w:r w:rsidR="00522274" w:rsidRPr="00774A86">
        <w:t>-</w:t>
      </w:r>
      <w:r w:rsidRPr="00774A86">
        <w:t xml:space="preserve">existing </w:t>
      </w:r>
      <w:r w:rsidR="00016300" w:rsidRPr="00774A86">
        <w:t>e</w:t>
      </w:r>
      <w:r w:rsidRPr="00774A86">
        <w:t xml:space="preserve">ntity </w:t>
      </w:r>
      <w:r w:rsidR="00016300" w:rsidRPr="00774A86">
        <w:t>a</w:t>
      </w:r>
      <w:r w:rsidRPr="00774A86">
        <w:t>ccounts.</w:t>
      </w:r>
    </w:p>
    <w:p w:rsidR="008C74C6" w:rsidRPr="00774A86" w:rsidRDefault="008C74C6" w:rsidP="00D64344">
      <w:pPr>
        <w:pStyle w:val="Chapter5"/>
        <w:numPr>
          <w:ilvl w:val="0"/>
          <w:numId w:val="0"/>
        </w:numPr>
        <w:ind w:left="851" w:hanging="851"/>
      </w:pPr>
      <w:bookmarkStart w:id="162" w:name="_Toc441680460"/>
      <w:bookmarkStart w:id="163" w:name="_Toc443393787"/>
    </w:p>
    <w:p w:rsidR="0077285A" w:rsidRPr="00774A86" w:rsidRDefault="0077285A" w:rsidP="00D13759">
      <w:pPr>
        <w:pStyle w:val="Heading2"/>
      </w:pPr>
      <w:r w:rsidRPr="00774A86">
        <w:t>Alternative due diligence procedures</w:t>
      </w:r>
      <w:bookmarkEnd w:id="162"/>
      <w:bookmarkEnd w:id="163"/>
    </w:p>
    <w:p w:rsidR="0077285A" w:rsidRPr="00774A86" w:rsidRDefault="0077285A" w:rsidP="00D13759">
      <w:pPr>
        <w:pStyle w:val="Chapter5"/>
        <w:numPr>
          <w:ilvl w:val="0"/>
          <w:numId w:val="0"/>
        </w:numPr>
        <w:ind w:left="851" w:hanging="851"/>
      </w:pPr>
    </w:p>
    <w:p w:rsidR="0077285A" w:rsidRPr="00774A86" w:rsidRDefault="0077285A" w:rsidP="00D13759">
      <w:pPr>
        <w:pStyle w:val="Chapter5"/>
      </w:pPr>
      <w:r w:rsidRPr="00774A86">
        <w:t xml:space="preserve">Each </w:t>
      </w:r>
      <w:r w:rsidR="00016300" w:rsidRPr="00774A86">
        <w:t>p</w:t>
      </w:r>
      <w:r w:rsidR="00991E68" w:rsidRPr="00774A86">
        <w:t>articipating jurisdiction</w:t>
      </w:r>
      <w:r w:rsidRPr="00774A86">
        <w:t xml:space="preserve"> may allow </w:t>
      </w:r>
      <w:r w:rsidR="00016300" w:rsidRPr="00774A86">
        <w:t>r</w:t>
      </w:r>
      <w:r w:rsidRPr="00774A86">
        <w:t xml:space="preserve">eporting </w:t>
      </w:r>
      <w:r w:rsidR="00016300" w:rsidRPr="00774A86">
        <w:t>f</w:t>
      </w:r>
      <w:r w:rsidR="00991E68" w:rsidRPr="00774A86">
        <w:t>inancial institutions</w:t>
      </w:r>
      <w:r w:rsidRPr="00774A86">
        <w:t xml:space="preserve"> the option to apply the due diligence procedures for </w:t>
      </w:r>
      <w:r w:rsidR="00E419FC" w:rsidRPr="00774A86">
        <w:t>n</w:t>
      </w:r>
      <w:r w:rsidRPr="00774A86">
        <w:t xml:space="preserve">ew </w:t>
      </w:r>
      <w:r w:rsidR="00E419FC" w:rsidRPr="00774A86">
        <w:t>a</w:t>
      </w:r>
      <w:r w:rsidRPr="00774A86">
        <w:t xml:space="preserve">ccounts to </w:t>
      </w:r>
      <w:r w:rsidR="00E419FC" w:rsidRPr="00774A86">
        <w:t>p</w:t>
      </w:r>
      <w:r w:rsidRPr="00774A86">
        <w:t>re</w:t>
      </w:r>
      <w:r w:rsidR="00522274" w:rsidRPr="00774A86">
        <w:t>-</w:t>
      </w:r>
      <w:r w:rsidRPr="00774A86">
        <w:t xml:space="preserve">existing </w:t>
      </w:r>
      <w:r w:rsidR="00E419FC" w:rsidRPr="00774A86">
        <w:t>a</w:t>
      </w:r>
      <w:r w:rsidRPr="00774A86">
        <w:t>ccounts in defined circumstances</w:t>
      </w:r>
      <w:r w:rsidR="0030367F" w:rsidRPr="00774A86">
        <w:t>.  T</w:t>
      </w:r>
      <w:r w:rsidRPr="00774A86">
        <w:t xml:space="preserve">his means, for example, if this option is allowed, a </w:t>
      </w:r>
      <w:r w:rsidR="00E419FC" w:rsidRPr="00774A86">
        <w:t>r</w:t>
      </w:r>
      <w:r w:rsidRPr="00774A86">
        <w:t xml:space="preserve">eporting </w:t>
      </w:r>
      <w:r w:rsidR="00E419FC" w:rsidRPr="00774A86">
        <w:t>f</w:t>
      </w:r>
      <w:r w:rsidRPr="00774A86">
        <w:t xml:space="preserve">inancial </w:t>
      </w:r>
      <w:r w:rsidR="00E419FC" w:rsidRPr="00774A86">
        <w:t>i</w:t>
      </w:r>
      <w:r w:rsidRPr="00774A86">
        <w:t xml:space="preserve">nstitution </w:t>
      </w:r>
      <w:r w:rsidR="003C18F0" w:rsidRPr="00774A86">
        <w:t xml:space="preserve">would be able to elect </w:t>
      </w:r>
      <w:r w:rsidRPr="00774A86">
        <w:t xml:space="preserve">to obtain a self-certification for all </w:t>
      </w:r>
      <w:r w:rsidR="00E419FC" w:rsidRPr="00774A86">
        <w:t>p</w:t>
      </w:r>
      <w:r w:rsidRPr="00774A86">
        <w:t>re</w:t>
      </w:r>
      <w:r w:rsidR="00522274" w:rsidRPr="00774A86">
        <w:t>-</w:t>
      </w:r>
      <w:r w:rsidRPr="00774A86">
        <w:t xml:space="preserve">existing </w:t>
      </w:r>
      <w:r w:rsidR="00E419FC" w:rsidRPr="00774A86">
        <w:t>i</w:t>
      </w:r>
      <w:r w:rsidRPr="00774A86">
        <w:t xml:space="preserve">ndividual </w:t>
      </w:r>
      <w:r w:rsidR="00E419FC" w:rsidRPr="00774A86">
        <w:t>a</w:t>
      </w:r>
      <w:r w:rsidRPr="00774A86">
        <w:t xml:space="preserve">ccounts consistent with the due diligence procedures for </w:t>
      </w:r>
      <w:r w:rsidR="00E419FC" w:rsidRPr="00774A86">
        <w:t>n</w:t>
      </w:r>
      <w:r w:rsidRPr="00774A86">
        <w:t xml:space="preserve">ew </w:t>
      </w:r>
      <w:r w:rsidR="00E419FC" w:rsidRPr="00774A86">
        <w:t>i</w:t>
      </w:r>
      <w:r w:rsidRPr="00774A86">
        <w:t xml:space="preserve">ndividual </w:t>
      </w:r>
      <w:r w:rsidR="00E419FC" w:rsidRPr="00774A86">
        <w:t>a</w:t>
      </w:r>
      <w:r w:rsidRPr="00774A86">
        <w:t>ccounts, which are explained in the Appendix</w:t>
      </w:r>
      <w:r w:rsidR="0030367F" w:rsidRPr="00774A86">
        <w:t>.  N</w:t>
      </w:r>
      <w:r w:rsidRPr="00774A86">
        <w:t xml:space="preserve">ote however, that existing CRS rules otherwise applicable to </w:t>
      </w:r>
      <w:r w:rsidR="00E419FC" w:rsidRPr="00774A86">
        <w:t>p</w:t>
      </w:r>
      <w:r w:rsidRPr="00774A86">
        <w:t>re</w:t>
      </w:r>
      <w:r w:rsidR="00522274" w:rsidRPr="00774A86">
        <w:t>-</w:t>
      </w:r>
      <w:r w:rsidRPr="00774A86">
        <w:t xml:space="preserve">existing </w:t>
      </w:r>
      <w:r w:rsidR="00E419FC" w:rsidRPr="00774A86">
        <w:t>a</w:t>
      </w:r>
      <w:r w:rsidRPr="00774A86">
        <w:t>ccounts would continue to apply.</w:t>
      </w:r>
    </w:p>
    <w:p w:rsidR="0077285A" w:rsidRPr="00774A86" w:rsidRDefault="0077285A" w:rsidP="00D13759">
      <w:pPr>
        <w:pStyle w:val="Chapter5"/>
        <w:numPr>
          <w:ilvl w:val="0"/>
          <w:numId w:val="0"/>
        </w:numPr>
      </w:pPr>
    </w:p>
    <w:p w:rsidR="0077285A" w:rsidRPr="00774A86" w:rsidRDefault="0077285A" w:rsidP="00D13759">
      <w:pPr>
        <w:pStyle w:val="Chapter5"/>
      </w:pPr>
      <w:r w:rsidRPr="00774A86">
        <w:t xml:space="preserve">A </w:t>
      </w:r>
      <w:r w:rsidR="00E419FC" w:rsidRPr="00774A86">
        <w:t>p</w:t>
      </w:r>
      <w:r w:rsidR="00991E68" w:rsidRPr="00774A86">
        <w:t>articipating jurisdiction</w:t>
      </w:r>
      <w:r w:rsidRPr="00774A86">
        <w:t xml:space="preserve"> may also allow a </w:t>
      </w:r>
      <w:r w:rsidR="00E419FC" w:rsidRPr="00774A86">
        <w:t>r</w:t>
      </w:r>
      <w:r w:rsidRPr="00774A86">
        <w:t xml:space="preserve">eporting </w:t>
      </w:r>
      <w:r w:rsidR="00E419FC" w:rsidRPr="00774A86">
        <w:t>f</w:t>
      </w:r>
      <w:r w:rsidRPr="00774A86">
        <w:t xml:space="preserve">inancial </w:t>
      </w:r>
      <w:r w:rsidR="00E419FC" w:rsidRPr="00774A86">
        <w:t>i</w:t>
      </w:r>
      <w:r w:rsidRPr="00774A86">
        <w:t xml:space="preserve">nstitution to apply the due diligence procedures for </w:t>
      </w:r>
      <w:r w:rsidR="00E419FC" w:rsidRPr="00774A86">
        <w:t>h</w:t>
      </w:r>
      <w:r w:rsidRPr="00774A86">
        <w:t xml:space="preserve">igh </w:t>
      </w:r>
      <w:r w:rsidR="00E419FC" w:rsidRPr="00774A86">
        <w:t>v</w:t>
      </w:r>
      <w:r w:rsidRPr="00774A86">
        <w:t xml:space="preserve">alue </w:t>
      </w:r>
      <w:r w:rsidR="00E419FC" w:rsidRPr="00774A86">
        <w:t>p</w:t>
      </w:r>
      <w:r w:rsidRPr="00774A86">
        <w:t>re</w:t>
      </w:r>
      <w:r w:rsidR="00522274" w:rsidRPr="00774A86">
        <w:t>-</w:t>
      </w:r>
      <w:r w:rsidRPr="00774A86">
        <w:t xml:space="preserve">existing </w:t>
      </w:r>
      <w:r w:rsidR="00E419FC" w:rsidRPr="00774A86">
        <w:t>i</w:t>
      </w:r>
      <w:r w:rsidRPr="00774A86">
        <w:t xml:space="preserve">ndividual </w:t>
      </w:r>
      <w:r w:rsidR="00E419FC" w:rsidRPr="00774A86">
        <w:t>a</w:t>
      </w:r>
      <w:r w:rsidRPr="00774A86">
        <w:t xml:space="preserve">ccounts to </w:t>
      </w:r>
      <w:r w:rsidR="00E419FC" w:rsidRPr="00774A86">
        <w:t>l</w:t>
      </w:r>
      <w:r w:rsidRPr="00774A86">
        <w:t xml:space="preserve">ower </w:t>
      </w:r>
      <w:r w:rsidR="00E419FC" w:rsidRPr="00774A86">
        <w:t>v</w:t>
      </w:r>
      <w:r w:rsidRPr="00774A86">
        <w:t xml:space="preserve">alue </w:t>
      </w:r>
      <w:r w:rsidR="00E419FC" w:rsidRPr="00774A86">
        <w:t>p</w:t>
      </w:r>
      <w:r w:rsidRPr="00774A86">
        <w:t>re</w:t>
      </w:r>
      <w:r w:rsidR="00522274" w:rsidRPr="00774A86">
        <w:t>-</w:t>
      </w:r>
      <w:r w:rsidRPr="00774A86">
        <w:t xml:space="preserve">existing </w:t>
      </w:r>
      <w:r w:rsidR="00E419FC" w:rsidRPr="00774A86">
        <w:t>i</w:t>
      </w:r>
      <w:r w:rsidRPr="00774A86">
        <w:t xml:space="preserve">ndividual </w:t>
      </w:r>
      <w:r w:rsidR="00E419FC" w:rsidRPr="00774A86">
        <w:t>a</w:t>
      </w:r>
      <w:r w:rsidRPr="00774A86">
        <w:t>ccounts in defined circumstances.</w:t>
      </w:r>
      <w:r w:rsidRPr="00774A86">
        <w:rPr>
          <w:sz w:val="22"/>
          <w:szCs w:val="22"/>
          <w:vertAlign w:val="superscript"/>
        </w:rPr>
        <w:footnoteReference w:id="57"/>
      </w:r>
      <w:r w:rsidR="003C18F0" w:rsidRPr="00774A86">
        <w:t xml:space="preserve">  These types of accounts are explained in detail in the Appendix.</w:t>
      </w:r>
    </w:p>
    <w:p w:rsidR="008C74C6" w:rsidRPr="00774A86" w:rsidRDefault="008C74C6" w:rsidP="00D64344">
      <w:pPr>
        <w:pStyle w:val="Chapter5"/>
        <w:numPr>
          <w:ilvl w:val="0"/>
          <w:numId w:val="0"/>
        </w:numPr>
        <w:ind w:left="851" w:hanging="851"/>
      </w:pPr>
      <w:bookmarkStart w:id="164" w:name="_Toc441680461"/>
      <w:bookmarkStart w:id="165" w:name="_Toc443393788"/>
    </w:p>
    <w:p w:rsidR="0043595D" w:rsidRPr="00774A86" w:rsidRDefault="0043595D">
      <w:pPr>
        <w:jc w:val="left"/>
        <w:rPr>
          <w:b/>
          <w:i/>
          <w:szCs w:val="24"/>
        </w:rPr>
      </w:pPr>
      <w:r w:rsidRPr="00774A86">
        <w:br w:type="page"/>
      </w:r>
    </w:p>
    <w:p w:rsidR="0077285A" w:rsidRPr="00774A86" w:rsidRDefault="0077285A" w:rsidP="00D13759">
      <w:pPr>
        <w:pStyle w:val="Heading2"/>
      </w:pPr>
      <w:r w:rsidRPr="00774A86">
        <w:lastRenderedPageBreak/>
        <w:t xml:space="preserve">New </w:t>
      </w:r>
      <w:r w:rsidR="003364DC" w:rsidRPr="00774A86">
        <w:t>a</w:t>
      </w:r>
      <w:r w:rsidRPr="00774A86">
        <w:t>ccounts opened by pre</w:t>
      </w:r>
      <w:r w:rsidR="00522274" w:rsidRPr="00774A86">
        <w:t>-</w:t>
      </w:r>
      <w:r w:rsidRPr="00774A86">
        <w:t>existing customers</w:t>
      </w:r>
      <w:bookmarkEnd w:id="164"/>
      <w:bookmarkEnd w:id="165"/>
    </w:p>
    <w:p w:rsidR="0077285A" w:rsidRPr="00774A86" w:rsidRDefault="0077285A" w:rsidP="00D13759">
      <w:pPr>
        <w:pStyle w:val="Chapter5"/>
        <w:numPr>
          <w:ilvl w:val="0"/>
          <w:numId w:val="0"/>
        </w:numPr>
        <w:ind w:left="851" w:hanging="851"/>
      </w:pPr>
    </w:p>
    <w:p w:rsidR="0077285A" w:rsidRPr="00774A86" w:rsidRDefault="0077285A" w:rsidP="00D13759">
      <w:pPr>
        <w:pStyle w:val="Chapter5"/>
      </w:pPr>
      <w:r w:rsidRPr="00774A86">
        <w:t xml:space="preserve">For CRS purposes, a </w:t>
      </w:r>
      <w:r w:rsidR="0030367F" w:rsidRPr="00774A86">
        <w:t>“</w:t>
      </w:r>
      <w:r w:rsidR="00E419FC" w:rsidRPr="00774A86">
        <w:t>f</w:t>
      </w:r>
      <w:r w:rsidRPr="00774A86">
        <w:t xml:space="preserve">inancial </w:t>
      </w:r>
      <w:r w:rsidR="00E419FC" w:rsidRPr="00774A86">
        <w:t>a</w:t>
      </w:r>
      <w:r w:rsidRPr="00774A86">
        <w:t>ccount</w:t>
      </w:r>
      <w:r w:rsidR="0030367F" w:rsidRPr="00774A86">
        <w:t>”</w:t>
      </w:r>
      <w:r w:rsidRPr="00774A86">
        <w:t xml:space="preserve"> is classified depending on the date of opening, and in terms of when the CRS is implemented in a </w:t>
      </w:r>
      <w:r w:rsidR="00E419FC" w:rsidRPr="00774A86">
        <w:t>p</w:t>
      </w:r>
      <w:r w:rsidR="00991E68" w:rsidRPr="00774A86">
        <w:t>articipating jurisdiction</w:t>
      </w:r>
      <w:r w:rsidR="0030367F" w:rsidRPr="00774A86">
        <w:t>.  T</w:t>
      </w:r>
      <w:r w:rsidRPr="00774A86">
        <w:t xml:space="preserve">hus, a </w:t>
      </w:r>
      <w:r w:rsidR="00E419FC" w:rsidRPr="00774A86">
        <w:t>f</w:t>
      </w:r>
      <w:r w:rsidRPr="00774A86">
        <w:t xml:space="preserve">inancial </w:t>
      </w:r>
      <w:r w:rsidR="00E419FC" w:rsidRPr="00774A86">
        <w:t>a</w:t>
      </w:r>
      <w:r w:rsidRPr="00774A86">
        <w:t xml:space="preserve">ccount can be either a </w:t>
      </w:r>
      <w:r w:rsidR="0030367F" w:rsidRPr="00774A86">
        <w:t>“</w:t>
      </w:r>
      <w:r w:rsidR="00E419FC" w:rsidRPr="00774A86">
        <w:t>p</w:t>
      </w:r>
      <w:r w:rsidRPr="00774A86">
        <w:t>re</w:t>
      </w:r>
      <w:r w:rsidR="00522274" w:rsidRPr="00774A86">
        <w:t>-</w:t>
      </w:r>
      <w:r w:rsidRPr="00774A86">
        <w:t xml:space="preserve">existing </w:t>
      </w:r>
      <w:r w:rsidR="00E419FC" w:rsidRPr="00774A86">
        <w:t>a</w:t>
      </w:r>
      <w:r w:rsidRPr="00774A86">
        <w:t>ccount</w:t>
      </w:r>
      <w:r w:rsidR="0030367F" w:rsidRPr="00774A86">
        <w:t>”</w:t>
      </w:r>
      <w:r w:rsidRPr="00774A86">
        <w:t xml:space="preserve"> (broadly, an account opened prior to the implementation of CRS in </w:t>
      </w:r>
      <w:r w:rsidR="00522274" w:rsidRPr="00774A86">
        <w:t>New Zealand</w:t>
      </w:r>
      <w:r w:rsidRPr="00774A86">
        <w:t xml:space="preserve"> – an account open as of 30 June 2017</w:t>
      </w:r>
      <w:r w:rsidR="003C18F0" w:rsidRPr="00774A86">
        <w:t xml:space="preserve"> based on the indicative time-frame</w:t>
      </w:r>
      <w:r w:rsidRPr="00774A86">
        <w:t xml:space="preserve">), or a </w:t>
      </w:r>
      <w:r w:rsidR="0030367F" w:rsidRPr="00774A86">
        <w:t>“</w:t>
      </w:r>
      <w:r w:rsidR="00DB5B9E" w:rsidRPr="00774A86">
        <w:t>n</w:t>
      </w:r>
      <w:r w:rsidRPr="00774A86">
        <w:t xml:space="preserve">ew </w:t>
      </w:r>
      <w:r w:rsidR="00DB5B9E" w:rsidRPr="00774A86">
        <w:t>a</w:t>
      </w:r>
      <w:r w:rsidRPr="00774A86">
        <w:t>ccount</w:t>
      </w:r>
      <w:r w:rsidR="0030367F" w:rsidRPr="00774A86">
        <w:t>”</w:t>
      </w:r>
      <w:r w:rsidRPr="00774A86">
        <w:t xml:space="preserve"> (broadly, </w:t>
      </w:r>
      <w:r w:rsidR="00DB5B9E" w:rsidRPr="00774A86">
        <w:t>an</w:t>
      </w:r>
      <w:r w:rsidRPr="00774A86">
        <w:t xml:space="preserve"> account opened on or after the implementation of CRS in </w:t>
      </w:r>
      <w:r w:rsidR="00522274" w:rsidRPr="00774A86">
        <w:t>New Zealand</w:t>
      </w:r>
      <w:r w:rsidRPr="00774A86">
        <w:t xml:space="preserve"> 1 July 2017).</w:t>
      </w:r>
    </w:p>
    <w:p w:rsidR="0077285A" w:rsidRPr="00774A86" w:rsidRDefault="0077285A" w:rsidP="00D13759">
      <w:pPr>
        <w:pStyle w:val="Chapter5"/>
        <w:numPr>
          <w:ilvl w:val="0"/>
          <w:numId w:val="0"/>
        </w:numPr>
      </w:pPr>
    </w:p>
    <w:p w:rsidR="0077285A" w:rsidRPr="00774A86" w:rsidRDefault="0077285A" w:rsidP="00D13759">
      <w:pPr>
        <w:pStyle w:val="Chapter5"/>
      </w:pPr>
      <w:r w:rsidRPr="00774A86">
        <w:t xml:space="preserve">However, when implementing the CRS, the CRS provides that </w:t>
      </w:r>
      <w:r w:rsidR="00B44E3F" w:rsidRPr="00774A86">
        <w:t xml:space="preserve">participating </w:t>
      </w:r>
      <w:r w:rsidR="00991E68" w:rsidRPr="00774A86">
        <w:t>jurisdictions</w:t>
      </w:r>
      <w:r w:rsidRPr="00774A86">
        <w:t xml:space="preserve"> are free to modify the term </w:t>
      </w:r>
      <w:r w:rsidR="0030367F" w:rsidRPr="00774A86">
        <w:t>“</w:t>
      </w:r>
      <w:r w:rsidR="00DB5B9E" w:rsidRPr="00774A86">
        <w:t>p</w:t>
      </w:r>
      <w:r w:rsidRPr="00774A86">
        <w:t>re</w:t>
      </w:r>
      <w:r w:rsidR="00522274" w:rsidRPr="00774A86">
        <w:t>-</w:t>
      </w:r>
      <w:r w:rsidRPr="00774A86">
        <w:t xml:space="preserve">existing </w:t>
      </w:r>
      <w:r w:rsidR="00DB5B9E" w:rsidRPr="00774A86">
        <w:t>a</w:t>
      </w:r>
      <w:r w:rsidRPr="00774A86">
        <w:t>ccount</w:t>
      </w:r>
      <w:r w:rsidR="0030367F" w:rsidRPr="00774A86">
        <w:t>”</w:t>
      </w:r>
      <w:r w:rsidRPr="00774A86">
        <w:t xml:space="preserve"> in order to include certain </w:t>
      </w:r>
      <w:r w:rsidR="00E419FC" w:rsidRPr="00774A86">
        <w:t>n</w:t>
      </w:r>
      <w:r w:rsidRPr="00774A86">
        <w:t xml:space="preserve">ew </w:t>
      </w:r>
      <w:r w:rsidR="00E419FC" w:rsidRPr="00774A86">
        <w:t>a</w:t>
      </w:r>
      <w:r w:rsidRPr="00774A86">
        <w:t>ccounts of pre</w:t>
      </w:r>
      <w:r w:rsidR="00522274" w:rsidRPr="00774A86">
        <w:t>-</w:t>
      </w:r>
      <w:r w:rsidRPr="00774A86">
        <w:t>existing customers in defined circumstances.</w:t>
      </w:r>
      <w:r w:rsidRPr="00774A86">
        <w:rPr>
          <w:sz w:val="22"/>
          <w:szCs w:val="22"/>
          <w:vertAlign w:val="superscript"/>
        </w:rPr>
        <w:footnoteReference w:id="58"/>
      </w:r>
    </w:p>
    <w:p w:rsidR="0077285A" w:rsidRPr="00774A86" w:rsidRDefault="0077285A" w:rsidP="00D13759">
      <w:pPr>
        <w:pStyle w:val="Chapter5"/>
        <w:numPr>
          <w:ilvl w:val="0"/>
          <w:numId w:val="0"/>
        </w:numPr>
      </w:pPr>
    </w:p>
    <w:p w:rsidR="0077285A" w:rsidRPr="00774A86" w:rsidRDefault="0077285A" w:rsidP="00D13759">
      <w:pPr>
        <w:pStyle w:val="Chapter5"/>
      </w:pPr>
      <w:r w:rsidRPr="00774A86">
        <w:t xml:space="preserve">This would involve expanding the definition of </w:t>
      </w:r>
      <w:r w:rsidR="0030367F" w:rsidRPr="00774A86">
        <w:t>“</w:t>
      </w:r>
      <w:r w:rsidR="00E419FC" w:rsidRPr="00774A86">
        <w:t>p</w:t>
      </w:r>
      <w:r w:rsidRPr="00774A86">
        <w:t>re</w:t>
      </w:r>
      <w:r w:rsidR="00522274" w:rsidRPr="00774A86">
        <w:t>-</w:t>
      </w:r>
      <w:r w:rsidRPr="00774A86">
        <w:t xml:space="preserve">existing </w:t>
      </w:r>
      <w:r w:rsidR="00E419FC" w:rsidRPr="00774A86">
        <w:t>a</w:t>
      </w:r>
      <w:r w:rsidRPr="00774A86">
        <w:t>ccount</w:t>
      </w:r>
      <w:r w:rsidR="0030367F" w:rsidRPr="00774A86">
        <w:t>”</w:t>
      </w:r>
      <w:r w:rsidRPr="00774A86">
        <w:t xml:space="preserve"> to simplify the process when a </w:t>
      </w:r>
      <w:r w:rsidR="00E419FC" w:rsidRPr="00774A86">
        <w:t>r</w:t>
      </w:r>
      <w:r w:rsidRPr="00774A86">
        <w:t xml:space="preserve">eporting </w:t>
      </w:r>
      <w:r w:rsidR="00E419FC" w:rsidRPr="00774A86">
        <w:t>f</w:t>
      </w:r>
      <w:r w:rsidRPr="00774A86">
        <w:t xml:space="preserve">inancial </w:t>
      </w:r>
      <w:r w:rsidR="00E419FC" w:rsidRPr="00774A86">
        <w:t>i</w:t>
      </w:r>
      <w:r w:rsidRPr="00774A86">
        <w:t xml:space="preserve">nstitution (or a related entity within the same </w:t>
      </w:r>
      <w:r w:rsidR="00E419FC" w:rsidRPr="00774A86">
        <w:t>p</w:t>
      </w:r>
      <w:r w:rsidR="00991E68" w:rsidRPr="00774A86">
        <w:t>articipating jurisdiction</w:t>
      </w:r>
      <w:r w:rsidRPr="00774A86">
        <w:t>) has a pre</w:t>
      </w:r>
      <w:r w:rsidR="00522274" w:rsidRPr="00774A86">
        <w:t>-</w:t>
      </w:r>
      <w:r w:rsidRPr="00774A86">
        <w:t xml:space="preserve">existing customer and that customer opens a </w:t>
      </w:r>
      <w:r w:rsidR="00E419FC" w:rsidRPr="00774A86">
        <w:t>n</w:t>
      </w:r>
      <w:r w:rsidRPr="00774A86">
        <w:t xml:space="preserve">ew </w:t>
      </w:r>
      <w:r w:rsidR="00E419FC" w:rsidRPr="00774A86">
        <w:t>a</w:t>
      </w:r>
      <w:r w:rsidRPr="00774A86">
        <w:t xml:space="preserve">ccount, whereby such account would be able to be treated as a </w:t>
      </w:r>
      <w:r w:rsidR="00E419FC" w:rsidRPr="00774A86">
        <w:t>p</w:t>
      </w:r>
      <w:r w:rsidRPr="00774A86">
        <w:t>re</w:t>
      </w:r>
      <w:r w:rsidR="00522274" w:rsidRPr="00774A86">
        <w:t>-</w:t>
      </w:r>
      <w:r w:rsidRPr="00774A86">
        <w:t xml:space="preserve">existing </w:t>
      </w:r>
      <w:r w:rsidR="00E419FC" w:rsidRPr="00774A86">
        <w:t>a</w:t>
      </w:r>
      <w:r w:rsidRPr="00774A86">
        <w:t>ccount in defined circumstances.</w:t>
      </w:r>
    </w:p>
    <w:p w:rsidR="008C74C6" w:rsidRPr="00774A86" w:rsidRDefault="008C74C6" w:rsidP="00D64344">
      <w:pPr>
        <w:pStyle w:val="Chapter5"/>
        <w:numPr>
          <w:ilvl w:val="0"/>
          <w:numId w:val="0"/>
        </w:numPr>
        <w:ind w:left="851" w:hanging="851"/>
      </w:pPr>
      <w:bookmarkStart w:id="166" w:name="_Toc441680462"/>
      <w:bookmarkStart w:id="167" w:name="_Toc443393789"/>
    </w:p>
    <w:p w:rsidR="0077285A" w:rsidRPr="00774A86" w:rsidRDefault="0077285A" w:rsidP="00D13759">
      <w:pPr>
        <w:pStyle w:val="Heading2"/>
      </w:pPr>
      <w:r w:rsidRPr="00774A86">
        <w:t xml:space="preserve">Group </w:t>
      </w:r>
      <w:r w:rsidR="00DB5B9E" w:rsidRPr="00774A86">
        <w:t>c</w:t>
      </w:r>
      <w:r w:rsidRPr="00774A86">
        <w:t xml:space="preserve">ash </w:t>
      </w:r>
      <w:r w:rsidR="00DB5B9E" w:rsidRPr="00774A86">
        <w:t>v</w:t>
      </w:r>
      <w:r w:rsidRPr="00774A86">
        <w:t xml:space="preserve">alue </w:t>
      </w:r>
      <w:r w:rsidR="00DB5B9E" w:rsidRPr="00774A86">
        <w:t>i</w:t>
      </w:r>
      <w:r w:rsidRPr="00774A86">
        <w:t xml:space="preserve">nsurance </w:t>
      </w:r>
      <w:r w:rsidR="00DB5B9E" w:rsidRPr="00774A86">
        <w:t>c</w:t>
      </w:r>
      <w:r w:rsidRPr="00774A86">
        <w:t xml:space="preserve">ontracts or </w:t>
      </w:r>
      <w:r w:rsidR="00DB5B9E" w:rsidRPr="00774A86">
        <w:t>a</w:t>
      </w:r>
      <w:r w:rsidRPr="00774A86">
        <w:t xml:space="preserve">nnuity </w:t>
      </w:r>
      <w:r w:rsidR="00DB5B9E" w:rsidRPr="00774A86">
        <w:t>c</w:t>
      </w:r>
      <w:r w:rsidRPr="00774A86">
        <w:t>ontract</w:t>
      </w:r>
      <w:bookmarkEnd w:id="166"/>
      <w:r w:rsidRPr="00774A86">
        <w:t>s</w:t>
      </w:r>
      <w:bookmarkEnd w:id="167"/>
    </w:p>
    <w:p w:rsidR="0077285A" w:rsidRPr="00774A86" w:rsidRDefault="0077285A" w:rsidP="00D13759">
      <w:pPr>
        <w:pStyle w:val="Chapter5"/>
        <w:numPr>
          <w:ilvl w:val="0"/>
          <w:numId w:val="0"/>
        </w:numPr>
        <w:ind w:left="851" w:hanging="851"/>
      </w:pPr>
    </w:p>
    <w:p w:rsidR="0077285A" w:rsidRPr="00774A86" w:rsidRDefault="0077285A" w:rsidP="00D13759">
      <w:pPr>
        <w:pStyle w:val="Chapter5"/>
      </w:pPr>
      <w:r w:rsidRPr="00774A86">
        <w:t xml:space="preserve">With respect to a group </w:t>
      </w:r>
      <w:r w:rsidR="00E419FC" w:rsidRPr="00774A86">
        <w:t>c</w:t>
      </w:r>
      <w:r w:rsidRPr="00774A86">
        <w:t xml:space="preserve">ash </w:t>
      </w:r>
      <w:r w:rsidR="00E419FC" w:rsidRPr="00774A86">
        <w:t>v</w:t>
      </w:r>
      <w:r w:rsidRPr="00774A86">
        <w:t xml:space="preserve">alue </w:t>
      </w:r>
      <w:r w:rsidR="00E419FC" w:rsidRPr="00774A86">
        <w:t>i</w:t>
      </w:r>
      <w:r w:rsidRPr="00774A86">
        <w:t xml:space="preserve">nsurance </w:t>
      </w:r>
      <w:r w:rsidR="00E419FC" w:rsidRPr="00774A86">
        <w:t>c</w:t>
      </w:r>
      <w:r w:rsidRPr="00774A86">
        <w:t xml:space="preserve">ontract or </w:t>
      </w:r>
      <w:r w:rsidR="00E419FC" w:rsidRPr="00774A86">
        <w:t>a</w:t>
      </w:r>
      <w:r w:rsidRPr="00774A86">
        <w:t xml:space="preserve">nnuity </w:t>
      </w:r>
      <w:r w:rsidR="00E419FC" w:rsidRPr="00774A86">
        <w:t>c</w:t>
      </w:r>
      <w:r w:rsidRPr="00774A86">
        <w:t xml:space="preserve">ontract that is issued to an employer and individual employees, a </w:t>
      </w:r>
      <w:r w:rsidR="00E419FC" w:rsidRPr="00774A86">
        <w:t>p</w:t>
      </w:r>
      <w:r w:rsidR="00991E68" w:rsidRPr="00774A86">
        <w:t>articipating jurisdiction</w:t>
      </w:r>
      <w:r w:rsidRPr="00774A86">
        <w:t xml:space="preserve"> may allow a </w:t>
      </w:r>
      <w:r w:rsidR="00E419FC" w:rsidRPr="00774A86">
        <w:t>r</w:t>
      </w:r>
      <w:r w:rsidRPr="00774A86">
        <w:t xml:space="preserve">eporting </w:t>
      </w:r>
      <w:r w:rsidR="00E419FC" w:rsidRPr="00774A86">
        <w:t>f</w:t>
      </w:r>
      <w:r w:rsidRPr="00774A86">
        <w:t xml:space="preserve">inancial </w:t>
      </w:r>
      <w:r w:rsidR="00E419FC" w:rsidRPr="00774A86">
        <w:t>i</w:t>
      </w:r>
      <w:r w:rsidRPr="00774A86">
        <w:t xml:space="preserve">nstitution to treat such a contract as a </w:t>
      </w:r>
      <w:r w:rsidR="00E419FC" w:rsidRPr="00774A86">
        <w:t>f</w:t>
      </w:r>
      <w:r w:rsidRPr="00774A86">
        <w:t xml:space="preserve">inancial </w:t>
      </w:r>
      <w:r w:rsidR="00E419FC" w:rsidRPr="00774A86">
        <w:t>a</w:t>
      </w:r>
      <w:r w:rsidRPr="00774A86">
        <w:t xml:space="preserve">ccount that is not a </w:t>
      </w:r>
      <w:r w:rsidR="00E419FC" w:rsidRPr="00774A86">
        <w:t>r</w:t>
      </w:r>
      <w:r w:rsidRPr="00774A86">
        <w:t xml:space="preserve">eportable </w:t>
      </w:r>
      <w:r w:rsidR="00E419FC" w:rsidRPr="00774A86">
        <w:t>a</w:t>
      </w:r>
      <w:r w:rsidRPr="00774A86">
        <w:t>ccount until the date on which an amount is payable to an employee or certificate holder or beneficiary provided that certain conditions are met.</w:t>
      </w:r>
      <w:r w:rsidRPr="00774A86">
        <w:rPr>
          <w:sz w:val="22"/>
          <w:szCs w:val="22"/>
          <w:vertAlign w:val="superscript"/>
        </w:rPr>
        <w:footnoteReference w:id="59"/>
      </w:r>
    </w:p>
    <w:p w:rsidR="008C74C6" w:rsidRPr="00774A86" w:rsidRDefault="008C74C6" w:rsidP="00D64344">
      <w:pPr>
        <w:pStyle w:val="Chapter5"/>
        <w:numPr>
          <w:ilvl w:val="0"/>
          <w:numId w:val="0"/>
        </w:numPr>
        <w:ind w:left="851" w:hanging="851"/>
      </w:pPr>
      <w:bookmarkStart w:id="168" w:name="_Toc441680463"/>
      <w:bookmarkStart w:id="169" w:name="_Toc443393790"/>
    </w:p>
    <w:p w:rsidR="0077285A" w:rsidRPr="00774A86" w:rsidRDefault="0077285A" w:rsidP="00D13759">
      <w:pPr>
        <w:pStyle w:val="Heading2"/>
      </w:pPr>
      <w:r w:rsidRPr="00774A86">
        <w:t xml:space="preserve">Custodial </w:t>
      </w:r>
      <w:r w:rsidR="00DB5B9E" w:rsidRPr="00774A86">
        <w:t>a</w:t>
      </w:r>
      <w:r w:rsidRPr="00774A86">
        <w:t xml:space="preserve">ccounts – reporting of </w:t>
      </w:r>
      <w:r w:rsidR="0030367F" w:rsidRPr="00774A86">
        <w:t>“</w:t>
      </w:r>
      <w:r w:rsidRPr="00774A86">
        <w:t>gross proceeds</w:t>
      </w:r>
      <w:r w:rsidR="0030367F" w:rsidRPr="00774A86">
        <w:t>”</w:t>
      </w:r>
      <w:bookmarkEnd w:id="168"/>
      <w:bookmarkEnd w:id="169"/>
    </w:p>
    <w:p w:rsidR="0077285A" w:rsidRPr="00774A86" w:rsidRDefault="0077285A" w:rsidP="00D13759">
      <w:pPr>
        <w:pStyle w:val="Chapter5"/>
        <w:numPr>
          <w:ilvl w:val="0"/>
          <w:numId w:val="0"/>
        </w:numPr>
        <w:ind w:left="851" w:hanging="851"/>
      </w:pPr>
    </w:p>
    <w:p w:rsidR="0077285A" w:rsidRPr="00774A86" w:rsidRDefault="0077285A" w:rsidP="00D13759">
      <w:pPr>
        <w:pStyle w:val="Chapter5"/>
      </w:pPr>
      <w:r w:rsidRPr="00774A86">
        <w:t xml:space="preserve">Under the CRS, a </w:t>
      </w:r>
      <w:r w:rsidR="00E419FC" w:rsidRPr="00774A86">
        <w:t>p</w:t>
      </w:r>
      <w:r w:rsidR="00991E68" w:rsidRPr="00774A86">
        <w:t>articipating jurisdiction</w:t>
      </w:r>
      <w:r w:rsidRPr="00774A86">
        <w:t xml:space="preserve"> may provide for the gradual introduction of reporting of </w:t>
      </w:r>
      <w:r w:rsidR="0030367F" w:rsidRPr="00774A86">
        <w:t>“</w:t>
      </w:r>
      <w:r w:rsidRPr="00774A86">
        <w:t>gross proceeds</w:t>
      </w:r>
      <w:r w:rsidR="0030367F" w:rsidRPr="00774A86">
        <w:t>”</w:t>
      </w:r>
      <w:r w:rsidRPr="00774A86">
        <w:t xml:space="preserve"> of </w:t>
      </w:r>
      <w:r w:rsidR="00E419FC" w:rsidRPr="00774A86">
        <w:t>c</w:t>
      </w:r>
      <w:r w:rsidRPr="00774A86">
        <w:t xml:space="preserve">ustodial </w:t>
      </w:r>
      <w:r w:rsidR="00E419FC" w:rsidRPr="00774A86">
        <w:t>r</w:t>
      </w:r>
      <w:r w:rsidR="00EE5866" w:rsidRPr="00774A86">
        <w:t>eportable accounts</w:t>
      </w:r>
      <w:r w:rsidRPr="00774A86">
        <w:t xml:space="preserve"> to commence in a later reporting period.</w:t>
      </w:r>
      <w:r w:rsidRPr="00774A86">
        <w:rPr>
          <w:sz w:val="22"/>
          <w:szCs w:val="22"/>
          <w:vertAlign w:val="superscript"/>
        </w:rPr>
        <w:footnoteReference w:id="60"/>
      </w:r>
    </w:p>
    <w:p w:rsidR="0077285A" w:rsidRPr="00774A86" w:rsidRDefault="0077285A" w:rsidP="00D13759">
      <w:pPr>
        <w:pStyle w:val="Chapter5"/>
        <w:numPr>
          <w:ilvl w:val="0"/>
          <w:numId w:val="0"/>
        </w:numPr>
      </w:pPr>
    </w:p>
    <w:p w:rsidR="0077285A" w:rsidRPr="00774A86" w:rsidRDefault="0077285A" w:rsidP="00D13759">
      <w:pPr>
        <w:pStyle w:val="Chapter5"/>
      </w:pPr>
      <w:r w:rsidRPr="00774A86">
        <w:t xml:space="preserve">This recognises that it may be more difficult for </w:t>
      </w:r>
      <w:r w:rsidR="00E419FC" w:rsidRPr="00774A86">
        <w:t>r</w:t>
      </w:r>
      <w:r w:rsidRPr="00774A86">
        <w:t xml:space="preserve">eporting </w:t>
      </w:r>
      <w:r w:rsidR="00E419FC" w:rsidRPr="00774A86">
        <w:t>f</w:t>
      </w:r>
      <w:r w:rsidR="00991E68" w:rsidRPr="00774A86">
        <w:t>inancial institutions</w:t>
      </w:r>
      <w:r w:rsidRPr="00774A86">
        <w:t xml:space="preserve"> to implement procedures to obtain the total gross proceeds from the sale or redemption of property for </w:t>
      </w:r>
      <w:r w:rsidR="00E419FC" w:rsidRPr="00774A86">
        <w:t>r</w:t>
      </w:r>
      <w:r w:rsidR="00EE5866" w:rsidRPr="00774A86">
        <w:t>eportable accounts</w:t>
      </w:r>
      <w:r w:rsidRPr="00774A86">
        <w:t xml:space="preserve"> that they maintain.</w:t>
      </w:r>
    </w:p>
    <w:p w:rsidR="008C74C6" w:rsidRPr="00774A86" w:rsidRDefault="008C74C6" w:rsidP="00D64344">
      <w:pPr>
        <w:pStyle w:val="Chapter5"/>
        <w:numPr>
          <w:ilvl w:val="0"/>
          <w:numId w:val="0"/>
        </w:numPr>
        <w:ind w:left="851" w:hanging="851"/>
      </w:pPr>
      <w:bookmarkStart w:id="170" w:name="_Toc441680464"/>
      <w:bookmarkStart w:id="171" w:name="_Toc443393791"/>
    </w:p>
    <w:p w:rsidR="0077285A" w:rsidRPr="00774A86" w:rsidRDefault="0077285A" w:rsidP="00D13759">
      <w:pPr>
        <w:pStyle w:val="Heading2"/>
      </w:pPr>
      <w:r w:rsidRPr="00774A86">
        <w:t xml:space="preserve">Trust beneficiaries as </w:t>
      </w:r>
      <w:r w:rsidR="00DB5B9E" w:rsidRPr="00774A86">
        <w:t>c</w:t>
      </w:r>
      <w:r w:rsidRPr="00774A86">
        <w:t xml:space="preserve">ontrolling </w:t>
      </w:r>
      <w:r w:rsidR="00DB5B9E" w:rsidRPr="00774A86">
        <w:t>p</w:t>
      </w:r>
      <w:r w:rsidRPr="00774A86">
        <w:t xml:space="preserve">ersons of </w:t>
      </w:r>
      <w:r w:rsidR="00DB5B9E" w:rsidRPr="00774A86">
        <w:t>p</w:t>
      </w:r>
      <w:r w:rsidRPr="00774A86">
        <w:t>assive NFEs</w:t>
      </w:r>
      <w:bookmarkEnd w:id="170"/>
      <w:bookmarkEnd w:id="171"/>
    </w:p>
    <w:p w:rsidR="0077285A" w:rsidRPr="00774A86" w:rsidRDefault="0077285A" w:rsidP="00D13759">
      <w:pPr>
        <w:pStyle w:val="Chapter5"/>
        <w:numPr>
          <w:ilvl w:val="0"/>
          <w:numId w:val="0"/>
        </w:numPr>
        <w:ind w:left="851" w:hanging="851"/>
      </w:pPr>
    </w:p>
    <w:p w:rsidR="0077285A" w:rsidRPr="00774A86" w:rsidRDefault="0077285A" w:rsidP="00D13759">
      <w:pPr>
        <w:pStyle w:val="Chapter5"/>
      </w:pPr>
      <w:r w:rsidRPr="00774A86">
        <w:t xml:space="preserve">With trusts that are </w:t>
      </w:r>
      <w:r w:rsidR="00DB5B9E" w:rsidRPr="00774A86">
        <w:t>p</w:t>
      </w:r>
      <w:r w:rsidRPr="00774A86">
        <w:t xml:space="preserve">assive NFEs, a </w:t>
      </w:r>
      <w:r w:rsidR="00E419FC" w:rsidRPr="00774A86">
        <w:t>p</w:t>
      </w:r>
      <w:r w:rsidR="00991E68" w:rsidRPr="00774A86">
        <w:t>articipating jurisdiction</w:t>
      </w:r>
      <w:r w:rsidRPr="00774A86">
        <w:t xml:space="preserve"> may allow </w:t>
      </w:r>
      <w:r w:rsidR="00E419FC" w:rsidRPr="00774A86">
        <w:t>r</w:t>
      </w:r>
      <w:r w:rsidRPr="00774A86">
        <w:t xml:space="preserve">eporting </w:t>
      </w:r>
      <w:r w:rsidR="00E419FC" w:rsidRPr="00774A86">
        <w:t>f</w:t>
      </w:r>
      <w:r w:rsidR="00991E68" w:rsidRPr="00774A86">
        <w:t>inancial institutions</w:t>
      </w:r>
      <w:r w:rsidRPr="00774A86">
        <w:t xml:space="preserve">, that maintain </w:t>
      </w:r>
      <w:r w:rsidR="00E419FC" w:rsidRPr="00774A86">
        <w:t>f</w:t>
      </w:r>
      <w:r w:rsidRPr="00774A86">
        <w:t xml:space="preserve">inancial </w:t>
      </w:r>
      <w:r w:rsidR="00E419FC" w:rsidRPr="00774A86">
        <w:t>a</w:t>
      </w:r>
      <w:r w:rsidRPr="00774A86">
        <w:t>ccounts held by such trusts, to align the scope of the beneficiary(</w:t>
      </w:r>
      <w:proofErr w:type="spellStart"/>
      <w:r w:rsidRPr="00774A86">
        <w:t>ies</w:t>
      </w:r>
      <w:proofErr w:type="spellEnd"/>
      <w:r w:rsidRPr="00774A86">
        <w:t xml:space="preserve">) of the trust treated as </w:t>
      </w:r>
      <w:r w:rsidR="00E419FC" w:rsidRPr="00774A86">
        <w:t>c</w:t>
      </w:r>
      <w:r w:rsidRPr="00774A86">
        <w:t xml:space="preserve">ontrolling </w:t>
      </w:r>
      <w:r w:rsidR="00E419FC" w:rsidRPr="00774A86">
        <w:t>p</w:t>
      </w:r>
      <w:r w:rsidRPr="00774A86">
        <w:t>erson(s) of the trust, with the scope of the beneficiary(</w:t>
      </w:r>
      <w:proofErr w:type="spellStart"/>
      <w:r w:rsidRPr="00774A86">
        <w:t>ies</w:t>
      </w:r>
      <w:proofErr w:type="spellEnd"/>
      <w:r w:rsidRPr="00774A86">
        <w:t xml:space="preserve">) of a trust treated as </w:t>
      </w:r>
      <w:r w:rsidR="00E419FC" w:rsidRPr="00774A86">
        <w:t>r</w:t>
      </w:r>
      <w:r w:rsidRPr="00774A86">
        <w:t xml:space="preserve">eportable </w:t>
      </w:r>
      <w:r w:rsidR="00E419FC" w:rsidRPr="00774A86">
        <w:t>p</w:t>
      </w:r>
      <w:r w:rsidRPr="00774A86">
        <w:t xml:space="preserve">ersons of a trust that is a </w:t>
      </w:r>
      <w:r w:rsidR="00E419FC" w:rsidRPr="00774A86">
        <w:t>f</w:t>
      </w:r>
      <w:r w:rsidRPr="00774A86">
        <w:t xml:space="preserve">inancial </w:t>
      </w:r>
      <w:r w:rsidR="00E419FC" w:rsidRPr="00774A86">
        <w:t>i</w:t>
      </w:r>
      <w:r w:rsidRPr="00774A86">
        <w:t>nstitution (</w:t>
      </w:r>
      <w:r w:rsidR="00AF1873" w:rsidRPr="00774A86">
        <w:t>that is,</w:t>
      </w:r>
      <w:r w:rsidRPr="00774A86">
        <w:t xml:space="preserve"> aligning with those beneficiaries that would have an “equity interest” in the trust if the trust was a </w:t>
      </w:r>
      <w:r w:rsidR="00E419FC" w:rsidRPr="00774A86">
        <w:t>f</w:t>
      </w:r>
      <w:r w:rsidRPr="00774A86">
        <w:t xml:space="preserve">inancial </w:t>
      </w:r>
      <w:r w:rsidR="00E419FC" w:rsidRPr="00774A86">
        <w:t>i</w:t>
      </w:r>
      <w:r w:rsidRPr="00774A86">
        <w:t>nstitution).</w:t>
      </w:r>
    </w:p>
    <w:p w:rsidR="0077285A" w:rsidRPr="00774A86" w:rsidRDefault="0077285A" w:rsidP="00D13759">
      <w:pPr>
        <w:pStyle w:val="Chapter5"/>
        <w:numPr>
          <w:ilvl w:val="0"/>
          <w:numId w:val="0"/>
        </w:numPr>
      </w:pPr>
    </w:p>
    <w:p w:rsidR="0077285A" w:rsidRPr="00774A86" w:rsidRDefault="0077285A" w:rsidP="00D13759">
      <w:pPr>
        <w:pStyle w:val="Chapter5"/>
      </w:pPr>
      <w:r w:rsidRPr="00774A86">
        <w:lastRenderedPageBreak/>
        <w:t xml:space="preserve">In such a case, </w:t>
      </w:r>
      <w:r w:rsidR="003C18F0" w:rsidRPr="00774A86">
        <w:t xml:space="preserve">if allowed, </w:t>
      </w:r>
      <w:r w:rsidRPr="00774A86">
        <w:t xml:space="preserve">the </w:t>
      </w:r>
      <w:r w:rsidR="003C18F0" w:rsidRPr="00774A86">
        <w:t xml:space="preserve">New Zealand </w:t>
      </w:r>
      <w:r w:rsidR="00E419FC" w:rsidRPr="00774A86">
        <w:t>r</w:t>
      </w:r>
      <w:r w:rsidRPr="00774A86">
        <w:t xml:space="preserve">eporting </w:t>
      </w:r>
      <w:r w:rsidR="00E419FC" w:rsidRPr="00774A86">
        <w:t>f</w:t>
      </w:r>
      <w:r w:rsidRPr="00774A86">
        <w:t xml:space="preserve">inancial </w:t>
      </w:r>
      <w:r w:rsidR="00E419FC" w:rsidRPr="00774A86">
        <w:t>i</w:t>
      </w:r>
      <w:r w:rsidRPr="00774A86">
        <w:t xml:space="preserve">nstitution would only need to report a discretionary beneficiary in a period in which the person receives a distribution from the trust, provided that the </w:t>
      </w:r>
      <w:r w:rsidR="003C18F0" w:rsidRPr="00774A86">
        <w:t xml:space="preserve">New Zealand </w:t>
      </w:r>
      <w:r w:rsidR="00E419FC" w:rsidRPr="00774A86">
        <w:t>r</w:t>
      </w:r>
      <w:r w:rsidRPr="00774A86">
        <w:t xml:space="preserve">eporting </w:t>
      </w:r>
      <w:r w:rsidR="00E419FC" w:rsidRPr="00774A86">
        <w:t>f</w:t>
      </w:r>
      <w:r w:rsidRPr="00774A86">
        <w:t xml:space="preserve">inancial </w:t>
      </w:r>
      <w:r w:rsidR="00E419FC" w:rsidRPr="00774A86">
        <w:t>i</w:t>
      </w:r>
      <w:r w:rsidRPr="00774A86">
        <w:t xml:space="preserve">nstitution has in place appropriate safeguards and procedures to identify whether distribution have been made by its trust </w:t>
      </w:r>
      <w:r w:rsidR="00E419FC" w:rsidRPr="00774A86">
        <w:t>a</w:t>
      </w:r>
      <w:r w:rsidRPr="00774A86">
        <w:t xml:space="preserve">ccount </w:t>
      </w:r>
      <w:r w:rsidR="00E419FC" w:rsidRPr="00774A86">
        <w:t>h</w:t>
      </w:r>
      <w:r w:rsidRPr="00774A86">
        <w:t>olders in a given period.</w:t>
      </w:r>
      <w:r w:rsidRPr="00774A86">
        <w:rPr>
          <w:sz w:val="22"/>
          <w:szCs w:val="22"/>
          <w:vertAlign w:val="superscript"/>
        </w:rPr>
        <w:footnoteReference w:id="61"/>
      </w:r>
    </w:p>
    <w:p w:rsidR="008C74C6" w:rsidRPr="00774A86" w:rsidRDefault="008C74C6" w:rsidP="00D64344">
      <w:pPr>
        <w:pStyle w:val="Chapter5"/>
        <w:numPr>
          <w:ilvl w:val="0"/>
          <w:numId w:val="0"/>
        </w:numPr>
        <w:ind w:left="851" w:hanging="851"/>
      </w:pPr>
      <w:bookmarkStart w:id="172" w:name="_Toc441680465"/>
      <w:bookmarkStart w:id="173" w:name="_Toc443393792"/>
    </w:p>
    <w:p w:rsidR="0077285A" w:rsidRPr="00774A86" w:rsidRDefault="0077285A" w:rsidP="00D13759">
      <w:pPr>
        <w:pStyle w:val="Heading2"/>
      </w:pPr>
      <w:proofErr w:type="spellStart"/>
      <w:r w:rsidRPr="00774A86">
        <w:t>Grand</w:t>
      </w:r>
      <w:r w:rsidR="00AE5B35" w:rsidRPr="00774A86">
        <w:t>parent</w:t>
      </w:r>
      <w:r w:rsidRPr="00774A86">
        <w:t>ing</w:t>
      </w:r>
      <w:proofErr w:type="spellEnd"/>
      <w:r w:rsidRPr="00774A86">
        <w:t xml:space="preserve"> rule for certain bearer shares</w:t>
      </w:r>
      <w:bookmarkEnd w:id="172"/>
      <w:r w:rsidRPr="00774A86">
        <w:t xml:space="preserve"> of </w:t>
      </w:r>
      <w:r w:rsidR="00DB5B9E" w:rsidRPr="00774A86">
        <w:t>c</w:t>
      </w:r>
      <w:r w:rsidRPr="00774A86">
        <w:t xml:space="preserve">ollective </w:t>
      </w:r>
      <w:r w:rsidR="00DB5B9E" w:rsidRPr="00774A86">
        <w:t>i</w:t>
      </w:r>
      <w:r w:rsidRPr="00774A86">
        <w:t xml:space="preserve">nvestment </w:t>
      </w:r>
      <w:r w:rsidR="00DB5B9E" w:rsidRPr="00774A86">
        <w:t>v</w:t>
      </w:r>
      <w:r w:rsidRPr="00774A86">
        <w:t>ehicles</w:t>
      </w:r>
      <w:bookmarkEnd w:id="173"/>
    </w:p>
    <w:p w:rsidR="0077285A" w:rsidRPr="00774A86" w:rsidRDefault="0077285A" w:rsidP="00D13759">
      <w:pPr>
        <w:pStyle w:val="Chapter5"/>
        <w:numPr>
          <w:ilvl w:val="0"/>
          <w:numId w:val="0"/>
        </w:numPr>
        <w:ind w:left="851" w:hanging="851"/>
      </w:pPr>
    </w:p>
    <w:p w:rsidR="0077285A" w:rsidRPr="00774A86" w:rsidRDefault="0077285A" w:rsidP="00D13759">
      <w:pPr>
        <w:pStyle w:val="Chapter5"/>
      </w:pPr>
      <w:r w:rsidRPr="00774A86">
        <w:t xml:space="preserve">The CRS provides that a regulated </w:t>
      </w:r>
      <w:r w:rsidR="00E419FC" w:rsidRPr="00774A86">
        <w:t>c</w:t>
      </w:r>
      <w:r w:rsidRPr="00774A86">
        <w:t xml:space="preserve">ollective </w:t>
      </w:r>
      <w:r w:rsidR="00E419FC" w:rsidRPr="00774A86">
        <w:t>i</w:t>
      </w:r>
      <w:r w:rsidRPr="00774A86">
        <w:t xml:space="preserve">nvestment </w:t>
      </w:r>
      <w:r w:rsidR="00E419FC" w:rsidRPr="00774A86">
        <w:t>v</w:t>
      </w:r>
      <w:r w:rsidRPr="00774A86">
        <w:t xml:space="preserve">ehicle (CIV) that has issued physical shares in bearer form will not fail to qualify as an </w:t>
      </w:r>
      <w:r w:rsidR="00E419FC" w:rsidRPr="00774A86">
        <w:t>e</w:t>
      </w:r>
      <w:r w:rsidRPr="00774A86">
        <w:t>xempt CIV provided that the CIV:</w:t>
      </w:r>
      <w:r w:rsidRPr="00774A86">
        <w:rPr>
          <w:sz w:val="22"/>
          <w:szCs w:val="22"/>
          <w:vertAlign w:val="superscript"/>
        </w:rPr>
        <w:footnoteReference w:id="62"/>
      </w:r>
    </w:p>
    <w:p w:rsidR="00DB5B9E" w:rsidRPr="00774A86" w:rsidRDefault="00DB5B9E" w:rsidP="00D13759">
      <w:pPr>
        <w:pStyle w:val="Chapter5"/>
        <w:numPr>
          <w:ilvl w:val="0"/>
          <w:numId w:val="0"/>
        </w:numPr>
      </w:pPr>
    </w:p>
    <w:p w:rsidR="0077285A" w:rsidRPr="00774A86" w:rsidRDefault="00B44E3F" w:rsidP="00DB5B9E">
      <w:pPr>
        <w:pStyle w:val="Bullets"/>
      </w:pPr>
      <w:r w:rsidRPr="00774A86">
        <w:t xml:space="preserve">has </w:t>
      </w:r>
      <w:r w:rsidR="0077285A" w:rsidRPr="00774A86">
        <w:t xml:space="preserve">not issued and does not issue any physical shares in bearer form </w:t>
      </w:r>
      <w:r w:rsidR="0077285A" w:rsidRPr="00774A86">
        <w:rPr>
          <w:b/>
        </w:rPr>
        <w:t>after</w:t>
      </w:r>
      <w:r w:rsidR="0077285A" w:rsidRPr="00774A86">
        <w:t xml:space="preserve"> the date provided by the </w:t>
      </w:r>
      <w:r w:rsidR="00E419FC" w:rsidRPr="00774A86">
        <w:t>p</w:t>
      </w:r>
      <w:r w:rsidR="00991E68" w:rsidRPr="00774A86">
        <w:t>articipating jurisdiction</w:t>
      </w:r>
      <w:r w:rsidR="007E474B" w:rsidRPr="00774A86">
        <w:t>;</w:t>
      </w:r>
    </w:p>
    <w:p w:rsidR="0077285A" w:rsidRPr="00774A86" w:rsidRDefault="00B44E3F" w:rsidP="00DB5B9E">
      <w:pPr>
        <w:pStyle w:val="Bullets"/>
      </w:pPr>
      <w:r w:rsidRPr="00774A86">
        <w:t xml:space="preserve">retires </w:t>
      </w:r>
      <w:r w:rsidR="0077285A" w:rsidRPr="00774A86">
        <w:t>a</w:t>
      </w:r>
      <w:r w:rsidR="007E474B" w:rsidRPr="00774A86">
        <w:t>ll such shares upon surrender;</w:t>
      </w:r>
    </w:p>
    <w:p w:rsidR="0077285A" w:rsidRPr="00774A86" w:rsidRDefault="00B44E3F" w:rsidP="00DB5B9E">
      <w:pPr>
        <w:pStyle w:val="Bullets"/>
      </w:pPr>
      <w:r w:rsidRPr="00774A86">
        <w:t xml:space="preserve">performs </w:t>
      </w:r>
      <w:r w:rsidR="0077285A" w:rsidRPr="00774A86">
        <w:t>the due diligence procedures and reports (if required) with respect to such shares when presented for redemption or payment; and</w:t>
      </w:r>
    </w:p>
    <w:p w:rsidR="0077285A" w:rsidRPr="00774A86" w:rsidRDefault="00B44E3F" w:rsidP="00A571DE">
      <w:pPr>
        <w:pStyle w:val="Bullets"/>
        <w:spacing w:after="0"/>
      </w:pPr>
      <w:proofErr w:type="gramStart"/>
      <w:r w:rsidRPr="00774A86">
        <w:t>has</w:t>
      </w:r>
      <w:proofErr w:type="gramEnd"/>
      <w:r w:rsidRPr="00774A86">
        <w:t xml:space="preserve"> </w:t>
      </w:r>
      <w:r w:rsidR="0077285A" w:rsidRPr="00774A86">
        <w:t xml:space="preserve">in place policies and procedures to ensure the shares are redeemed or immobilised as soon as possible and in any event </w:t>
      </w:r>
      <w:r w:rsidR="0077285A" w:rsidRPr="00774A86">
        <w:rPr>
          <w:b/>
        </w:rPr>
        <w:t>prior</w:t>
      </w:r>
      <w:r w:rsidR="0077285A" w:rsidRPr="00774A86">
        <w:t xml:space="preserve"> to the date provided by the </w:t>
      </w:r>
      <w:r w:rsidR="00E419FC" w:rsidRPr="00774A86">
        <w:t>p</w:t>
      </w:r>
      <w:r w:rsidR="00991E68" w:rsidRPr="00774A86">
        <w:t>articipating jurisdiction</w:t>
      </w:r>
      <w:r w:rsidR="0077285A" w:rsidRPr="00774A86">
        <w:t>.</w:t>
      </w:r>
    </w:p>
    <w:p w:rsidR="003D2265" w:rsidRPr="00774A86" w:rsidRDefault="003D2265" w:rsidP="00D13759">
      <w:pPr>
        <w:pStyle w:val="Chapter5"/>
        <w:numPr>
          <w:ilvl w:val="0"/>
          <w:numId w:val="0"/>
        </w:numPr>
        <w:ind w:left="851" w:hanging="851"/>
      </w:pPr>
    </w:p>
    <w:p w:rsidR="0077285A" w:rsidRPr="00774A86" w:rsidRDefault="0077285A">
      <w:pPr>
        <w:jc w:val="left"/>
        <w:rPr>
          <w:rFonts w:ascii="Times New Roman Bold" w:hAnsi="Times New Roman Bold"/>
          <w:b/>
          <w:bCs/>
          <w:caps/>
          <w:sz w:val="28"/>
          <w:szCs w:val="28"/>
        </w:rPr>
      </w:pPr>
      <w:r w:rsidRPr="00774A86">
        <w:rPr>
          <w:rFonts w:ascii="Times New Roman Bold" w:hAnsi="Times New Roman Bold"/>
          <w:b/>
          <w:bCs/>
          <w:caps/>
          <w:sz w:val="28"/>
          <w:szCs w:val="28"/>
        </w:rPr>
        <w:br w:type="page"/>
      </w:r>
    </w:p>
    <w:p w:rsidR="00CC0401" w:rsidRPr="00774A86" w:rsidRDefault="00CC0401" w:rsidP="006E67B7">
      <w:pPr>
        <w:pStyle w:val="Chapterheading"/>
      </w:pPr>
      <w:bookmarkStart w:id="174" w:name="G"/>
      <w:bookmarkStart w:id="175" w:name="A"/>
      <w:bookmarkStart w:id="176" w:name="_Toc443409978"/>
      <w:bookmarkStart w:id="177" w:name="_Toc443470091"/>
      <w:bookmarkEnd w:id="174"/>
      <w:bookmarkEnd w:id="175"/>
      <w:r w:rsidRPr="00774A86">
        <w:lastRenderedPageBreak/>
        <w:t>Appendix</w:t>
      </w:r>
      <w:bookmarkEnd w:id="176"/>
      <w:bookmarkEnd w:id="177"/>
    </w:p>
    <w:p w:rsidR="008C74C6" w:rsidRPr="00774A86" w:rsidRDefault="008C74C6" w:rsidP="008C74C6"/>
    <w:p w:rsidR="008C74C6" w:rsidRPr="00774A86" w:rsidRDefault="008C74C6" w:rsidP="008C74C6"/>
    <w:p w:rsidR="0077285A" w:rsidRPr="00774A86" w:rsidRDefault="0077285A" w:rsidP="007E474B">
      <w:pPr>
        <w:pStyle w:val="Heading1"/>
      </w:pPr>
      <w:bookmarkStart w:id="178" w:name="_Toc443470092"/>
      <w:r w:rsidRPr="00774A86">
        <w:t xml:space="preserve">Summary of CRS Due Diligence Procedures that </w:t>
      </w:r>
      <w:r w:rsidR="003C18F0" w:rsidRPr="00774A86">
        <w:t xml:space="preserve">New Zealand </w:t>
      </w:r>
      <w:r w:rsidR="00BA30CD" w:rsidRPr="00774A86">
        <w:t xml:space="preserve">reporting financial </w:t>
      </w:r>
      <w:r w:rsidR="00991E68" w:rsidRPr="00774A86">
        <w:t>institutions</w:t>
      </w:r>
      <w:r w:rsidRPr="00774A86">
        <w:t xml:space="preserve"> will need to carry out on non-exempt financial accounts that they maintain</w:t>
      </w:r>
      <w:r w:rsidR="003C18F0" w:rsidRPr="00774A86">
        <w:t xml:space="preserve"> (based on the indicative implementation time-line)</w:t>
      </w:r>
      <w:bookmarkEnd w:id="178"/>
    </w:p>
    <w:p w:rsidR="0077285A" w:rsidRPr="00774A86" w:rsidRDefault="0077285A" w:rsidP="002B7503"/>
    <w:p w:rsidR="0077285A" w:rsidRPr="00774A86" w:rsidRDefault="003C18F0" w:rsidP="002B7503">
      <w:r w:rsidRPr="00774A86">
        <w:t xml:space="preserve">New Zealand </w:t>
      </w:r>
      <w:r w:rsidR="00E419FC" w:rsidRPr="00774A86">
        <w:t>r</w:t>
      </w:r>
      <w:r w:rsidR="0077285A" w:rsidRPr="00774A86">
        <w:t xml:space="preserve">eporting </w:t>
      </w:r>
      <w:r w:rsidR="00E419FC" w:rsidRPr="00774A86">
        <w:t>f</w:t>
      </w:r>
      <w:r w:rsidR="00991E68" w:rsidRPr="00774A86">
        <w:t>inancial institutions</w:t>
      </w:r>
      <w:r w:rsidR="0077285A" w:rsidRPr="00774A86">
        <w:t xml:space="preserve"> need to carry out CRS due diligence on their non-exempt accounts to identify whether the accounts are either </w:t>
      </w:r>
      <w:r w:rsidR="00E419FC" w:rsidRPr="00774A86">
        <w:t>r</w:t>
      </w:r>
      <w:r w:rsidR="00EE5866" w:rsidRPr="00774A86">
        <w:t>eportable accounts</w:t>
      </w:r>
      <w:r w:rsidR="0077285A" w:rsidRPr="00774A86">
        <w:t xml:space="preserve"> or </w:t>
      </w:r>
      <w:r w:rsidR="00E419FC" w:rsidRPr="00774A86">
        <w:t>u</w:t>
      </w:r>
      <w:r w:rsidR="00EE5866" w:rsidRPr="00774A86">
        <w:t>ndocumented accounts</w:t>
      </w:r>
      <w:r w:rsidR="0077285A" w:rsidRPr="00774A86">
        <w:t>.</w:t>
      </w:r>
    </w:p>
    <w:p w:rsidR="0077285A" w:rsidRPr="00774A86" w:rsidRDefault="0077285A" w:rsidP="002B7503"/>
    <w:p w:rsidR="0077285A" w:rsidRPr="00774A86" w:rsidRDefault="0077285A" w:rsidP="002B7503">
      <w:r w:rsidRPr="00774A86">
        <w:t xml:space="preserve">These procedures vary depending on whether the account is a </w:t>
      </w:r>
      <w:r w:rsidR="00E419FC" w:rsidRPr="00774A86">
        <w:t>p</w:t>
      </w:r>
      <w:r w:rsidRPr="00774A86">
        <w:t>re</w:t>
      </w:r>
      <w:r w:rsidR="00522274" w:rsidRPr="00774A86">
        <w:t>-</w:t>
      </w:r>
      <w:r w:rsidRPr="00774A86">
        <w:t xml:space="preserve">existing </w:t>
      </w:r>
      <w:r w:rsidR="00E419FC" w:rsidRPr="00774A86">
        <w:t>a</w:t>
      </w:r>
      <w:r w:rsidRPr="00774A86">
        <w:t xml:space="preserve">ccount or a </w:t>
      </w:r>
      <w:r w:rsidR="00E419FC" w:rsidRPr="00774A86">
        <w:t>n</w:t>
      </w:r>
      <w:r w:rsidRPr="00774A86">
        <w:t xml:space="preserve">ew </w:t>
      </w:r>
      <w:r w:rsidR="00E419FC" w:rsidRPr="00774A86">
        <w:t>a</w:t>
      </w:r>
      <w:r w:rsidRPr="00774A86">
        <w:t xml:space="preserve">ccount and whether the account is held by an </w:t>
      </w:r>
      <w:r w:rsidR="00E419FC" w:rsidRPr="00774A86">
        <w:t>i</w:t>
      </w:r>
      <w:r w:rsidRPr="00774A86">
        <w:t xml:space="preserve">ndividual or an </w:t>
      </w:r>
      <w:r w:rsidR="00E419FC" w:rsidRPr="00774A86">
        <w:t>e</w:t>
      </w:r>
      <w:r w:rsidRPr="00774A86">
        <w:t>ntity</w:t>
      </w:r>
      <w:r w:rsidR="0030367F" w:rsidRPr="00774A86">
        <w:t>.  I</w:t>
      </w:r>
      <w:r w:rsidRPr="00774A86">
        <w:t xml:space="preserve">n broad terms, a </w:t>
      </w:r>
      <w:r w:rsidR="00E419FC" w:rsidRPr="00774A86">
        <w:t>p</w:t>
      </w:r>
      <w:r w:rsidRPr="00774A86">
        <w:t>re</w:t>
      </w:r>
      <w:r w:rsidR="00522274" w:rsidRPr="00774A86">
        <w:t>-</w:t>
      </w:r>
      <w:r w:rsidRPr="00774A86">
        <w:t xml:space="preserve">existing account will be an account opened immediately before the date of implementation of the CRS (30 June 2017) and a </w:t>
      </w:r>
      <w:r w:rsidR="00E419FC" w:rsidRPr="00774A86">
        <w:t>n</w:t>
      </w:r>
      <w:r w:rsidRPr="00774A86">
        <w:t xml:space="preserve">ew </w:t>
      </w:r>
      <w:r w:rsidR="00E419FC" w:rsidRPr="00774A86">
        <w:t>a</w:t>
      </w:r>
      <w:r w:rsidRPr="00774A86">
        <w:t>ccount will be an account opened on or after the date of implementation of the CRS (1 July 2017)</w:t>
      </w:r>
      <w:r w:rsidR="0030367F" w:rsidRPr="00774A86">
        <w:t>.  T</w:t>
      </w:r>
      <w:r w:rsidRPr="00774A86">
        <w:t xml:space="preserve">hese procedures are summarised briefly below. </w:t>
      </w:r>
      <w:r w:rsidR="001503F3" w:rsidRPr="00774A86">
        <w:t xml:space="preserve"> </w:t>
      </w:r>
      <w:r w:rsidR="001A3B38" w:rsidRPr="00774A86">
        <w:t>(</w:t>
      </w:r>
      <w:r w:rsidRPr="00774A86">
        <w:t xml:space="preserve">These procedures are subject to the resolution of a number of the consultation points set out in this paper – for example, the optional threshold exemption </w:t>
      </w:r>
      <w:r w:rsidR="00AB3FDB" w:rsidRPr="00774A86">
        <w:t xml:space="preserve">from due diligence </w:t>
      </w:r>
      <w:r w:rsidRPr="00774A86">
        <w:t xml:space="preserve">for </w:t>
      </w:r>
      <w:r w:rsidR="00E419FC" w:rsidRPr="00774A86">
        <w:t>p</w:t>
      </w:r>
      <w:r w:rsidRPr="00774A86">
        <w:t>re</w:t>
      </w:r>
      <w:r w:rsidR="00522274" w:rsidRPr="00774A86">
        <w:t>-</w:t>
      </w:r>
      <w:r w:rsidRPr="00774A86">
        <w:t xml:space="preserve">existing </w:t>
      </w:r>
      <w:r w:rsidR="00E419FC" w:rsidRPr="00774A86">
        <w:t>e</w:t>
      </w:r>
      <w:r w:rsidRPr="00774A86">
        <w:t xml:space="preserve">ntity </w:t>
      </w:r>
      <w:r w:rsidR="00E419FC" w:rsidRPr="00774A86">
        <w:t>a</w:t>
      </w:r>
      <w:r w:rsidRPr="00774A86">
        <w:t xml:space="preserve">ccounts with a balance or value of </w:t>
      </w:r>
      <w:r w:rsidR="00BA30CD" w:rsidRPr="00774A86">
        <w:t xml:space="preserve">US </w:t>
      </w:r>
      <w:r w:rsidR="00774A86">
        <w:t>$</w:t>
      </w:r>
      <w:r w:rsidRPr="00774A86">
        <w:t>250,000 or less and should be read in this context</w:t>
      </w:r>
      <w:r w:rsidR="001A3B38" w:rsidRPr="00774A86">
        <w:t>).</w:t>
      </w:r>
    </w:p>
    <w:p w:rsidR="008C74C6" w:rsidRPr="00774A86" w:rsidRDefault="008C74C6" w:rsidP="002B7503"/>
    <w:p w:rsidR="008C74C6" w:rsidRPr="00774A86" w:rsidRDefault="008C74C6" w:rsidP="002B7503"/>
    <w:p w:rsidR="0077285A" w:rsidRPr="00774A86" w:rsidRDefault="0077285A" w:rsidP="007E474B">
      <w:pPr>
        <w:pStyle w:val="Heading1"/>
      </w:pPr>
      <w:bookmarkStart w:id="179" w:name="_Toc443409980"/>
      <w:bookmarkStart w:id="180" w:name="_Toc443470093"/>
      <w:r w:rsidRPr="00774A86">
        <w:t xml:space="preserve">Individual </w:t>
      </w:r>
      <w:r w:rsidR="00BA30CD" w:rsidRPr="00774A86">
        <w:t>accounts</w:t>
      </w:r>
      <w:bookmarkEnd w:id="179"/>
      <w:bookmarkEnd w:id="180"/>
    </w:p>
    <w:p w:rsidR="008C74C6" w:rsidRPr="00774A86" w:rsidRDefault="008C74C6" w:rsidP="00D64344"/>
    <w:p w:rsidR="0077285A" w:rsidRPr="00774A86" w:rsidRDefault="0077285A" w:rsidP="007E474B">
      <w:pPr>
        <w:pStyle w:val="Heading2"/>
      </w:pPr>
      <w:r w:rsidRPr="00774A86">
        <w:t>Pre</w:t>
      </w:r>
      <w:r w:rsidR="00522274" w:rsidRPr="00774A86">
        <w:t>-</w:t>
      </w:r>
      <w:r w:rsidRPr="00774A86">
        <w:t xml:space="preserve">existing </w:t>
      </w:r>
      <w:r w:rsidR="00BA30CD" w:rsidRPr="00774A86">
        <w:t xml:space="preserve">individual accounts </w:t>
      </w:r>
      <w:r w:rsidRPr="00774A86">
        <w:t>(accounts maintained as of 30 June 2017)</w:t>
      </w:r>
    </w:p>
    <w:p w:rsidR="0077285A" w:rsidRPr="00774A86" w:rsidRDefault="0077285A" w:rsidP="0077285A"/>
    <w:p w:rsidR="0077285A" w:rsidRPr="00774A86" w:rsidRDefault="0077285A" w:rsidP="0077285A">
      <w:r w:rsidRPr="00774A86">
        <w:t xml:space="preserve">A </w:t>
      </w:r>
      <w:r w:rsidR="003C18F0" w:rsidRPr="00774A86">
        <w:t xml:space="preserve">New Zealand </w:t>
      </w:r>
      <w:r w:rsidR="00E419FC" w:rsidRPr="00774A86">
        <w:t>r</w:t>
      </w:r>
      <w:r w:rsidRPr="00774A86">
        <w:t xml:space="preserve">eporting </w:t>
      </w:r>
      <w:r w:rsidR="00E419FC" w:rsidRPr="00774A86">
        <w:t>f</w:t>
      </w:r>
      <w:r w:rsidRPr="00774A86">
        <w:t xml:space="preserve">inancial </w:t>
      </w:r>
      <w:r w:rsidR="00E419FC" w:rsidRPr="00774A86">
        <w:t>i</w:t>
      </w:r>
      <w:r w:rsidRPr="00774A86">
        <w:t xml:space="preserve">nstitution will need to carry out CRS due diligence on non-exempt </w:t>
      </w:r>
      <w:r w:rsidR="00E419FC" w:rsidRPr="00774A86">
        <w:t>p</w:t>
      </w:r>
      <w:r w:rsidRPr="00774A86">
        <w:t>re</w:t>
      </w:r>
      <w:r w:rsidR="00522274" w:rsidRPr="00774A86">
        <w:t>-</w:t>
      </w:r>
      <w:r w:rsidRPr="00774A86">
        <w:t xml:space="preserve">existing </w:t>
      </w:r>
      <w:r w:rsidR="00E419FC" w:rsidRPr="00774A86">
        <w:t>i</w:t>
      </w:r>
      <w:r w:rsidRPr="00774A86">
        <w:t xml:space="preserve">ndividual </w:t>
      </w:r>
      <w:r w:rsidR="00E419FC" w:rsidRPr="00774A86">
        <w:t>a</w:t>
      </w:r>
      <w:r w:rsidRPr="00774A86">
        <w:t xml:space="preserve">ccounts that they maintain to determine whether those accounts are held by </w:t>
      </w:r>
      <w:r w:rsidR="00E419FC" w:rsidRPr="00774A86">
        <w:t>r</w:t>
      </w:r>
      <w:r w:rsidRPr="00774A86">
        <w:t xml:space="preserve">eportable </w:t>
      </w:r>
      <w:r w:rsidR="00E419FC" w:rsidRPr="00774A86">
        <w:t>p</w:t>
      </w:r>
      <w:r w:rsidRPr="00774A86">
        <w:t xml:space="preserve">ersons, and, therefore, are </w:t>
      </w:r>
      <w:r w:rsidR="00E419FC" w:rsidRPr="00774A86">
        <w:t>r</w:t>
      </w:r>
      <w:r w:rsidR="00EE5866" w:rsidRPr="00774A86">
        <w:t>eportable accounts</w:t>
      </w:r>
      <w:r w:rsidRPr="00774A86">
        <w:t xml:space="preserve"> (or whether the accounts are </w:t>
      </w:r>
      <w:r w:rsidR="00E419FC" w:rsidRPr="00774A86">
        <w:t>u</w:t>
      </w:r>
      <w:r w:rsidR="00EE5866" w:rsidRPr="00774A86">
        <w:t>ndocumented accounts</w:t>
      </w:r>
      <w:r w:rsidRPr="00774A86">
        <w:t>).</w:t>
      </w:r>
    </w:p>
    <w:p w:rsidR="0077285A" w:rsidRPr="00774A86" w:rsidRDefault="0077285A" w:rsidP="0077285A"/>
    <w:p w:rsidR="0077285A" w:rsidRPr="00774A86" w:rsidRDefault="0077285A" w:rsidP="0077285A">
      <w:r w:rsidRPr="00774A86">
        <w:t xml:space="preserve">There are two types of </w:t>
      </w:r>
      <w:r w:rsidR="00E419FC" w:rsidRPr="00774A86">
        <w:t>p</w:t>
      </w:r>
      <w:r w:rsidRPr="00774A86">
        <w:t>re</w:t>
      </w:r>
      <w:r w:rsidR="00522274" w:rsidRPr="00774A86">
        <w:t>-</w:t>
      </w:r>
      <w:r w:rsidRPr="00774A86">
        <w:t xml:space="preserve">existing </w:t>
      </w:r>
      <w:r w:rsidR="00E419FC" w:rsidRPr="00774A86">
        <w:t>i</w:t>
      </w:r>
      <w:r w:rsidRPr="00774A86">
        <w:t xml:space="preserve">ndividual </w:t>
      </w:r>
      <w:r w:rsidR="00E419FC" w:rsidRPr="00774A86">
        <w:t>a</w:t>
      </w:r>
      <w:r w:rsidRPr="00774A86">
        <w:t>ccounts (</w:t>
      </w:r>
      <w:r w:rsidR="00E419FC" w:rsidRPr="00774A86">
        <w:t>l</w:t>
      </w:r>
      <w:r w:rsidRPr="00774A86">
        <w:t xml:space="preserve">ower </w:t>
      </w:r>
      <w:r w:rsidR="00E419FC" w:rsidRPr="00774A86">
        <w:t>v</w:t>
      </w:r>
      <w:r w:rsidRPr="00774A86">
        <w:t xml:space="preserve">alue </w:t>
      </w:r>
      <w:r w:rsidR="00E419FC" w:rsidRPr="00774A86">
        <w:t>a</w:t>
      </w:r>
      <w:r w:rsidRPr="00774A86">
        <w:t xml:space="preserve">ccounts and </w:t>
      </w:r>
      <w:r w:rsidR="00E419FC" w:rsidRPr="00774A86">
        <w:t>h</w:t>
      </w:r>
      <w:r w:rsidRPr="00774A86">
        <w:t xml:space="preserve">igh </w:t>
      </w:r>
      <w:r w:rsidR="00E419FC" w:rsidRPr="00774A86">
        <w:t>v</w:t>
      </w:r>
      <w:r w:rsidRPr="00774A86">
        <w:t xml:space="preserve">alue </w:t>
      </w:r>
      <w:r w:rsidR="00E419FC" w:rsidRPr="00774A86">
        <w:t>a</w:t>
      </w:r>
      <w:r w:rsidRPr="00774A86">
        <w:t>ccounts) that are subject to different due diligence procedures</w:t>
      </w:r>
      <w:r w:rsidR="0030367F" w:rsidRPr="00774A86">
        <w:t>.  L</w:t>
      </w:r>
      <w:r w:rsidRPr="00774A86">
        <w:t xml:space="preserve">ower </w:t>
      </w:r>
      <w:r w:rsidR="00E419FC" w:rsidRPr="00774A86">
        <w:t>v</w:t>
      </w:r>
      <w:r w:rsidRPr="00774A86">
        <w:t xml:space="preserve">alue </w:t>
      </w:r>
      <w:r w:rsidR="00E419FC" w:rsidRPr="00774A86">
        <w:t>a</w:t>
      </w:r>
      <w:r w:rsidRPr="00774A86">
        <w:t xml:space="preserve">ccounts are </w:t>
      </w:r>
      <w:r w:rsidR="00E419FC" w:rsidRPr="00774A86">
        <w:t>p</w:t>
      </w:r>
      <w:r w:rsidRPr="00774A86">
        <w:t>re</w:t>
      </w:r>
      <w:r w:rsidR="00522274" w:rsidRPr="00774A86">
        <w:t>-</w:t>
      </w:r>
      <w:r w:rsidRPr="00774A86">
        <w:t xml:space="preserve">existing individual accounts with an aggregate balance or value that does not exceed US </w:t>
      </w:r>
      <w:r w:rsidR="00774A86">
        <w:t>$</w:t>
      </w:r>
      <w:r w:rsidRPr="00774A86">
        <w:t>1,000,000 at a date to be set out in implementing legislation</w:t>
      </w:r>
      <w:r w:rsidR="0030367F" w:rsidRPr="00774A86">
        <w:t>.  H</w:t>
      </w:r>
      <w:r w:rsidRPr="00774A86">
        <w:t xml:space="preserve">igh </w:t>
      </w:r>
      <w:r w:rsidR="00E419FC" w:rsidRPr="00774A86">
        <w:t>v</w:t>
      </w:r>
      <w:r w:rsidRPr="00774A86">
        <w:t xml:space="preserve">alue </w:t>
      </w:r>
      <w:r w:rsidR="00E419FC" w:rsidRPr="00774A86">
        <w:t>a</w:t>
      </w:r>
      <w:r w:rsidRPr="00774A86">
        <w:t xml:space="preserve">ccounts are </w:t>
      </w:r>
      <w:r w:rsidR="00E419FC" w:rsidRPr="00774A86">
        <w:t>p</w:t>
      </w:r>
      <w:r w:rsidRPr="00774A86">
        <w:t>re</w:t>
      </w:r>
      <w:r w:rsidR="00522274" w:rsidRPr="00774A86">
        <w:t>-</w:t>
      </w:r>
      <w:r w:rsidRPr="00774A86">
        <w:t xml:space="preserve">existing individual accounts with an aggregate balance or value that exceeds US </w:t>
      </w:r>
      <w:r w:rsidR="00774A86">
        <w:t>$</w:t>
      </w:r>
      <w:r w:rsidRPr="00774A86">
        <w:t>1,000,000 at dates to be set in implementing legislation.</w:t>
      </w:r>
    </w:p>
    <w:p w:rsidR="0077285A" w:rsidRPr="00774A86" w:rsidRDefault="0077285A" w:rsidP="0077285A"/>
    <w:p w:rsidR="007E474B" w:rsidRPr="00774A86" w:rsidRDefault="0077285A" w:rsidP="0077285A">
      <w:r w:rsidRPr="00774A86">
        <w:t xml:space="preserve">In broad terms, these due diligence procedures will involve the </w:t>
      </w:r>
      <w:r w:rsidR="003C18F0" w:rsidRPr="00774A86">
        <w:t xml:space="preserve">New Zealand </w:t>
      </w:r>
      <w:r w:rsidR="00E419FC" w:rsidRPr="00774A86">
        <w:t>r</w:t>
      </w:r>
      <w:r w:rsidRPr="00774A86">
        <w:t xml:space="preserve">eporting </w:t>
      </w:r>
      <w:r w:rsidR="00E419FC" w:rsidRPr="00774A86">
        <w:t>f</w:t>
      </w:r>
      <w:r w:rsidRPr="00774A86">
        <w:t xml:space="preserve">inancial </w:t>
      </w:r>
      <w:r w:rsidR="00E419FC" w:rsidRPr="00774A86">
        <w:t>i</w:t>
      </w:r>
      <w:r w:rsidRPr="00774A86">
        <w:t xml:space="preserve">nstitution applying various procedures to its financial accounts to search for defined indicia (for example, one such indicia is a current mailing or residence address in a </w:t>
      </w:r>
      <w:r w:rsidR="00E419FC" w:rsidRPr="00774A86">
        <w:t>r</w:t>
      </w:r>
      <w:r w:rsidR="00EE5866" w:rsidRPr="00774A86">
        <w:t>eportable jurisdiction</w:t>
      </w:r>
      <w:r w:rsidRPr="00774A86">
        <w:t xml:space="preserve">) that the </w:t>
      </w:r>
      <w:r w:rsidR="00E419FC" w:rsidRPr="00774A86">
        <w:t>a</w:t>
      </w:r>
      <w:r w:rsidRPr="00774A86">
        <w:t xml:space="preserve">ccount </w:t>
      </w:r>
      <w:r w:rsidR="00E419FC" w:rsidRPr="00774A86">
        <w:t>h</w:t>
      </w:r>
      <w:r w:rsidRPr="00774A86">
        <w:t xml:space="preserve">older is tax resident in a </w:t>
      </w:r>
      <w:r w:rsidR="00E419FC" w:rsidRPr="00774A86">
        <w:t>r</w:t>
      </w:r>
      <w:r w:rsidR="00EE5866" w:rsidRPr="00774A86">
        <w:t>eportable jurisdiction</w:t>
      </w:r>
      <w:r w:rsidRPr="00774A86">
        <w:t xml:space="preserve"> and is a </w:t>
      </w:r>
      <w:r w:rsidR="00E419FC" w:rsidRPr="00774A86">
        <w:t>r</w:t>
      </w:r>
      <w:r w:rsidRPr="00774A86">
        <w:t xml:space="preserve">eportable </w:t>
      </w:r>
      <w:r w:rsidR="00E419FC" w:rsidRPr="00774A86">
        <w:t>p</w:t>
      </w:r>
      <w:r w:rsidRPr="00774A86">
        <w:t>erson</w:t>
      </w:r>
      <w:r w:rsidR="0030367F" w:rsidRPr="00774A86">
        <w:t>.  T</w:t>
      </w:r>
      <w:r w:rsidRPr="00774A86">
        <w:t xml:space="preserve">his indicia if found (including if there is a subsequent change of circumstances that results in any indicia being associated with the account) will lead to a presumption that the Individual is tax resident in each </w:t>
      </w:r>
      <w:r w:rsidR="00E419FC" w:rsidRPr="00774A86">
        <w:t>r</w:t>
      </w:r>
      <w:r w:rsidR="00EE5866" w:rsidRPr="00774A86">
        <w:t>eportable jurisdiction</w:t>
      </w:r>
      <w:r w:rsidRPr="00774A86">
        <w:t xml:space="preserve"> for which an indicium is identified and is a </w:t>
      </w:r>
      <w:r w:rsidR="00E419FC" w:rsidRPr="00774A86">
        <w:t>r</w:t>
      </w:r>
      <w:r w:rsidRPr="00774A86">
        <w:t xml:space="preserve">eportable </w:t>
      </w:r>
      <w:r w:rsidR="00E419FC" w:rsidRPr="00774A86">
        <w:t>p</w:t>
      </w:r>
      <w:r w:rsidRPr="00774A86">
        <w:t xml:space="preserve">erson with the account being a </w:t>
      </w:r>
      <w:r w:rsidR="00E419FC" w:rsidRPr="00774A86">
        <w:t>r</w:t>
      </w:r>
      <w:r w:rsidRPr="00774A86">
        <w:t xml:space="preserve">eportable </w:t>
      </w:r>
      <w:r w:rsidR="00E419FC" w:rsidRPr="00774A86">
        <w:t>a</w:t>
      </w:r>
      <w:r w:rsidRPr="00774A86">
        <w:t xml:space="preserve">ccount with respect to each </w:t>
      </w:r>
      <w:r w:rsidR="00E419FC" w:rsidRPr="00774A86">
        <w:t>r</w:t>
      </w:r>
      <w:r w:rsidR="00EE5866" w:rsidRPr="00774A86">
        <w:t>eportable jurisdiction</w:t>
      </w:r>
      <w:r w:rsidRPr="00774A86">
        <w:t xml:space="preserve"> (unless this presumption is “cured” through a combination of self-certifications and documentary evidence, which applies in certain defined circumstances)</w:t>
      </w:r>
      <w:r w:rsidR="0030367F" w:rsidRPr="00774A86">
        <w:t>.  T</w:t>
      </w:r>
      <w:r w:rsidRPr="00774A86">
        <w:t xml:space="preserve">hese due diligence procedures are generally more extensive for </w:t>
      </w:r>
      <w:r w:rsidR="00E419FC" w:rsidRPr="00774A86">
        <w:t>h</w:t>
      </w:r>
      <w:r w:rsidRPr="00774A86">
        <w:t xml:space="preserve">igh </w:t>
      </w:r>
      <w:r w:rsidR="00E419FC" w:rsidRPr="00774A86">
        <w:t>v</w:t>
      </w:r>
      <w:r w:rsidRPr="00774A86">
        <w:t xml:space="preserve">alue </w:t>
      </w:r>
      <w:r w:rsidR="00E419FC" w:rsidRPr="00774A86">
        <w:t>a</w:t>
      </w:r>
      <w:r w:rsidRPr="00774A86">
        <w:t>ccounts (as set out below) and such accounts are also subject to a special provision which applies to accounts that are assigned to a relationship manager.</w:t>
      </w:r>
    </w:p>
    <w:p w:rsidR="007E474B" w:rsidRPr="00774A86" w:rsidRDefault="007E474B" w:rsidP="0077285A"/>
    <w:p w:rsidR="0077285A" w:rsidRPr="00774A86" w:rsidRDefault="0077285A" w:rsidP="007E474B">
      <w:pPr>
        <w:pStyle w:val="Heading3"/>
      </w:pPr>
      <w:r w:rsidRPr="00774A86">
        <w:lastRenderedPageBreak/>
        <w:t xml:space="preserve">Lower </w:t>
      </w:r>
      <w:r w:rsidR="007E474B" w:rsidRPr="00774A86">
        <w:t>value accounts</w:t>
      </w:r>
    </w:p>
    <w:p w:rsidR="0077285A" w:rsidRPr="00774A86" w:rsidRDefault="0077285A" w:rsidP="0077285A"/>
    <w:p w:rsidR="0077285A" w:rsidRPr="00774A86" w:rsidRDefault="0077285A" w:rsidP="0077285A">
      <w:r w:rsidRPr="00774A86">
        <w:t xml:space="preserve">For </w:t>
      </w:r>
      <w:r w:rsidR="00E419FC" w:rsidRPr="00774A86">
        <w:t>l</w:t>
      </w:r>
      <w:r w:rsidRPr="00774A86">
        <w:t xml:space="preserve">ower </w:t>
      </w:r>
      <w:r w:rsidR="00E419FC" w:rsidRPr="00774A86">
        <w:t>v</w:t>
      </w:r>
      <w:r w:rsidRPr="00774A86">
        <w:t xml:space="preserve">alue </w:t>
      </w:r>
      <w:r w:rsidR="00E419FC" w:rsidRPr="00774A86">
        <w:t>a</w:t>
      </w:r>
      <w:r w:rsidRPr="00774A86">
        <w:t xml:space="preserve">ccounts there is scope for a </w:t>
      </w:r>
      <w:r w:rsidR="00E419FC" w:rsidRPr="00774A86">
        <w:t>p</w:t>
      </w:r>
      <w:r w:rsidR="00991E68" w:rsidRPr="00774A86">
        <w:t>articipating jurisdiction</w:t>
      </w:r>
      <w:r w:rsidRPr="00774A86">
        <w:t xml:space="preserve"> to allow </w:t>
      </w:r>
      <w:r w:rsidR="00E419FC" w:rsidRPr="00774A86">
        <w:t>r</w:t>
      </w:r>
      <w:r w:rsidRPr="00774A86">
        <w:t xml:space="preserve">eporting </w:t>
      </w:r>
      <w:r w:rsidR="00E419FC" w:rsidRPr="00774A86">
        <w:t>f</w:t>
      </w:r>
      <w:r w:rsidR="00991E68" w:rsidRPr="00774A86">
        <w:t>inancial institutions</w:t>
      </w:r>
      <w:r w:rsidRPr="00774A86">
        <w:t xml:space="preserve"> to apply a residence address test (in certain defined circumstances) as one such type of indicia to determine whether an </w:t>
      </w:r>
      <w:r w:rsidR="00E419FC" w:rsidRPr="00774A86">
        <w:t>a</w:t>
      </w:r>
      <w:r w:rsidRPr="00774A86">
        <w:t xml:space="preserve">ccount </w:t>
      </w:r>
      <w:r w:rsidR="00E419FC" w:rsidRPr="00774A86">
        <w:t>h</w:t>
      </w:r>
      <w:r w:rsidRPr="00774A86">
        <w:t xml:space="preserve">older is tax resident in a </w:t>
      </w:r>
      <w:r w:rsidR="00E419FC" w:rsidRPr="00774A86">
        <w:t>r</w:t>
      </w:r>
      <w:r w:rsidR="00EE5866" w:rsidRPr="00774A86">
        <w:t>eportable jurisdiction</w:t>
      </w:r>
      <w:r w:rsidRPr="00774A86">
        <w:t xml:space="preserve"> and is a </w:t>
      </w:r>
      <w:r w:rsidR="00E419FC" w:rsidRPr="00774A86">
        <w:t>r</w:t>
      </w:r>
      <w:r w:rsidRPr="00774A86">
        <w:t xml:space="preserve">eportable </w:t>
      </w:r>
      <w:r w:rsidR="00E419FC" w:rsidRPr="00774A86">
        <w:t>p</w:t>
      </w:r>
      <w:r w:rsidRPr="00774A86">
        <w:t>erson</w:t>
      </w:r>
      <w:r w:rsidR="0030367F" w:rsidRPr="00774A86">
        <w:t>.  F</w:t>
      </w:r>
      <w:r w:rsidRPr="00774A86">
        <w:t xml:space="preserve">or example, if this approach is permitted, the </w:t>
      </w:r>
      <w:r w:rsidR="00BD492F" w:rsidRPr="00774A86">
        <w:t xml:space="preserve">New Zealand </w:t>
      </w:r>
      <w:r w:rsidR="00E419FC" w:rsidRPr="00774A86">
        <w:t>r</w:t>
      </w:r>
      <w:r w:rsidRPr="00774A86">
        <w:t xml:space="preserve">eporting </w:t>
      </w:r>
      <w:r w:rsidR="00E419FC" w:rsidRPr="00774A86">
        <w:t>f</w:t>
      </w:r>
      <w:r w:rsidRPr="00774A86">
        <w:t xml:space="preserve">inancial </w:t>
      </w:r>
      <w:r w:rsidR="00E419FC" w:rsidRPr="00774A86">
        <w:t>i</w:t>
      </w:r>
      <w:r w:rsidRPr="00774A86">
        <w:t xml:space="preserve">nstitution would be able to review its records for a current residence address for the individual account holder based on documentary evidence and treat the individual account holder as being a resident for tax purposes of the jurisdiction in which the address is located for the purposes of determining whether they are a </w:t>
      </w:r>
      <w:r w:rsidR="00E419FC" w:rsidRPr="00774A86">
        <w:t>r</w:t>
      </w:r>
      <w:r w:rsidRPr="00774A86">
        <w:t xml:space="preserve">eportable </w:t>
      </w:r>
      <w:r w:rsidR="00E419FC" w:rsidRPr="00774A86">
        <w:t>p</w:t>
      </w:r>
      <w:r w:rsidRPr="00774A86">
        <w:t>erson.</w:t>
      </w:r>
    </w:p>
    <w:p w:rsidR="0077285A" w:rsidRPr="00774A86" w:rsidRDefault="0077285A" w:rsidP="0077285A"/>
    <w:p w:rsidR="0077285A" w:rsidRPr="00774A86" w:rsidRDefault="0077285A" w:rsidP="0077285A">
      <w:r w:rsidRPr="00774A86">
        <w:t xml:space="preserve">If the </w:t>
      </w:r>
      <w:r w:rsidR="00E419FC" w:rsidRPr="00774A86">
        <w:t>r</w:t>
      </w:r>
      <w:r w:rsidRPr="00774A86">
        <w:t xml:space="preserve">eporting </w:t>
      </w:r>
      <w:r w:rsidR="00E419FC" w:rsidRPr="00774A86">
        <w:t>f</w:t>
      </w:r>
      <w:r w:rsidRPr="00774A86">
        <w:t xml:space="preserve">inancial </w:t>
      </w:r>
      <w:r w:rsidR="00E419FC" w:rsidRPr="00774A86">
        <w:t>i</w:t>
      </w:r>
      <w:r w:rsidRPr="00774A86">
        <w:t xml:space="preserve">nstitution does not rely on a current residence address in this way, they </w:t>
      </w:r>
      <w:r w:rsidR="00AB3FDB" w:rsidRPr="00774A86">
        <w:t xml:space="preserve">will </w:t>
      </w:r>
      <w:r w:rsidRPr="00774A86">
        <w:t xml:space="preserve">need to review electronically searchable data that they maintain for various indicia that the </w:t>
      </w:r>
      <w:r w:rsidR="00E419FC" w:rsidRPr="00774A86">
        <w:t>a</w:t>
      </w:r>
      <w:r w:rsidRPr="00774A86">
        <w:t xml:space="preserve">ccount </w:t>
      </w:r>
      <w:r w:rsidR="00E419FC" w:rsidRPr="00774A86">
        <w:t>h</w:t>
      </w:r>
      <w:r w:rsidRPr="00774A86">
        <w:t xml:space="preserve">older is tax resident in a </w:t>
      </w:r>
      <w:r w:rsidR="00E419FC" w:rsidRPr="00774A86">
        <w:t>r</w:t>
      </w:r>
      <w:r w:rsidR="00EE5866" w:rsidRPr="00774A86">
        <w:t>eportable jurisdiction</w:t>
      </w:r>
      <w:r w:rsidRPr="00774A86">
        <w:t xml:space="preserve"> and is a </w:t>
      </w:r>
      <w:r w:rsidR="00E419FC" w:rsidRPr="00774A86">
        <w:t>r</w:t>
      </w:r>
      <w:r w:rsidRPr="00774A86">
        <w:t xml:space="preserve">eportable </w:t>
      </w:r>
      <w:r w:rsidR="00E419FC" w:rsidRPr="00774A86">
        <w:t>p</w:t>
      </w:r>
      <w:r w:rsidRPr="00774A86">
        <w:t xml:space="preserve">erson (for example, one such indicia is a current mailing or residence address in a </w:t>
      </w:r>
      <w:r w:rsidR="00E419FC" w:rsidRPr="00774A86">
        <w:t>r</w:t>
      </w:r>
      <w:r w:rsidR="00EE5866" w:rsidRPr="00774A86">
        <w:t>eportable jurisdiction</w:t>
      </w:r>
      <w:r w:rsidRPr="00774A86">
        <w:t>).</w:t>
      </w:r>
    </w:p>
    <w:p w:rsidR="0077285A" w:rsidRPr="00774A86" w:rsidRDefault="0077285A" w:rsidP="0077285A"/>
    <w:p w:rsidR="0077285A" w:rsidRPr="00774A86" w:rsidRDefault="0077285A" w:rsidP="0077285A">
      <w:r w:rsidRPr="00774A86">
        <w:t xml:space="preserve">This indicia (if found) will lead to a presumption that the </w:t>
      </w:r>
      <w:r w:rsidR="00BA30CD" w:rsidRPr="00774A86">
        <w:t xml:space="preserve">individual </w:t>
      </w:r>
      <w:r w:rsidRPr="00774A86">
        <w:t xml:space="preserve">is tax resident in each </w:t>
      </w:r>
      <w:r w:rsidR="00E419FC" w:rsidRPr="00774A86">
        <w:t>r</w:t>
      </w:r>
      <w:r w:rsidR="00EE5866" w:rsidRPr="00774A86">
        <w:t>eportable jurisdiction</w:t>
      </w:r>
      <w:r w:rsidRPr="00774A86">
        <w:t xml:space="preserve"> for which an indicium is identified and is a </w:t>
      </w:r>
      <w:r w:rsidR="00E419FC" w:rsidRPr="00774A86">
        <w:t>r</w:t>
      </w:r>
      <w:r w:rsidRPr="00774A86">
        <w:t xml:space="preserve">eportable </w:t>
      </w:r>
      <w:r w:rsidR="00E419FC" w:rsidRPr="00774A86">
        <w:t>p</w:t>
      </w:r>
      <w:r w:rsidRPr="00774A86">
        <w:t xml:space="preserve">erson with the account being a </w:t>
      </w:r>
      <w:r w:rsidR="00E419FC" w:rsidRPr="00774A86">
        <w:t>r</w:t>
      </w:r>
      <w:r w:rsidRPr="00774A86">
        <w:t xml:space="preserve">eportable </w:t>
      </w:r>
      <w:r w:rsidR="00E419FC" w:rsidRPr="00774A86">
        <w:t>a</w:t>
      </w:r>
      <w:r w:rsidRPr="00774A86">
        <w:t xml:space="preserve">ccount with respect to each </w:t>
      </w:r>
      <w:r w:rsidR="00E419FC" w:rsidRPr="00774A86">
        <w:t>r</w:t>
      </w:r>
      <w:r w:rsidR="00EE5866" w:rsidRPr="00774A86">
        <w:t>eportable jurisdiction</w:t>
      </w:r>
      <w:r w:rsidRPr="00774A86">
        <w:t xml:space="preserve"> (unless this presumption is “cured” through a combination of self-certifications and documentary evidence to the contrary, which applies in certain defined circumstances)</w:t>
      </w:r>
      <w:r w:rsidR="0030367F" w:rsidRPr="00774A86">
        <w:t>.  T</w:t>
      </w:r>
      <w:r w:rsidRPr="00774A86">
        <w:t xml:space="preserve">he </w:t>
      </w:r>
      <w:r w:rsidR="00BD492F" w:rsidRPr="00774A86">
        <w:t xml:space="preserve">New Zealand </w:t>
      </w:r>
      <w:r w:rsidR="00E419FC" w:rsidRPr="00774A86">
        <w:t>r</w:t>
      </w:r>
      <w:r w:rsidRPr="00774A86">
        <w:t xml:space="preserve">eporting </w:t>
      </w:r>
      <w:r w:rsidR="00E419FC" w:rsidRPr="00774A86">
        <w:t>f</w:t>
      </w:r>
      <w:r w:rsidRPr="00774A86">
        <w:t xml:space="preserve">inancial </w:t>
      </w:r>
      <w:r w:rsidR="00E419FC" w:rsidRPr="00774A86">
        <w:t>i</w:t>
      </w:r>
      <w:r w:rsidRPr="00774A86">
        <w:t xml:space="preserve">nstitution will need to report such </w:t>
      </w:r>
      <w:r w:rsidR="00E419FC" w:rsidRPr="00774A86">
        <w:t>r</w:t>
      </w:r>
      <w:r w:rsidR="00EE5866" w:rsidRPr="00774A86">
        <w:t>eportable accounts</w:t>
      </w:r>
      <w:r w:rsidRPr="00774A86">
        <w:t>.</w:t>
      </w:r>
    </w:p>
    <w:p w:rsidR="0077285A" w:rsidRPr="00774A86" w:rsidRDefault="0077285A" w:rsidP="0077285A"/>
    <w:p w:rsidR="0077285A" w:rsidRPr="00774A86" w:rsidRDefault="0077285A" w:rsidP="0077285A">
      <w:r w:rsidRPr="00774A86">
        <w:t xml:space="preserve">If a “hold mail” instruction or “care of” address is discovered in the electronic search and no other defined indicia are identified for the </w:t>
      </w:r>
      <w:r w:rsidR="00E419FC" w:rsidRPr="00774A86">
        <w:t>a</w:t>
      </w:r>
      <w:r w:rsidRPr="00774A86">
        <w:t xml:space="preserve">ccount </w:t>
      </w:r>
      <w:r w:rsidR="00E419FC" w:rsidRPr="00774A86">
        <w:t>h</w:t>
      </w:r>
      <w:r w:rsidRPr="00774A86">
        <w:t xml:space="preserve">older, the </w:t>
      </w:r>
      <w:r w:rsidR="00BD492F" w:rsidRPr="00774A86">
        <w:t xml:space="preserve">New Zealand </w:t>
      </w:r>
      <w:r w:rsidR="00E419FC" w:rsidRPr="00774A86">
        <w:t>r</w:t>
      </w:r>
      <w:r w:rsidRPr="00774A86">
        <w:t xml:space="preserve">eporting </w:t>
      </w:r>
      <w:r w:rsidR="00E419FC" w:rsidRPr="00774A86">
        <w:t>f</w:t>
      </w:r>
      <w:r w:rsidRPr="00774A86">
        <w:t xml:space="preserve">inancial </w:t>
      </w:r>
      <w:r w:rsidR="00E419FC" w:rsidRPr="00774A86">
        <w:t>i</w:t>
      </w:r>
      <w:r w:rsidRPr="00774A86">
        <w:t xml:space="preserve">nstitution </w:t>
      </w:r>
      <w:r w:rsidR="00BD492F" w:rsidRPr="00774A86">
        <w:t>will need to</w:t>
      </w:r>
      <w:r w:rsidRPr="00774A86">
        <w:t xml:space="preserve"> apply various defined procedures to establish the</w:t>
      </w:r>
      <w:r w:rsidR="00AB3FDB" w:rsidRPr="00774A86">
        <w:t xml:space="preserve"> </w:t>
      </w:r>
      <w:r w:rsidR="00E419FC" w:rsidRPr="00774A86">
        <w:t>a</w:t>
      </w:r>
      <w:r w:rsidR="00AB3FDB" w:rsidRPr="00774A86">
        <w:t xml:space="preserve">ccount </w:t>
      </w:r>
      <w:r w:rsidR="00E419FC" w:rsidRPr="00774A86">
        <w:t>h</w:t>
      </w:r>
      <w:r w:rsidR="00AB3FDB" w:rsidRPr="00774A86">
        <w:t>older’s</w:t>
      </w:r>
      <w:r w:rsidRPr="00774A86">
        <w:t xml:space="preserve"> residence for tax purposes</w:t>
      </w:r>
      <w:r w:rsidR="0030367F" w:rsidRPr="00774A86">
        <w:t>.  I</w:t>
      </w:r>
      <w:r w:rsidRPr="00774A86">
        <w:t xml:space="preserve">f the </w:t>
      </w:r>
      <w:r w:rsidR="00BD492F" w:rsidRPr="00774A86">
        <w:t xml:space="preserve">New Zealand </w:t>
      </w:r>
      <w:r w:rsidR="00E419FC" w:rsidRPr="00774A86">
        <w:t>r</w:t>
      </w:r>
      <w:r w:rsidRPr="00774A86">
        <w:t xml:space="preserve">eporting </w:t>
      </w:r>
      <w:r w:rsidR="00E419FC" w:rsidRPr="00774A86">
        <w:t>f</w:t>
      </w:r>
      <w:r w:rsidRPr="00774A86">
        <w:t xml:space="preserve">inancial </w:t>
      </w:r>
      <w:r w:rsidR="00E419FC" w:rsidRPr="00774A86">
        <w:t>i</w:t>
      </w:r>
      <w:r w:rsidRPr="00774A86">
        <w:t xml:space="preserve">nstitution is unable to do this they will need to report the account as an </w:t>
      </w:r>
      <w:r w:rsidR="00AB3FDB" w:rsidRPr="00774A86">
        <w:t>u</w:t>
      </w:r>
      <w:r w:rsidRPr="00774A86">
        <w:t>ndocumented account.</w:t>
      </w:r>
    </w:p>
    <w:p w:rsidR="007E474B" w:rsidRPr="00774A86" w:rsidRDefault="007E474B" w:rsidP="0077285A"/>
    <w:p w:rsidR="0077285A" w:rsidRPr="00774A86" w:rsidRDefault="0077285A" w:rsidP="007E474B">
      <w:pPr>
        <w:pStyle w:val="Heading3"/>
      </w:pPr>
      <w:r w:rsidRPr="00774A86">
        <w:t xml:space="preserve">High </w:t>
      </w:r>
      <w:r w:rsidR="007E474B" w:rsidRPr="00774A86">
        <w:t>value accounts</w:t>
      </w:r>
    </w:p>
    <w:p w:rsidR="0077285A" w:rsidRPr="00774A86" w:rsidRDefault="0077285A" w:rsidP="0077285A"/>
    <w:p w:rsidR="0077285A" w:rsidRPr="00774A86" w:rsidRDefault="0077285A" w:rsidP="0077285A">
      <w:r w:rsidRPr="00774A86">
        <w:t xml:space="preserve">For </w:t>
      </w:r>
      <w:r w:rsidR="009F6076" w:rsidRPr="00774A86">
        <w:t>h</w:t>
      </w:r>
      <w:r w:rsidRPr="00774A86">
        <w:t xml:space="preserve">igh </w:t>
      </w:r>
      <w:r w:rsidR="009F6076" w:rsidRPr="00774A86">
        <w:t>v</w:t>
      </w:r>
      <w:r w:rsidRPr="00774A86">
        <w:t xml:space="preserve">alue </w:t>
      </w:r>
      <w:r w:rsidR="009F6076" w:rsidRPr="00774A86">
        <w:t>a</w:t>
      </w:r>
      <w:r w:rsidRPr="00774A86">
        <w:t xml:space="preserve">ccounts the </w:t>
      </w:r>
      <w:r w:rsidR="00BD492F" w:rsidRPr="00774A86">
        <w:t xml:space="preserve">New Zealand </w:t>
      </w:r>
      <w:r w:rsidR="009F6076" w:rsidRPr="00774A86">
        <w:t>r</w:t>
      </w:r>
      <w:r w:rsidRPr="00774A86">
        <w:t xml:space="preserve">eporting </w:t>
      </w:r>
      <w:r w:rsidR="009F6076" w:rsidRPr="00774A86">
        <w:t>f</w:t>
      </w:r>
      <w:r w:rsidRPr="00774A86">
        <w:t xml:space="preserve">inancial </w:t>
      </w:r>
      <w:r w:rsidR="009F6076" w:rsidRPr="00774A86">
        <w:t>i</w:t>
      </w:r>
      <w:r w:rsidRPr="00774A86">
        <w:t xml:space="preserve">nstitution will need to review electronically searchable data that they maintain for various indicia that the </w:t>
      </w:r>
      <w:r w:rsidR="009F6076" w:rsidRPr="00774A86">
        <w:t>a</w:t>
      </w:r>
      <w:r w:rsidRPr="00774A86">
        <w:t xml:space="preserve">ccount </w:t>
      </w:r>
      <w:r w:rsidR="009F6076" w:rsidRPr="00774A86">
        <w:t>h</w:t>
      </w:r>
      <w:r w:rsidRPr="00774A86">
        <w:t xml:space="preserve">older is tax resident in a </w:t>
      </w:r>
      <w:r w:rsidR="009F6076" w:rsidRPr="00774A86">
        <w:t>r</w:t>
      </w:r>
      <w:r w:rsidR="00EE5866" w:rsidRPr="00774A86">
        <w:t>eportable jurisdiction</w:t>
      </w:r>
      <w:r w:rsidRPr="00774A86">
        <w:t xml:space="preserve"> and is a </w:t>
      </w:r>
      <w:r w:rsidR="009F6076" w:rsidRPr="00774A86">
        <w:t>r</w:t>
      </w:r>
      <w:r w:rsidRPr="00774A86">
        <w:t xml:space="preserve">eportable </w:t>
      </w:r>
      <w:r w:rsidR="009F6076" w:rsidRPr="00774A86">
        <w:t>p</w:t>
      </w:r>
      <w:r w:rsidRPr="00774A86">
        <w:t xml:space="preserve">erson (for example, one such indicia is a current mailing or residence address in a </w:t>
      </w:r>
      <w:r w:rsidR="009F6076" w:rsidRPr="00774A86">
        <w:t>r</w:t>
      </w:r>
      <w:r w:rsidR="00EE5866" w:rsidRPr="00774A86">
        <w:t>eportable jurisdiction</w:t>
      </w:r>
      <w:r w:rsidRPr="00774A86">
        <w:t>)</w:t>
      </w:r>
      <w:r w:rsidR="0030367F" w:rsidRPr="00774A86">
        <w:t>.  A</w:t>
      </w:r>
      <w:r w:rsidRPr="00774A86">
        <w:t xml:space="preserve"> paper</w:t>
      </w:r>
      <w:r w:rsidR="004163ED" w:rsidRPr="00774A86">
        <w:t>-</w:t>
      </w:r>
      <w:r w:rsidRPr="00774A86">
        <w:t>based search of further defined documents associated with the account is also required in certain circumstances.</w:t>
      </w:r>
    </w:p>
    <w:p w:rsidR="0077285A" w:rsidRPr="00774A86" w:rsidRDefault="0077285A" w:rsidP="0077285A"/>
    <w:p w:rsidR="0077285A" w:rsidRPr="00774A86" w:rsidRDefault="0077285A" w:rsidP="0077285A">
      <w:r w:rsidRPr="00774A86">
        <w:t xml:space="preserve">This indicia (if found) will lead to a presumption that the </w:t>
      </w:r>
      <w:r w:rsidR="009F6076" w:rsidRPr="00774A86">
        <w:t>i</w:t>
      </w:r>
      <w:r w:rsidRPr="00774A86">
        <w:t xml:space="preserve">ndividual is tax resident in each </w:t>
      </w:r>
      <w:r w:rsidR="009F6076" w:rsidRPr="00774A86">
        <w:t>r</w:t>
      </w:r>
      <w:r w:rsidR="00EE5866" w:rsidRPr="00774A86">
        <w:t>eportable jurisdiction</w:t>
      </w:r>
      <w:r w:rsidRPr="00774A86">
        <w:t xml:space="preserve"> for which an indicium is identified and is a </w:t>
      </w:r>
      <w:r w:rsidR="009F6076" w:rsidRPr="00774A86">
        <w:t>r</w:t>
      </w:r>
      <w:r w:rsidRPr="00774A86">
        <w:t xml:space="preserve">eportable </w:t>
      </w:r>
      <w:r w:rsidR="009F6076" w:rsidRPr="00774A86">
        <w:t>p</w:t>
      </w:r>
      <w:r w:rsidRPr="00774A86">
        <w:t xml:space="preserve">erson with the account being a </w:t>
      </w:r>
      <w:r w:rsidR="009F6076" w:rsidRPr="00774A86">
        <w:t>r</w:t>
      </w:r>
      <w:r w:rsidRPr="00774A86">
        <w:t xml:space="preserve">eportable </w:t>
      </w:r>
      <w:r w:rsidR="009F6076" w:rsidRPr="00774A86">
        <w:t>a</w:t>
      </w:r>
      <w:r w:rsidRPr="00774A86">
        <w:t xml:space="preserve">ccount with respect to each </w:t>
      </w:r>
      <w:r w:rsidR="009F6076" w:rsidRPr="00774A86">
        <w:t>r</w:t>
      </w:r>
      <w:r w:rsidR="00EE5866" w:rsidRPr="00774A86">
        <w:t>eportable jurisdiction</w:t>
      </w:r>
      <w:r w:rsidRPr="00774A86">
        <w:t xml:space="preserve"> (unless this presumption is “cured” through a combination of self-certifications and documentary evidence to the contrary)</w:t>
      </w:r>
      <w:r w:rsidR="0030367F" w:rsidRPr="00774A86">
        <w:t>.  T</w:t>
      </w:r>
      <w:r w:rsidRPr="00774A86">
        <w:t xml:space="preserve">he </w:t>
      </w:r>
      <w:r w:rsidR="00BD492F" w:rsidRPr="00774A86">
        <w:t xml:space="preserve">New Zealand </w:t>
      </w:r>
      <w:r w:rsidR="009F6076" w:rsidRPr="00774A86">
        <w:t>r</w:t>
      </w:r>
      <w:r w:rsidRPr="00774A86">
        <w:t xml:space="preserve">eporting </w:t>
      </w:r>
      <w:r w:rsidR="009F6076" w:rsidRPr="00774A86">
        <w:t>f</w:t>
      </w:r>
      <w:r w:rsidRPr="00774A86">
        <w:t xml:space="preserve">inancial </w:t>
      </w:r>
      <w:r w:rsidR="009F6076" w:rsidRPr="00774A86">
        <w:t>i</w:t>
      </w:r>
      <w:r w:rsidRPr="00774A86">
        <w:t xml:space="preserve">nstitution will need to report such </w:t>
      </w:r>
      <w:r w:rsidR="009F6076" w:rsidRPr="00774A86">
        <w:t>r</w:t>
      </w:r>
      <w:r w:rsidR="00EE5866" w:rsidRPr="00774A86">
        <w:t>eportable accounts</w:t>
      </w:r>
      <w:r w:rsidRPr="00774A86">
        <w:t>.</w:t>
      </w:r>
    </w:p>
    <w:p w:rsidR="0077285A" w:rsidRPr="00774A86" w:rsidRDefault="0077285A" w:rsidP="0077285A"/>
    <w:p w:rsidR="00F952FE" w:rsidRPr="00774A86" w:rsidRDefault="00F952FE">
      <w:pPr>
        <w:jc w:val="left"/>
      </w:pPr>
      <w:r w:rsidRPr="00774A86">
        <w:br w:type="page"/>
      </w:r>
    </w:p>
    <w:p w:rsidR="0077285A" w:rsidRPr="00774A86" w:rsidRDefault="0077285A" w:rsidP="0077285A">
      <w:r w:rsidRPr="00774A86">
        <w:lastRenderedPageBreak/>
        <w:t xml:space="preserve">If a “hold mail” instruction or “in care of” address is discovered in the electronic search and no other defined indicia are identified for the </w:t>
      </w:r>
      <w:r w:rsidR="009F6076" w:rsidRPr="00774A86">
        <w:t>a</w:t>
      </w:r>
      <w:r w:rsidRPr="00774A86">
        <w:t xml:space="preserve">ccount </w:t>
      </w:r>
      <w:r w:rsidR="009F6076" w:rsidRPr="00774A86">
        <w:t>h</w:t>
      </w:r>
      <w:r w:rsidRPr="00774A86">
        <w:t xml:space="preserve">older, the </w:t>
      </w:r>
      <w:r w:rsidR="00BD492F" w:rsidRPr="00774A86">
        <w:t xml:space="preserve">New Zealand </w:t>
      </w:r>
      <w:r w:rsidR="009F6076" w:rsidRPr="00774A86">
        <w:t>r</w:t>
      </w:r>
      <w:r w:rsidRPr="00774A86">
        <w:t xml:space="preserve">eporting </w:t>
      </w:r>
      <w:r w:rsidR="009F6076" w:rsidRPr="00774A86">
        <w:t>f</w:t>
      </w:r>
      <w:r w:rsidRPr="00774A86">
        <w:t xml:space="preserve">inancial </w:t>
      </w:r>
      <w:r w:rsidR="009F6076" w:rsidRPr="00774A86">
        <w:t>i</w:t>
      </w:r>
      <w:r w:rsidRPr="00774A86">
        <w:t xml:space="preserve">nstitution </w:t>
      </w:r>
      <w:r w:rsidR="00BD492F" w:rsidRPr="00774A86">
        <w:t>will need to</w:t>
      </w:r>
      <w:r w:rsidRPr="00774A86">
        <w:t xml:space="preserve"> apply various defined procedures to establish the </w:t>
      </w:r>
      <w:r w:rsidR="009F6076" w:rsidRPr="00774A86">
        <w:t>a</w:t>
      </w:r>
      <w:r w:rsidR="00AB3FDB" w:rsidRPr="00774A86">
        <w:t xml:space="preserve">ccount </w:t>
      </w:r>
      <w:r w:rsidR="009F6076" w:rsidRPr="00774A86">
        <w:t>h</w:t>
      </w:r>
      <w:r w:rsidR="00AB3FDB" w:rsidRPr="00774A86">
        <w:t xml:space="preserve">older’s </w:t>
      </w:r>
      <w:r w:rsidRPr="00774A86">
        <w:t>residence for tax purposes</w:t>
      </w:r>
      <w:r w:rsidR="0030367F" w:rsidRPr="00774A86">
        <w:t>.  I</w:t>
      </w:r>
      <w:r w:rsidRPr="00774A86">
        <w:t xml:space="preserve">f the </w:t>
      </w:r>
      <w:r w:rsidR="00BD492F" w:rsidRPr="00774A86">
        <w:t xml:space="preserve">New Zealand </w:t>
      </w:r>
      <w:r w:rsidR="009F6076" w:rsidRPr="00774A86">
        <w:t>r</w:t>
      </w:r>
      <w:r w:rsidRPr="00774A86">
        <w:t xml:space="preserve">eporting </w:t>
      </w:r>
      <w:r w:rsidR="009F6076" w:rsidRPr="00774A86">
        <w:t>f</w:t>
      </w:r>
      <w:r w:rsidRPr="00774A86">
        <w:t xml:space="preserve">inancial </w:t>
      </w:r>
      <w:r w:rsidR="009F6076" w:rsidRPr="00774A86">
        <w:t>i</w:t>
      </w:r>
      <w:r w:rsidRPr="00774A86">
        <w:t xml:space="preserve">nstitution is unable to do this they will need to report the account as an </w:t>
      </w:r>
      <w:r w:rsidR="009F6076" w:rsidRPr="00774A86">
        <w:t>u</w:t>
      </w:r>
      <w:r w:rsidRPr="00774A86">
        <w:t>ndocumented account.</w:t>
      </w:r>
    </w:p>
    <w:p w:rsidR="0077285A" w:rsidRPr="00774A86" w:rsidRDefault="0077285A" w:rsidP="0077285A"/>
    <w:p w:rsidR="0077285A" w:rsidRPr="00774A86" w:rsidRDefault="0077285A" w:rsidP="0077285A">
      <w:r w:rsidRPr="00774A86">
        <w:t xml:space="preserve">In addition to the electronic and paper record searches described above, the </w:t>
      </w:r>
      <w:r w:rsidR="00BD492F" w:rsidRPr="00774A86">
        <w:t xml:space="preserve">New Zealand </w:t>
      </w:r>
      <w:r w:rsidR="009F6076" w:rsidRPr="00774A86">
        <w:t>r</w:t>
      </w:r>
      <w:r w:rsidRPr="00774A86">
        <w:t xml:space="preserve">eporting </w:t>
      </w:r>
      <w:r w:rsidR="009F6076" w:rsidRPr="00774A86">
        <w:t>f</w:t>
      </w:r>
      <w:r w:rsidRPr="00774A86">
        <w:t xml:space="preserve">inancial </w:t>
      </w:r>
      <w:r w:rsidR="009F6076" w:rsidRPr="00774A86">
        <w:t>i</w:t>
      </w:r>
      <w:r w:rsidRPr="00774A86">
        <w:t xml:space="preserve">nstitution </w:t>
      </w:r>
      <w:r w:rsidR="00BD492F" w:rsidRPr="00774A86">
        <w:t>will also need to</w:t>
      </w:r>
      <w:r w:rsidRPr="00774A86">
        <w:t xml:space="preserve"> treat as a </w:t>
      </w:r>
      <w:r w:rsidR="009F6076" w:rsidRPr="00774A86">
        <w:t>r</w:t>
      </w:r>
      <w:r w:rsidRPr="00774A86">
        <w:t xml:space="preserve">eportable </w:t>
      </w:r>
      <w:r w:rsidR="009F6076" w:rsidRPr="00774A86">
        <w:t>a</w:t>
      </w:r>
      <w:r w:rsidRPr="00774A86">
        <w:t xml:space="preserve">ccount any </w:t>
      </w:r>
      <w:r w:rsidR="009F6076" w:rsidRPr="00774A86">
        <w:t>h</w:t>
      </w:r>
      <w:r w:rsidRPr="00774A86">
        <w:t xml:space="preserve">igh </w:t>
      </w:r>
      <w:r w:rsidR="009F6076" w:rsidRPr="00774A86">
        <w:t>v</w:t>
      </w:r>
      <w:r w:rsidRPr="00774A86">
        <w:t xml:space="preserve">alue </w:t>
      </w:r>
      <w:r w:rsidR="009F6076" w:rsidRPr="00774A86">
        <w:t>a</w:t>
      </w:r>
      <w:r w:rsidRPr="00774A86">
        <w:t xml:space="preserve">ccount assigned to a relationship manager (including any financial accounts aggregated with that </w:t>
      </w:r>
      <w:r w:rsidR="009F6076" w:rsidRPr="00774A86">
        <w:t>h</w:t>
      </w:r>
      <w:r w:rsidRPr="00774A86">
        <w:t xml:space="preserve">igh </w:t>
      </w:r>
      <w:r w:rsidR="009F6076" w:rsidRPr="00774A86">
        <w:t>v</w:t>
      </w:r>
      <w:r w:rsidRPr="00774A86">
        <w:t xml:space="preserve">alue </w:t>
      </w:r>
      <w:r w:rsidR="009F6076" w:rsidRPr="00774A86">
        <w:t>a</w:t>
      </w:r>
      <w:r w:rsidRPr="00774A86">
        <w:t xml:space="preserve">ccount) if the relationship manager has actual knowledge that the </w:t>
      </w:r>
      <w:r w:rsidR="009F6076" w:rsidRPr="00774A86">
        <w:t>a</w:t>
      </w:r>
      <w:r w:rsidRPr="00774A86">
        <w:t xml:space="preserve">ccount </w:t>
      </w:r>
      <w:r w:rsidR="009F6076" w:rsidRPr="00774A86">
        <w:t>h</w:t>
      </w:r>
      <w:r w:rsidRPr="00774A86">
        <w:t xml:space="preserve">older is a </w:t>
      </w:r>
      <w:r w:rsidR="009F6076" w:rsidRPr="00774A86">
        <w:t>r</w:t>
      </w:r>
      <w:r w:rsidRPr="00774A86">
        <w:t xml:space="preserve">eportable </w:t>
      </w:r>
      <w:r w:rsidR="009F6076" w:rsidRPr="00774A86">
        <w:t>p</w:t>
      </w:r>
      <w:r w:rsidRPr="00774A86">
        <w:t>erson.</w:t>
      </w:r>
    </w:p>
    <w:p w:rsidR="008C74C6" w:rsidRPr="00774A86" w:rsidRDefault="008C74C6" w:rsidP="00D64344"/>
    <w:p w:rsidR="0077285A" w:rsidRPr="00774A86" w:rsidRDefault="0077285A" w:rsidP="007E474B">
      <w:pPr>
        <w:pStyle w:val="Heading2"/>
      </w:pPr>
      <w:r w:rsidRPr="00774A86">
        <w:t xml:space="preserve">New </w:t>
      </w:r>
      <w:r w:rsidR="00BA30CD" w:rsidRPr="00774A86">
        <w:t xml:space="preserve">individual accounts </w:t>
      </w:r>
      <w:r w:rsidRPr="00774A86">
        <w:t>(accounts opened on or after 1 July 2017)</w:t>
      </w:r>
    </w:p>
    <w:p w:rsidR="0077285A" w:rsidRPr="00774A86" w:rsidRDefault="0077285A" w:rsidP="0077285A">
      <w:pPr>
        <w:rPr>
          <w:i/>
        </w:rPr>
      </w:pPr>
    </w:p>
    <w:p w:rsidR="0077285A" w:rsidRPr="00774A86" w:rsidRDefault="0077285A" w:rsidP="0077285A">
      <w:r w:rsidRPr="00774A86">
        <w:t xml:space="preserve">A </w:t>
      </w:r>
      <w:r w:rsidR="00BD492F" w:rsidRPr="00774A86">
        <w:t xml:space="preserve">New Zealand </w:t>
      </w:r>
      <w:r w:rsidR="009F6076" w:rsidRPr="00774A86">
        <w:t>r</w:t>
      </w:r>
      <w:r w:rsidRPr="00774A86">
        <w:t xml:space="preserve">eporting </w:t>
      </w:r>
      <w:r w:rsidR="009F6076" w:rsidRPr="00774A86">
        <w:t>f</w:t>
      </w:r>
      <w:r w:rsidRPr="00774A86">
        <w:t xml:space="preserve">inancial </w:t>
      </w:r>
      <w:r w:rsidR="009F6076" w:rsidRPr="00774A86">
        <w:t>i</w:t>
      </w:r>
      <w:r w:rsidRPr="00774A86">
        <w:t xml:space="preserve">nstitution will also need to carry out CRS due diligence on non-exempt </w:t>
      </w:r>
      <w:r w:rsidR="009F6076" w:rsidRPr="00774A86">
        <w:t>n</w:t>
      </w:r>
      <w:r w:rsidRPr="00774A86">
        <w:t xml:space="preserve">ew </w:t>
      </w:r>
      <w:r w:rsidR="009F6076" w:rsidRPr="00774A86">
        <w:t>i</w:t>
      </w:r>
      <w:r w:rsidRPr="00774A86">
        <w:t xml:space="preserve">ndividual </w:t>
      </w:r>
      <w:r w:rsidR="009F6076" w:rsidRPr="00774A86">
        <w:t>a</w:t>
      </w:r>
      <w:r w:rsidRPr="00774A86">
        <w:t xml:space="preserve">ccounts that they maintain to determine whether those accounts are held by </w:t>
      </w:r>
      <w:r w:rsidR="009F6076" w:rsidRPr="00774A86">
        <w:t>r</w:t>
      </w:r>
      <w:r w:rsidRPr="00774A86">
        <w:t xml:space="preserve">eportable </w:t>
      </w:r>
      <w:r w:rsidR="009F6076" w:rsidRPr="00774A86">
        <w:t>p</w:t>
      </w:r>
      <w:r w:rsidRPr="00774A86">
        <w:t>ersons.</w:t>
      </w:r>
    </w:p>
    <w:p w:rsidR="0077285A" w:rsidRPr="00774A86" w:rsidRDefault="0077285A" w:rsidP="00CC0401"/>
    <w:p w:rsidR="0077285A" w:rsidRPr="00774A86" w:rsidRDefault="0077285A" w:rsidP="002B7503">
      <w:r w:rsidRPr="00774A86">
        <w:t xml:space="preserve">New </w:t>
      </w:r>
      <w:r w:rsidR="009F6076" w:rsidRPr="00774A86">
        <w:t>i</w:t>
      </w:r>
      <w:r w:rsidRPr="00774A86">
        <w:t xml:space="preserve">ndividual </w:t>
      </w:r>
      <w:r w:rsidR="009F6076" w:rsidRPr="00774A86">
        <w:t>a</w:t>
      </w:r>
      <w:r w:rsidRPr="00774A86">
        <w:t xml:space="preserve">ccounts </w:t>
      </w:r>
      <w:r w:rsidR="00BD492F" w:rsidRPr="00774A86">
        <w:t xml:space="preserve">will </w:t>
      </w:r>
      <w:r w:rsidRPr="00774A86">
        <w:t xml:space="preserve">require self-certification upon account </w:t>
      </w:r>
      <w:r w:rsidR="004163ED" w:rsidRPr="00774A86">
        <w:t xml:space="preserve">being opened in </w:t>
      </w:r>
      <w:r w:rsidRPr="00774A86">
        <w:t xml:space="preserve">the account holder’s jurisdiction of residence for tax purposes and confirmation by the </w:t>
      </w:r>
      <w:r w:rsidR="00BD492F" w:rsidRPr="00774A86">
        <w:t xml:space="preserve">New Zealand </w:t>
      </w:r>
      <w:r w:rsidR="009F6076" w:rsidRPr="00774A86">
        <w:t>r</w:t>
      </w:r>
      <w:r w:rsidRPr="00774A86">
        <w:t xml:space="preserve">eporting </w:t>
      </w:r>
      <w:r w:rsidR="009F6076" w:rsidRPr="00774A86">
        <w:t>f</w:t>
      </w:r>
      <w:r w:rsidRPr="00774A86">
        <w:t xml:space="preserve">inancial </w:t>
      </w:r>
      <w:r w:rsidR="009F6076" w:rsidRPr="00774A86">
        <w:t>i</w:t>
      </w:r>
      <w:r w:rsidRPr="00774A86">
        <w:t>nstitution of the reasonableness of this self-certification based on the information that they have obtained in connection with the opening of the account, including any documentation collected pursuant to AML/KYC Procedures.</w:t>
      </w:r>
      <w:r w:rsidR="001503F3" w:rsidRPr="00774A86">
        <w:t xml:space="preserve"> </w:t>
      </w:r>
      <w:r w:rsidRPr="00774A86">
        <w:t xml:space="preserve"> </w:t>
      </w:r>
      <w:r w:rsidR="00BD492F" w:rsidRPr="00774A86">
        <w:t>(</w:t>
      </w:r>
      <w:r w:rsidRPr="00774A86">
        <w:t xml:space="preserve">A </w:t>
      </w:r>
      <w:r w:rsidR="00BD492F" w:rsidRPr="00774A86">
        <w:t xml:space="preserve">New Zealand </w:t>
      </w:r>
      <w:r w:rsidR="009F6076" w:rsidRPr="00774A86">
        <w:t>r</w:t>
      </w:r>
      <w:r w:rsidRPr="00774A86">
        <w:t xml:space="preserve">eporting </w:t>
      </w:r>
      <w:r w:rsidR="009F6076" w:rsidRPr="00774A86">
        <w:t>f</w:t>
      </w:r>
      <w:r w:rsidRPr="00774A86">
        <w:t xml:space="preserve">inancial </w:t>
      </w:r>
      <w:r w:rsidR="009F6076" w:rsidRPr="00774A86">
        <w:t>i</w:t>
      </w:r>
      <w:r w:rsidRPr="00774A86">
        <w:t xml:space="preserve">nstitution </w:t>
      </w:r>
      <w:r w:rsidR="00BD492F" w:rsidRPr="00774A86">
        <w:t>will</w:t>
      </w:r>
      <w:r w:rsidRPr="00774A86">
        <w:t xml:space="preserve"> also </w:t>
      </w:r>
      <w:r w:rsidR="00BD492F" w:rsidRPr="00774A86">
        <w:t xml:space="preserve">be </w:t>
      </w:r>
      <w:r w:rsidRPr="00774A86">
        <w:t>required to obtain a further self-certification if there is a change in circumstances that causes the</w:t>
      </w:r>
      <w:r w:rsidR="00BD492F" w:rsidRPr="00774A86">
        <w:t>m</w:t>
      </w:r>
      <w:r w:rsidRPr="00774A86">
        <w:t xml:space="preserve"> to know or have reason to know that the original self-certification is incorrect or unreliable.</w:t>
      </w:r>
      <w:r w:rsidR="005B4BF7" w:rsidRPr="00774A86">
        <w:t>)</w:t>
      </w:r>
    </w:p>
    <w:p w:rsidR="0077285A" w:rsidRPr="00774A86" w:rsidRDefault="0077285A" w:rsidP="002B7503"/>
    <w:p w:rsidR="0077285A" w:rsidRPr="00774A86" w:rsidRDefault="0077285A" w:rsidP="002B7503">
      <w:r w:rsidRPr="00774A86">
        <w:t xml:space="preserve">If the self-certification establishes that the account holder is resident for tax purposes in a </w:t>
      </w:r>
      <w:r w:rsidR="009F6076" w:rsidRPr="00774A86">
        <w:t>r</w:t>
      </w:r>
      <w:r w:rsidR="00EE5866" w:rsidRPr="00774A86">
        <w:t>eportable jurisdiction</w:t>
      </w:r>
      <w:r w:rsidRPr="00774A86">
        <w:t xml:space="preserve">, the </w:t>
      </w:r>
      <w:r w:rsidR="009F6076" w:rsidRPr="00774A86">
        <w:t>r</w:t>
      </w:r>
      <w:r w:rsidRPr="00774A86">
        <w:t xml:space="preserve">eporting </w:t>
      </w:r>
      <w:r w:rsidR="009F6076" w:rsidRPr="00774A86">
        <w:t>f</w:t>
      </w:r>
      <w:r w:rsidRPr="00774A86">
        <w:t xml:space="preserve">inancial </w:t>
      </w:r>
      <w:r w:rsidR="009F6076" w:rsidRPr="00774A86">
        <w:t>i</w:t>
      </w:r>
      <w:r w:rsidRPr="00774A86">
        <w:t xml:space="preserve">nstitution </w:t>
      </w:r>
      <w:r w:rsidR="00BD492F" w:rsidRPr="00774A86">
        <w:t>will need to</w:t>
      </w:r>
      <w:r w:rsidRPr="00774A86">
        <w:t xml:space="preserve"> treat the account as a </w:t>
      </w:r>
      <w:r w:rsidR="009F6076" w:rsidRPr="00774A86">
        <w:t>r</w:t>
      </w:r>
      <w:r w:rsidRPr="00774A86">
        <w:t xml:space="preserve">eportable </w:t>
      </w:r>
      <w:r w:rsidR="009F6076" w:rsidRPr="00774A86">
        <w:t>a</w:t>
      </w:r>
      <w:r w:rsidRPr="00774A86">
        <w:t>ccount and report the account.</w:t>
      </w:r>
    </w:p>
    <w:p w:rsidR="008C74C6" w:rsidRPr="00774A86" w:rsidRDefault="008C74C6" w:rsidP="00D64344">
      <w:bookmarkStart w:id="181" w:name="_Toc443409981"/>
    </w:p>
    <w:p w:rsidR="008C74C6" w:rsidRPr="00774A86" w:rsidRDefault="008C74C6" w:rsidP="00D64344"/>
    <w:p w:rsidR="0077285A" w:rsidRPr="00774A86" w:rsidRDefault="0077285A" w:rsidP="007E474B">
      <w:pPr>
        <w:pStyle w:val="Heading1"/>
      </w:pPr>
      <w:bookmarkStart w:id="182" w:name="_Toc443470094"/>
      <w:r w:rsidRPr="00774A86">
        <w:t xml:space="preserve">Entity </w:t>
      </w:r>
      <w:r w:rsidR="00BA30CD" w:rsidRPr="00774A86">
        <w:t>accounts</w:t>
      </w:r>
      <w:bookmarkEnd w:id="181"/>
      <w:bookmarkEnd w:id="182"/>
    </w:p>
    <w:p w:rsidR="008C74C6" w:rsidRPr="00774A86" w:rsidRDefault="008C74C6" w:rsidP="00D64344"/>
    <w:p w:rsidR="0077285A" w:rsidRPr="00774A86" w:rsidRDefault="0077285A" w:rsidP="007E474B">
      <w:pPr>
        <w:pStyle w:val="Heading2"/>
      </w:pPr>
      <w:r w:rsidRPr="00774A86">
        <w:t>Pre</w:t>
      </w:r>
      <w:r w:rsidR="00522274" w:rsidRPr="00774A86">
        <w:t>-</w:t>
      </w:r>
      <w:r w:rsidRPr="00774A86">
        <w:t xml:space="preserve">existing </w:t>
      </w:r>
      <w:r w:rsidR="00BA30CD" w:rsidRPr="00774A86">
        <w:t xml:space="preserve">entity accounts </w:t>
      </w:r>
      <w:r w:rsidRPr="00774A86">
        <w:t>(accounts maintained as of 30 June 2017)</w:t>
      </w:r>
    </w:p>
    <w:p w:rsidR="0077285A" w:rsidRPr="00774A86" w:rsidRDefault="0077285A" w:rsidP="002B7503"/>
    <w:p w:rsidR="0077285A" w:rsidRPr="00774A86" w:rsidRDefault="0077285A" w:rsidP="0077285A">
      <w:r w:rsidRPr="00774A86">
        <w:t xml:space="preserve">A </w:t>
      </w:r>
      <w:r w:rsidR="00BD492F" w:rsidRPr="00774A86">
        <w:t xml:space="preserve">New Zealand </w:t>
      </w:r>
      <w:r w:rsidR="009F6076" w:rsidRPr="00774A86">
        <w:t>r</w:t>
      </w:r>
      <w:r w:rsidRPr="00774A86">
        <w:t xml:space="preserve">eporting </w:t>
      </w:r>
      <w:r w:rsidR="009F6076" w:rsidRPr="00774A86">
        <w:t>f</w:t>
      </w:r>
      <w:r w:rsidRPr="00774A86">
        <w:t xml:space="preserve">inancial </w:t>
      </w:r>
      <w:r w:rsidR="009F6076" w:rsidRPr="00774A86">
        <w:t>i</w:t>
      </w:r>
      <w:r w:rsidRPr="00774A86">
        <w:t xml:space="preserve">nstitution will also need to carry out CRS due diligence on non-exempt </w:t>
      </w:r>
      <w:r w:rsidR="009F6076" w:rsidRPr="00774A86">
        <w:t>p</w:t>
      </w:r>
      <w:r w:rsidRPr="00774A86">
        <w:t>re</w:t>
      </w:r>
      <w:r w:rsidR="00522274" w:rsidRPr="00774A86">
        <w:t>-</w:t>
      </w:r>
      <w:r w:rsidRPr="00774A86">
        <w:t xml:space="preserve">existing </w:t>
      </w:r>
      <w:r w:rsidR="009F6076" w:rsidRPr="00774A86">
        <w:t>e</w:t>
      </w:r>
      <w:r w:rsidRPr="00774A86">
        <w:t xml:space="preserve">ntity </w:t>
      </w:r>
      <w:r w:rsidR="009F6076" w:rsidRPr="00774A86">
        <w:t>a</w:t>
      </w:r>
      <w:r w:rsidRPr="00774A86">
        <w:t xml:space="preserve">ccounts that they maintain to determine whether those accounts are held by </w:t>
      </w:r>
      <w:r w:rsidR="009F6076" w:rsidRPr="00774A86">
        <w:t>r</w:t>
      </w:r>
      <w:r w:rsidRPr="00774A86">
        <w:t xml:space="preserve">eportable </w:t>
      </w:r>
      <w:r w:rsidR="009F6076" w:rsidRPr="00774A86">
        <w:t>p</w:t>
      </w:r>
      <w:r w:rsidRPr="00774A86">
        <w:t xml:space="preserve">ersons and/or are held by passive NFEs that have one or more </w:t>
      </w:r>
      <w:r w:rsidR="009F6076" w:rsidRPr="00774A86">
        <w:t>c</w:t>
      </w:r>
      <w:r w:rsidRPr="00774A86">
        <w:t xml:space="preserve">ontrolling </w:t>
      </w:r>
      <w:r w:rsidR="009F6076" w:rsidRPr="00774A86">
        <w:t>p</w:t>
      </w:r>
      <w:r w:rsidRPr="00774A86">
        <w:t xml:space="preserve">ersons that are </w:t>
      </w:r>
      <w:r w:rsidR="009F6076" w:rsidRPr="00774A86">
        <w:t>r</w:t>
      </w:r>
      <w:r w:rsidRPr="00774A86">
        <w:t xml:space="preserve">eportable </w:t>
      </w:r>
      <w:r w:rsidR="009F6076" w:rsidRPr="00774A86">
        <w:t>p</w:t>
      </w:r>
      <w:r w:rsidRPr="00774A86">
        <w:t>ersons</w:t>
      </w:r>
      <w:r w:rsidR="0030367F" w:rsidRPr="00774A86">
        <w:t>.  I</w:t>
      </w:r>
      <w:r w:rsidRPr="00774A86">
        <w:t xml:space="preserve">f an account is identified as being held and/or having one or more </w:t>
      </w:r>
      <w:r w:rsidR="009F6076" w:rsidRPr="00774A86">
        <w:t>c</w:t>
      </w:r>
      <w:r w:rsidRPr="00774A86">
        <w:t xml:space="preserve">ontrolling </w:t>
      </w:r>
      <w:r w:rsidR="009F6076" w:rsidRPr="00774A86">
        <w:t>p</w:t>
      </w:r>
      <w:r w:rsidRPr="00774A86">
        <w:t xml:space="preserve">ersons that are </w:t>
      </w:r>
      <w:r w:rsidR="009F6076" w:rsidRPr="00774A86">
        <w:t>r</w:t>
      </w:r>
      <w:r w:rsidRPr="00774A86">
        <w:t xml:space="preserve">eportable </w:t>
      </w:r>
      <w:r w:rsidR="009F6076" w:rsidRPr="00774A86">
        <w:t>p</w:t>
      </w:r>
      <w:r w:rsidRPr="00774A86">
        <w:t xml:space="preserve">ersons (in this way) the account will be a </w:t>
      </w:r>
      <w:r w:rsidR="009F6076" w:rsidRPr="00774A86">
        <w:t>r</w:t>
      </w:r>
      <w:r w:rsidRPr="00774A86">
        <w:t xml:space="preserve">eportable </w:t>
      </w:r>
      <w:r w:rsidR="009F6076" w:rsidRPr="00774A86">
        <w:t>a</w:t>
      </w:r>
      <w:r w:rsidRPr="00774A86">
        <w:t>ccount and will need to be reported.</w:t>
      </w:r>
      <w:r w:rsidR="001503F3" w:rsidRPr="00774A86">
        <w:t xml:space="preserve"> </w:t>
      </w:r>
      <w:r w:rsidRPr="00774A86">
        <w:t xml:space="preserve"> </w:t>
      </w:r>
      <w:r w:rsidR="001A3B38" w:rsidRPr="00774A86">
        <w:t>(</w:t>
      </w:r>
      <w:r w:rsidRPr="00774A86">
        <w:t xml:space="preserve">There is scope for a </w:t>
      </w:r>
      <w:r w:rsidR="009F6076" w:rsidRPr="00774A86">
        <w:t>p</w:t>
      </w:r>
      <w:r w:rsidR="00991E68" w:rsidRPr="00774A86">
        <w:t>articipating jurisdiction</w:t>
      </w:r>
      <w:r w:rsidRPr="00774A86">
        <w:t xml:space="preserve"> to exempt from this review/reporting </w:t>
      </w:r>
      <w:r w:rsidR="009F6076" w:rsidRPr="00774A86">
        <w:t>p</w:t>
      </w:r>
      <w:r w:rsidRPr="00774A86">
        <w:t xml:space="preserve">re-existing accounts that have a balance or value that does not exceed US </w:t>
      </w:r>
      <w:r w:rsidR="00774A86">
        <w:t>$</w:t>
      </w:r>
      <w:r w:rsidRPr="00774A86">
        <w:t>250,000 at defined dates set out in legislation</w:t>
      </w:r>
      <w:r w:rsidR="001A3B38" w:rsidRPr="00774A86">
        <w:t>).</w:t>
      </w:r>
    </w:p>
    <w:p w:rsidR="005048B4" w:rsidRPr="00774A86" w:rsidRDefault="005048B4" w:rsidP="0077285A"/>
    <w:p w:rsidR="0077285A" w:rsidRPr="00774A86" w:rsidRDefault="0077285A" w:rsidP="0077285A">
      <w:r w:rsidRPr="00774A86">
        <w:t xml:space="preserve">These procedures </w:t>
      </w:r>
      <w:r w:rsidR="00BD492F" w:rsidRPr="00774A86">
        <w:t xml:space="preserve">will </w:t>
      </w:r>
      <w:r w:rsidRPr="00774A86">
        <w:t xml:space="preserve">generally involve the </w:t>
      </w:r>
      <w:r w:rsidR="00BD492F" w:rsidRPr="00774A86">
        <w:t xml:space="preserve">New Zealand </w:t>
      </w:r>
      <w:r w:rsidR="009F6076" w:rsidRPr="00774A86">
        <w:t>r</w:t>
      </w:r>
      <w:r w:rsidRPr="00774A86">
        <w:t xml:space="preserve">eporting </w:t>
      </w:r>
      <w:r w:rsidR="009F6076" w:rsidRPr="00774A86">
        <w:t>f</w:t>
      </w:r>
      <w:r w:rsidRPr="00774A86">
        <w:t xml:space="preserve">inancial </w:t>
      </w:r>
      <w:r w:rsidR="009F6076" w:rsidRPr="00774A86">
        <w:t>i</w:t>
      </w:r>
      <w:r w:rsidR="00CC0401" w:rsidRPr="00774A86">
        <w:t>nstitution</w:t>
      </w:r>
      <w:r w:rsidRPr="00774A86">
        <w:t xml:space="preserve"> reviewing information that they already have (and sometimes obtaining self-certifications) to determine whether the account is a </w:t>
      </w:r>
      <w:r w:rsidR="009F6076" w:rsidRPr="00774A86">
        <w:t>r</w:t>
      </w:r>
      <w:r w:rsidRPr="00774A86">
        <w:t xml:space="preserve">eportable </w:t>
      </w:r>
      <w:r w:rsidR="009F6076" w:rsidRPr="00774A86">
        <w:t>a</w:t>
      </w:r>
      <w:r w:rsidRPr="00774A86">
        <w:t>ccount.</w:t>
      </w:r>
    </w:p>
    <w:p w:rsidR="008C74C6" w:rsidRPr="00774A86" w:rsidRDefault="008C74C6" w:rsidP="00D64344"/>
    <w:p w:rsidR="0077285A" w:rsidRPr="00774A86" w:rsidRDefault="0077285A" w:rsidP="007E474B">
      <w:pPr>
        <w:pStyle w:val="Heading2"/>
      </w:pPr>
      <w:r w:rsidRPr="00774A86">
        <w:lastRenderedPageBreak/>
        <w:t xml:space="preserve">New </w:t>
      </w:r>
      <w:r w:rsidR="00BA30CD" w:rsidRPr="00774A86">
        <w:t xml:space="preserve">entity accounts </w:t>
      </w:r>
      <w:r w:rsidRPr="00774A86">
        <w:t>(accounts maintained as of 1 July 2017)</w:t>
      </w:r>
    </w:p>
    <w:p w:rsidR="0077285A" w:rsidRPr="00774A86" w:rsidRDefault="0077285A" w:rsidP="0077285A"/>
    <w:p w:rsidR="0077285A" w:rsidRPr="00774A86" w:rsidRDefault="0077285A" w:rsidP="0077285A">
      <w:r w:rsidRPr="00774A86">
        <w:t xml:space="preserve">A </w:t>
      </w:r>
      <w:r w:rsidR="00BD492F" w:rsidRPr="00774A86">
        <w:t xml:space="preserve">New Zealand </w:t>
      </w:r>
      <w:r w:rsidR="009F6076" w:rsidRPr="00774A86">
        <w:t>r</w:t>
      </w:r>
      <w:r w:rsidRPr="00774A86">
        <w:t xml:space="preserve">eporting </w:t>
      </w:r>
      <w:r w:rsidR="009F6076" w:rsidRPr="00774A86">
        <w:t>f</w:t>
      </w:r>
      <w:r w:rsidRPr="00774A86">
        <w:t xml:space="preserve">inancial </w:t>
      </w:r>
      <w:r w:rsidR="009F6076" w:rsidRPr="00774A86">
        <w:t>i</w:t>
      </w:r>
      <w:r w:rsidRPr="00774A86">
        <w:t xml:space="preserve">nstitution will also need to carry out CRS due diligence on non-exempt </w:t>
      </w:r>
      <w:r w:rsidR="009F6076" w:rsidRPr="00774A86">
        <w:t>n</w:t>
      </w:r>
      <w:r w:rsidRPr="00774A86">
        <w:t xml:space="preserve">ew </w:t>
      </w:r>
      <w:r w:rsidR="009F6076" w:rsidRPr="00774A86">
        <w:t>e</w:t>
      </w:r>
      <w:r w:rsidRPr="00774A86">
        <w:t xml:space="preserve">ntity </w:t>
      </w:r>
      <w:r w:rsidR="009F6076" w:rsidRPr="00774A86">
        <w:t>a</w:t>
      </w:r>
      <w:r w:rsidRPr="00774A86">
        <w:t xml:space="preserve">ccounts that they maintain to determine whether those accounts are held by </w:t>
      </w:r>
      <w:r w:rsidR="009F6076" w:rsidRPr="00774A86">
        <w:t>r</w:t>
      </w:r>
      <w:r w:rsidRPr="00774A86">
        <w:t xml:space="preserve">eportable </w:t>
      </w:r>
      <w:r w:rsidR="009F6076" w:rsidRPr="00774A86">
        <w:t>p</w:t>
      </w:r>
      <w:r w:rsidRPr="00774A86">
        <w:t xml:space="preserve">ersons and/or are held by passive NFEs that have one or more </w:t>
      </w:r>
      <w:r w:rsidR="009F6076" w:rsidRPr="00774A86">
        <w:t>c</w:t>
      </w:r>
      <w:r w:rsidRPr="00774A86">
        <w:t xml:space="preserve">ontrolling </w:t>
      </w:r>
      <w:r w:rsidR="009F6076" w:rsidRPr="00774A86">
        <w:t>p</w:t>
      </w:r>
      <w:r w:rsidRPr="00774A86">
        <w:t xml:space="preserve">ersons that are </w:t>
      </w:r>
      <w:r w:rsidR="009F6076" w:rsidRPr="00774A86">
        <w:t>r</w:t>
      </w:r>
      <w:r w:rsidRPr="00774A86">
        <w:t xml:space="preserve">eportable </w:t>
      </w:r>
      <w:r w:rsidR="009F6076" w:rsidRPr="00774A86">
        <w:t>p</w:t>
      </w:r>
      <w:r w:rsidRPr="00774A86">
        <w:t>ersons</w:t>
      </w:r>
      <w:r w:rsidR="0030367F" w:rsidRPr="00774A86">
        <w:t>.  I</w:t>
      </w:r>
      <w:r w:rsidRPr="00774A86">
        <w:t xml:space="preserve">f an account is </w:t>
      </w:r>
      <w:r w:rsidR="009F6076" w:rsidRPr="00774A86">
        <w:t>i</w:t>
      </w:r>
      <w:r w:rsidRPr="00774A86">
        <w:t xml:space="preserve">dentified as being held and/or having one or more </w:t>
      </w:r>
      <w:r w:rsidR="009F6076" w:rsidRPr="00774A86">
        <w:t>c</w:t>
      </w:r>
      <w:r w:rsidRPr="00774A86">
        <w:t xml:space="preserve">ontrolling </w:t>
      </w:r>
      <w:r w:rsidR="009F6076" w:rsidRPr="00774A86">
        <w:t>p</w:t>
      </w:r>
      <w:r w:rsidRPr="00774A86">
        <w:t xml:space="preserve">ersons that are </w:t>
      </w:r>
      <w:r w:rsidR="009F6076" w:rsidRPr="00774A86">
        <w:t>r</w:t>
      </w:r>
      <w:r w:rsidRPr="00774A86">
        <w:t xml:space="preserve">eportable </w:t>
      </w:r>
      <w:r w:rsidR="009F6076" w:rsidRPr="00774A86">
        <w:t>p</w:t>
      </w:r>
      <w:r w:rsidRPr="00774A86">
        <w:t xml:space="preserve">ersons (in this way) the account will be a </w:t>
      </w:r>
      <w:r w:rsidR="009F6076" w:rsidRPr="00774A86">
        <w:t>r</w:t>
      </w:r>
      <w:r w:rsidRPr="00774A86">
        <w:t xml:space="preserve">eportable </w:t>
      </w:r>
      <w:r w:rsidR="009F6076" w:rsidRPr="00774A86">
        <w:t>a</w:t>
      </w:r>
      <w:r w:rsidRPr="00774A86">
        <w:t>ccount.</w:t>
      </w:r>
    </w:p>
    <w:p w:rsidR="0077285A" w:rsidRPr="00774A86" w:rsidRDefault="0077285A" w:rsidP="0077285A"/>
    <w:p w:rsidR="0077285A" w:rsidRPr="00774A86" w:rsidRDefault="0077285A" w:rsidP="0077285A">
      <w:r w:rsidRPr="00774A86">
        <w:t xml:space="preserve">These procedures </w:t>
      </w:r>
      <w:r w:rsidR="00BD492F" w:rsidRPr="00774A86">
        <w:t xml:space="preserve">will </w:t>
      </w:r>
      <w:r w:rsidRPr="00774A86">
        <w:t xml:space="preserve">generally involve the </w:t>
      </w:r>
      <w:r w:rsidR="00BD492F" w:rsidRPr="00774A86">
        <w:t xml:space="preserve">New Zealand </w:t>
      </w:r>
      <w:r w:rsidR="009F6076" w:rsidRPr="00774A86">
        <w:t>r</w:t>
      </w:r>
      <w:r w:rsidRPr="00774A86">
        <w:t xml:space="preserve">eporting </w:t>
      </w:r>
      <w:r w:rsidR="009F6076" w:rsidRPr="00774A86">
        <w:t>f</w:t>
      </w:r>
      <w:r w:rsidRPr="00774A86">
        <w:t xml:space="preserve">inancial </w:t>
      </w:r>
      <w:r w:rsidR="009F6076" w:rsidRPr="00774A86">
        <w:t>i</w:t>
      </w:r>
      <w:r w:rsidRPr="00774A86">
        <w:t xml:space="preserve">nstitution obtaining a self-certification from the </w:t>
      </w:r>
      <w:r w:rsidR="009F6076" w:rsidRPr="00774A86">
        <w:t>a</w:t>
      </w:r>
      <w:r w:rsidRPr="00774A86">
        <w:t xml:space="preserve">ccount </w:t>
      </w:r>
      <w:r w:rsidR="009F6076" w:rsidRPr="00774A86">
        <w:t>h</w:t>
      </w:r>
      <w:r w:rsidRPr="00774A86">
        <w:t xml:space="preserve">older (or </w:t>
      </w:r>
      <w:r w:rsidR="009F6076" w:rsidRPr="00774A86">
        <w:t>c</w:t>
      </w:r>
      <w:r w:rsidRPr="00774A86">
        <w:t xml:space="preserve">ontrolling </w:t>
      </w:r>
      <w:r w:rsidR="009F6076" w:rsidRPr="00774A86">
        <w:t>p</w:t>
      </w:r>
      <w:r w:rsidRPr="00774A86">
        <w:t xml:space="preserve">erson, in the case of a </w:t>
      </w:r>
      <w:r w:rsidR="009F6076" w:rsidRPr="00774A86">
        <w:t>p</w:t>
      </w:r>
      <w:r w:rsidRPr="00774A86">
        <w:t xml:space="preserve">assive NFE) of their tax residence, albeit that there is scope for the </w:t>
      </w:r>
      <w:r w:rsidR="009F6076" w:rsidRPr="00774A86">
        <w:t>r</w:t>
      </w:r>
      <w:r w:rsidRPr="00774A86">
        <w:t xml:space="preserve">eporting </w:t>
      </w:r>
      <w:r w:rsidR="009F6076" w:rsidRPr="00774A86">
        <w:t>f</w:t>
      </w:r>
      <w:r w:rsidRPr="00774A86">
        <w:t xml:space="preserve">inancial </w:t>
      </w:r>
      <w:r w:rsidR="009F6076" w:rsidRPr="00774A86">
        <w:t>i</w:t>
      </w:r>
      <w:r w:rsidRPr="00774A86">
        <w:t>nstitution to sometimes reasonably determine the status of the account based on information in their possession or that is publicly available in defined circumstances.</w:t>
      </w:r>
    </w:p>
    <w:bookmarkEnd w:id="78"/>
    <w:bookmarkEnd w:id="79"/>
    <w:bookmarkEnd w:id="80"/>
    <w:bookmarkEnd w:id="81"/>
    <w:p w:rsidR="00017FDA" w:rsidRPr="00774A86" w:rsidRDefault="00017FDA">
      <w:pPr>
        <w:jc w:val="left"/>
      </w:pPr>
      <w:r w:rsidRPr="00774A86">
        <w:br w:type="page"/>
      </w:r>
    </w:p>
    <w:p w:rsidR="0066247A" w:rsidRPr="00774A86" w:rsidRDefault="00017FDA" w:rsidP="00017FDA">
      <w:pPr>
        <w:pStyle w:val="Chapterheading"/>
      </w:pPr>
      <w:bookmarkStart w:id="183" w:name="_Toc443409982"/>
      <w:bookmarkStart w:id="184" w:name="_Toc443470095"/>
      <w:bookmarkStart w:id="185" w:name="_Toc441584421"/>
      <w:r w:rsidRPr="00774A86">
        <w:lastRenderedPageBreak/>
        <w:t>Glossary</w:t>
      </w:r>
      <w:bookmarkEnd w:id="183"/>
      <w:bookmarkEnd w:id="184"/>
    </w:p>
    <w:p w:rsidR="0066247A" w:rsidRPr="00774A86" w:rsidRDefault="0066247A" w:rsidP="00017FDA">
      <w:pPr>
        <w:pStyle w:val="Chapterheading"/>
        <w:rPr>
          <w:caps w:val="0"/>
        </w:rPr>
      </w:pPr>
    </w:p>
    <w:p w:rsidR="00017FDA" w:rsidRPr="00774A86" w:rsidRDefault="00017FDA" w:rsidP="00017FDA">
      <w:pPr>
        <w:pStyle w:val="Chapterheading"/>
        <w:rPr>
          <w:caps w:val="0"/>
        </w:rPr>
      </w:pPr>
      <w:bookmarkStart w:id="186" w:name="_Toc443470096"/>
      <w:r w:rsidRPr="00774A86">
        <w:rPr>
          <w:caps w:val="0"/>
        </w:rPr>
        <w:t>Compliance Reporting Standard terms</w:t>
      </w:r>
      <w:bookmarkEnd w:id="185"/>
      <w:bookmarkEnd w:id="186"/>
    </w:p>
    <w:p w:rsidR="00017FDA" w:rsidRPr="00774A86" w:rsidRDefault="00017FDA" w:rsidP="0066247A">
      <w:bookmarkStart w:id="187" w:name="Nine"/>
      <w:bookmarkEnd w:id="187"/>
    </w:p>
    <w:p w:rsidR="00017FDA" w:rsidRPr="00774A86" w:rsidRDefault="00017FDA" w:rsidP="0066247A"/>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9"/>
        <w:gridCol w:w="6111"/>
      </w:tblGrid>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t>Account holder</w:t>
            </w:r>
          </w:p>
        </w:tc>
        <w:tc>
          <w:tcPr>
            <w:tcW w:w="6111" w:type="dxa"/>
          </w:tcPr>
          <w:p w:rsidR="00017FDA" w:rsidRPr="00774A86" w:rsidRDefault="00017FDA" w:rsidP="00E22D88">
            <w:pPr>
              <w:spacing w:before="120" w:after="120"/>
              <w:rPr>
                <w:sz w:val="20"/>
                <w:lang w:eastAsia="en-US"/>
              </w:rPr>
            </w:pPr>
            <w:r w:rsidRPr="00774A86">
              <w:rPr>
                <w:sz w:val="20"/>
                <w:lang w:eastAsia="en-US"/>
              </w:rPr>
              <w:t>The “person” (individual or entity) listed or identified as the holder of a financial account by the reporting financial institution that maintains the account.  There is also a look-through rule that applies where a person (other than a financial institution) holds a financial account for another person as agent or nominee (or similar), where that other person is treated as the account holder.</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t>AEOI</w:t>
            </w:r>
          </w:p>
        </w:tc>
        <w:tc>
          <w:tcPr>
            <w:tcW w:w="6111" w:type="dxa"/>
          </w:tcPr>
          <w:p w:rsidR="00017FDA" w:rsidRPr="00774A86" w:rsidRDefault="00017FDA" w:rsidP="00E22D88">
            <w:pPr>
              <w:spacing w:before="120" w:after="120"/>
              <w:rPr>
                <w:sz w:val="20"/>
                <w:lang w:eastAsia="en-US"/>
              </w:rPr>
            </w:pPr>
            <w:r w:rsidRPr="00774A86">
              <w:rPr>
                <w:sz w:val="20"/>
                <w:lang w:eastAsia="en-US"/>
              </w:rPr>
              <w:t>“Automatic Exchange of Information”: refers to the automatic exchange of information between tax authorities.</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t>Aggregation rules</w:t>
            </w:r>
          </w:p>
        </w:tc>
        <w:tc>
          <w:tcPr>
            <w:tcW w:w="6111" w:type="dxa"/>
          </w:tcPr>
          <w:p w:rsidR="00017FDA" w:rsidRPr="00774A86" w:rsidRDefault="00017FDA" w:rsidP="00E22D88">
            <w:pPr>
              <w:spacing w:before="120" w:after="120"/>
              <w:rPr>
                <w:sz w:val="20"/>
                <w:lang w:eastAsia="en-US"/>
              </w:rPr>
            </w:pPr>
            <w:r w:rsidRPr="00774A86">
              <w:rPr>
                <w:sz w:val="20"/>
                <w:lang w:eastAsia="en-US"/>
              </w:rPr>
              <w:t>For purposes of determining the aggregate balance or value of financial accounts held an individual or entity, a reporting financial institution is required to aggregate all financial accounts that it (or a related entity) maintains on that individual or entity, but only to the extent that its computerised systems link the financial accounts by reference to a common data element such as client number or TIN, that allows account balances or values to be aggregated.</w:t>
            </w:r>
          </w:p>
          <w:p w:rsidR="00017FDA" w:rsidRPr="00774A86" w:rsidRDefault="00017FDA" w:rsidP="00E22D88">
            <w:pPr>
              <w:spacing w:before="120" w:after="120"/>
              <w:rPr>
                <w:sz w:val="20"/>
                <w:lang w:eastAsia="en-US"/>
              </w:rPr>
            </w:pPr>
            <w:r w:rsidRPr="00774A86">
              <w:rPr>
                <w:sz w:val="20"/>
                <w:lang w:eastAsia="en-US"/>
              </w:rPr>
              <w:t>Special aggregation rules also apply to jointly held financial accounts, and to pre-existing individual high value accounts with relationship managers.</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t>AML/KYC</w:t>
            </w:r>
          </w:p>
        </w:tc>
        <w:tc>
          <w:tcPr>
            <w:tcW w:w="6111" w:type="dxa"/>
          </w:tcPr>
          <w:p w:rsidR="00017FDA" w:rsidRPr="00774A86" w:rsidRDefault="00017FDA" w:rsidP="00E22D88">
            <w:pPr>
              <w:spacing w:before="120" w:after="120"/>
              <w:rPr>
                <w:sz w:val="20"/>
                <w:lang w:eastAsia="en-US"/>
              </w:rPr>
            </w:pPr>
            <w:r w:rsidRPr="00774A86">
              <w:rPr>
                <w:sz w:val="20"/>
                <w:lang w:eastAsia="en-US"/>
              </w:rPr>
              <w:t>“Anti-Money Laundering / Know Your Client” procedures means the customer due diligence procedures of a reporting financial institution per the anti-money laundering or similar requirements.  Information exchanged in the CRS often leverages off information obtained under such procedures.</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t>Controlling person</w:t>
            </w:r>
          </w:p>
        </w:tc>
        <w:tc>
          <w:tcPr>
            <w:tcW w:w="6111" w:type="dxa"/>
          </w:tcPr>
          <w:p w:rsidR="00017FDA" w:rsidRPr="00774A86" w:rsidRDefault="00017FDA" w:rsidP="00E22D88">
            <w:pPr>
              <w:spacing w:before="120" w:after="120"/>
              <w:rPr>
                <w:sz w:val="20"/>
                <w:lang w:eastAsia="en-US"/>
              </w:rPr>
            </w:pPr>
            <w:r w:rsidRPr="00774A86">
              <w:rPr>
                <w:sz w:val="20"/>
                <w:lang w:eastAsia="en-US"/>
              </w:rPr>
              <w:t>Usually refers to controlling persons of passive NFEs, being a natural person who exercises control over an entity that is a legal person (for example, company) or a legal arrangement (for example, trust).  Where no natural person(s) is identified as exercising control, the controlling person(s) of the entity are the natural person(s) who hold the position of senior managing official.</w:t>
            </w:r>
          </w:p>
          <w:p w:rsidR="00017FDA" w:rsidRPr="00774A86" w:rsidRDefault="00017FDA" w:rsidP="00E22D88">
            <w:pPr>
              <w:spacing w:before="120" w:after="120"/>
              <w:rPr>
                <w:sz w:val="20"/>
                <w:lang w:eastAsia="en-US"/>
              </w:rPr>
            </w:pPr>
            <w:r w:rsidRPr="00774A86">
              <w:rPr>
                <w:sz w:val="20"/>
                <w:lang w:eastAsia="en-US"/>
              </w:rPr>
              <w:t xml:space="preserve">For a trust, this means: any settlor(s), trustee(s), protector(s), </w:t>
            </w:r>
            <w:proofErr w:type="gramStart"/>
            <w:r w:rsidRPr="00774A86">
              <w:rPr>
                <w:sz w:val="20"/>
                <w:lang w:eastAsia="en-US"/>
              </w:rPr>
              <w:t>beneficiary(</w:t>
            </w:r>
            <w:proofErr w:type="spellStart"/>
            <w:proofErr w:type="gramEnd"/>
            <w:r w:rsidRPr="00774A86">
              <w:rPr>
                <w:sz w:val="20"/>
                <w:lang w:eastAsia="en-US"/>
              </w:rPr>
              <w:t>ies</w:t>
            </w:r>
            <w:proofErr w:type="spellEnd"/>
            <w:r w:rsidRPr="00774A86">
              <w:rPr>
                <w:sz w:val="20"/>
                <w:lang w:eastAsia="en-US"/>
              </w:rPr>
              <w:t>) or class(</w:t>
            </w:r>
            <w:proofErr w:type="spellStart"/>
            <w:r w:rsidRPr="00774A86">
              <w:rPr>
                <w:sz w:val="20"/>
                <w:lang w:eastAsia="en-US"/>
              </w:rPr>
              <w:t>es</w:t>
            </w:r>
            <w:proofErr w:type="spellEnd"/>
            <w:r w:rsidRPr="00774A86">
              <w:rPr>
                <w:sz w:val="20"/>
                <w:lang w:eastAsia="en-US"/>
              </w:rPr>
              <w:t>) of beneficiaries, and any other natural person(s) exercising ultimate effective control over the trust.  Such persons must always be treated as controlling persons of a trust, regardless of who exercises actual control over the trust.</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t>Commissioner</w:t>
            </w:r>
          </w:p>
        </w:tc>
        <w:tc>
          <w:tcPr>
            <w:tcW w:w="6111" w:type="dxa"/>
          </w:tcPr>
          <w:p w:rsidR="00017FDA" w:rsidRPr="00774A86" w:rsidRDefault="00017FDA" w:rsidP="00E22D88">
            <w:pPr>
              <w:spacing w:before="120" w:after="120"/>
              <w:rPr>
                <w:sz w:val="20"/>
                <w:lang w:eastAsia="en-US"/>
              </w:rPr>
            </w:pPr>
            <w:r w:rsidRPr="00774A86">
              <w:rPr>
                <w:sz w:val="20"/>
                <w:lang w:eastAsia="en-US"/>
              </w:rPr>
              <w:t>The Commissioner of Inland Revenue.</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t>Competent authority</w:t>
            </w:r>
          </w:p>
        </w:tc>
        <w:tc>
          <w:tcPr>
            <w:tcW w:w="6111" w:type="dxa"/>
          </w:tcPr>
          <w:p w:rsidR="00017FDA" w:rsidRPr="00774A86" w:rsidRDefault="00017FDA" w:rsidP="00E22D88">
            <w:pPr>
              <w:spacing w:before="120" w:after="120"/>
              <w:rPr>
                <w:sz w:val="20"/>
                <w:lang w:eastAsia="en-US"/>
              </w:rPr>
            </w:pPr>
            <w:r w:rsidRPr="00774A86">
              <w:rPr>
                <w:sz w:val="20"/>
                <w:lang w:eastAsia="en-US"/>
              </w:rPr>
              <w:t>In the context of international tax treaties and AEOI, the Competent Authority is usually the head (or delegate) of the tax authority of the relevant contracting state.  The Competent Authority in New Zealand is the Commissioner of Inland Revenue (or his or her delegate).</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t>CRS</w:t>
            </w:r>
          </w:p>
        </w:tc>
        <w:tc>
          <w:tcPr>
            <w:tcW w:w="6111" w:type="dxa"/>
          </w:tcPr>
          <w:p w:rsidR="00017FDA" w:rsidRPr="00774A86" w:rsidRDefault="00017FDA" w:rsidP="00E22D88">
            <w:pPr>
              <w:spacing w:before="120" w:after="120"/>
              <w:rPr>
                <w:sz w:val="20"/>
                <w:lang w:eastAsia="en-US"/>
              </w:rPr>
            </w:pPr>
            <w:r w:rsidRPr="00774A86">
              <w:rPr>
                <w:sz w:val="20"/>
                <w:lang w:eastAsia="en-US"/>
              </w:rPr>
              <w:t xml:space="preserve">The </w:t>
            </w:r>
            <w:r w:rsidR="005A086F" w:rsidRPr="00774A86">
              <w:rPr>
                <w:i/>
                <w:sz w:val="20"/>
                <w:lang w:eastAsia="en-US"/>
              </w:rPr>
              <w:t>Common Standard on Reporting, Due Diligence and Exchange of Information on Financial Account Information</w:t>
            </w:r>
            <w:r w:rsidR="005A086F" w:rsidRPr="00774A86">
              <w:rPr>
                <w:sz w:val="20"/>
                <w:lang w:eastAsia="en-US"/>
              </w:rPr>
              <w:t xml:space="preserve"> (in short, the Common Reporting Standard)</w:t>
            </w:r>
            <w:r w:rsidRPr="00774A86">
              <w:rPr>
                <w:sz w:val="20"/>
                <w:lang w:eastAsia="en-US"/>
              </w:rPr>
              <w:t xml:space="preserve"> that forms part of the global standard for </w:t>
            </w:r>
            <w:r w:rsidRPr="00774A86">
              <w:rPr>
                <w:i/>
                <w:sz w:val="20"/>
                <w:lang w:eastAsia="en-US"/>
              </w:rPr>
              <w:t>Automatic Exchange of Financial Account Information in Tax Matters</w:t>
            </w:r>
            <w:r w:rsidRPr="00774A86">
              <w:rPr>
                <w:sz w:val="20"/>
                <w:lang w:eastAsia="en-US"/>
              </w:rPr>
              <w:t>.</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t>CRS Commentaries</w:t>
            </w:r>
          </w:p>
        </w:tc>
        <w:tc>
          <w:tcPr>
            <w:tcW w:w="6111" w:type="dxa"/>
          </w:tcPr>
          <w:p w:rsidR="00017FDA" w:rsidRPr="00774A86" w:rsidRDefault="00017FDA" w:rsidP="00E22D88">
            <w:pPr>
              <w:spacing w:before="120" w:after="120"/>
              <w:rPr>
                <w:sz w:val="20"/>
                <w:lang w:eastAsia="en-US"/>
              </w:rPr>
            </w:pPr>
            <w:r w:rsidRPr="00774A86">
              <w:rPr>
                <w:sz w:val="20"/>
                <w:lang w:eastAsia="en-US"/>
              </w:rPr>
              <w:t>OECD’s Commentaries on the CRS.</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lastRenderedPageBreak/>
              <w:t>CRS schema</w:t>
            </w:r>
          </w:p>
        </w:tc>
        <w:tc>
          <w:tcPr>
            <w:tcW w:w="6111" w:type="dxa"/>
          </w:tcPr>
          <w:p w:rsidR="00017FDA" w:rsidRPr="00774A86" w:rsidRDefault="00017FDA" w:rsidP="00E22D88">
            <w:pPr>
              <w:spacing w:before="120" w:after="120"/>
              <w:rPr>
                <w:sz w:val="20"/>
                <w:lang w:eastAsia="en-US"/>
              </w:rPr>
            </w:pPr>
            <w:r w:rsidRPr="00774A86">
              <w:rPr>
                <w:sz w:val="20"/>
                <w:lang w:eastAsia="en-US"/>
              </w:rPr>
              <w:t>OECD’s approved XML schema for CRS electronic exchange of information.</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t>Custodial institution</w:t>
            </w:r>
          </w:p>
        </w:tc>
        <w:tc>
          <w:tcPr>
            <w:tcW w:w="6111" w:type="dxa"/>
          </w:tcPr>
          <w:p w:rsidR="00017FDA" w:rsidRPr="00774A86" w:rsidRDefault="00017FDA" w:rsidP="00E22D88">
            <w:pPr>
              <w:spacing w:before="120" w:after="120"/>
              <w:rPr>
                <w:sz w:val="20"/>
                <w:lang w:eastAsia="en-US"/>
              </w:rPr>
            </w:pPr>
            <w:r w:rsidRPr="00774A86">
              <w:rPr>
                <w:sz w:val="20"/>
                <w:lang w:eastAsia="en-US"/>
              </w:rPr>
              <w:t>Any entity that holds, as a substantial portion of its business (generally 20% or more of its annual gross income), financial assets of others.</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t>Depository institution</w:t>
            </w:r>
          </w:p>
        </w:tc>
        <w:tc>
          <w:tcPr>
            <w:tcW w:w="6111" w:type="dxa"/>
          </w:tcPr>
          <w:p w:rsidR="00017FDA" w:rsidRPr="00774A86" w:rsidRDefault="00017FDA" w:rsidP="00E22D88">
            <w:pPr>
              <w:spacing w:before="120" w:after="120"/>
              <w:rPr>
                <w:sz w:val="20"/>
                <w:lang w:eastAsia="en-US"/>
              </w:rPr>
            </w:pPr>
            <w:r w:rsidRPr="00774A86">
              <w:rPr>
                <w:sz w:val="20"/>
                <w:lang w:eastAsia="en-US"/>
              </w:rPr>
              <w:t>Any entity that accepts deposits in the ordinary course of a banking or similar business.</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t>Documentary evidence</w:t>
            </w:r>
          </w:p>
        </w:tc>
        <w:tc>
          <w:tcPr>
            <w:tcW w:w="6111" w:type="dxa"/>
          </w:tcPr>
          <w:p w:rsidR="00017FDA" w:rsidRPr="00774A86" w:rsidRDefault="00017FDA" w:rsidP="00E22D88">
            <w:pPr>
              <w:spacing w:before="120" w:after="120"/>
              <w:rPr>
                <w:sz w:val="20"/>
                <w:lang w:eastAsia="en-US"/>
              </w:rPr>
            </w:pPr>
            <w:r w:rsidRPr="00774A86">
              <w:rPr>
                <w:sz w:val="20"/>
                <w:lang w:eastAsia="en-US"/>
              </w:rPr>
              <w:t xml:space="preserve">Documentary evidence for CRS </w:t>
            </w:r>
            <w:r w:rsidRPr="00774A86">
              <w:rPr>
                <w:b/>
                <w:sz w:val="20"/>
                <w:lang w:eastAsia="en-US"/>
              </w:rPr>
              <w:t>includes</w:t>
            </w:r>
            <w:r w:rsidRPr="00774A86">
              <w:rPr>
                <w:sz w:val="20"/>
                <w:lang w:eastAsia="en-US"/>
              </w:rPr>
              <w:t>:</w:t>
            </w:r>
          </w:p>
          <w:p w:rsidR="00017FDA" w:rsidRPr="00774A86" w:rsidRDefault="00017FDA" w:rsidP="00E22D88">
            <w:pPr>
              <w:pStyle w:val="Bullet"/>
              <w:numPr>
                <w:ilvl w:val="0"/>
                <w:numId w:val="11"/>
              </w:numPr>
              <w:rPr>
                <w:sz w:val="20"/>
                <w:lang w:eastAsia="en-US"/>
              </w:rPr>
            </w:pPr>
            <w:r w:rsidRPr="00774A86">
              <w:rPr>
                <w:sz w:val="20"/>
                <w:lang w:eastAsia="en-US"/>
              </w:rPr>
              <w:t>a certificate of residence issued by an authorised government body of the jurisdiction in which the payee claims to be a resident;</w:t>
            </w:r>
          </w:p>
          <w:p w:rsidR="00017FDA" w:rsidRPr="00774A86" w:rsidRDefault="00017FDA" w:rsidP="00E22D88">
            <w:pPr>
              <w:pStyle w:val="Bullet"/>
              <w:numPr>
                <w:ilvl w:val="0"/>
                <w:numId w:val="11"/>
              </w:numPr>
              <w:rPr>
                <w:sz w:val="20"/>
                <w:lang w:eastAsia="en-US"/>
              </w:rPr>
            </w:pPr>
            <w:r w:rsidRPr="00774A86">
              <w:rPr>
                <w:sz w:val="20"/>
                <w:lang w:eastAsia="en-US"/>
              </w:rPr>
              <w:t>for individuals, any valid identification issued by an authorised government body that includes the individual’s name and is typically used for identification purposes;</w:t>
            </w:r>
          </w:p>
          <w:p w:rsidR="00017FDA" w:rsidRPr="00774A86" w:rsidRDefault="00017FDA" w:rsidP="00E22D88">
            <w:pPr>
              <w:pStyle w:val="Bullet"/>
              <w:numPr>
                <w:ilvl w:val="0"/>
                <w:numId w:val="11"/>
              </w:numPr>
              <w:rPr>
                <w:sz w:val="20"/>
                <w:lang w:eastAsia="en-US"/>
              </w:rPr>
            </w:pPr>
            <w:r w:rsidRPr="00774A86">
              <w:rPr>
                <w:sz w:val="20"/>
                <w:lang w:eastAsia="en-US"/>
              </w:rPr>
              <w:t xml:space="preserve">for entities, any official documentation issued by an authorised government body that includes the name of the entity and either the address of its principal office in the jurisdiction in which it claims to be a resident or the jurisdiction in which the entity was incorporated or organised; </w:t>
            </w:r>
            <w:r w:rsidR="005048B4" w:rsidRPr="00774A86">
              <w:rPr>
                <w:sz w:val="20"/>
                <w:lang w:eastAsia="en-US"/>
              </w:rPr>
              <w:t>and</w:t>
            </w:r>
          </w:p>
          <w:p w:rsidR="00017FDA" w:rsidRPr="00774A86" w:rsidRDefault="00017FDA" w:rsidP="00E22D88">
            <w:pPr>
              <w:pStyle w:val="Bullet"/>
              <w:numPr>
                <w:ilvl w:val="0"/>
                <w:numId w:val="11"/>
              </w:numPr>
              <w:rPr>
                <w:sz w:val="20"/>
                <w:lang w:eastAsia="en-US"/>
              </w:rPr>
            </w:pPr>
            <w:proofErr w:type="gramStart"/>
            <w:r w:rsidRPr="00774A86">
              <w:rPr>
                <w:sz w:val="20"/>
                <w:lang w:eastAsia="en-US"/>
              </w:rPr>
              <w:t>any</w:t>
            </w:r>
            <w:proofErr w:type="gramEnd"/>
            <w:r w:rsidRPr="00774A86">
              <w:rPr>
                <w:sz w:val="20"/>
                <w:lang w:eastAsia="en-US"/>
              </w:rPr>
              <w:t xml:space="preserve"> audited financial statement, third-party credit report, bankruptcy filing, or securities regulator’s report.</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t>Due diligence</w:t>
            </w:r>
          </w:p>
        </w:tc>
        <w:tc>
          <w:tcPr>
            <w:tcW w:w="6111" w:type="dxa"/>
          </w:tcPr>
          <w:p w:rsidR="00017FDA" w:rsidRPr="00774A86" w:rsidRDefault="00017FDA" w:rsidP="00E22D88">
            <w:pPr>
              <w:spacing w:before="120" w:after="120"/>
              <w:rPr>
                <w:sz w:val="20"/>
                <w:lang w:eastAsia="en-US"/>
              </w:rPr>
            </w:pPr>
            <w:r w:rsidRPr="00774A86">
              <w:rPr>
                <w:sz w:val="20"/>
                <w:lang w:eastAsia="en-US"/>
              </w:rPr>
              <w:t>Processes and procedures required for reporting financial institutions to identify reportable accounts and undocumented accounts.  This involves determining tax residence (generally based on indicia, account information, or self-certifications, depending on the type of account) of account holders and controlling persons (in the context of passive NFEs) and collecting reportable account information about reportable accounts.</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t>Entity</w:t>
            </w:r>
          </w:p>
        </w:tc>
        <w:tc>
          <w:tcPr>
            <w:tcW w:w="6111" w:type="dxa"/>
          </w:tcPr>
          <w:p w:rsidR="00017FDA" w:rsidRPr="00774A86" w:rsidRDefault="00017FDA" w:rsidP="00E22D88">
            <w:pPr>
              <w:spacing w:before="120" w:after="120"/>
              <w:rPr>
                <w:sz w:val="20"/>
                <w:lang w:eastAsia="en-US"/>
              </w:rPr>
            </w:pPr>
            <w:r w:rsidRPr="00774A86">
              <w:rPr>
                <w:sz w:val="20"/>
                <w:lang w:eastAsia="en-US"/>
              </w:rPr>
              <w:t>Includes a “legal person” (for example, company,) or a “legal arrangement” (for example, trust).  Does not include an individual.</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t>Excluded accounts</w:t>
            </w:r>
          </w:p>
        </w:tc>
        <w:tc>
          <w:tcPr>
            <w:tcW w:w="6111" w:type="dxa"/>
          </w:tcPr>
          <w:p w:rsidR="00017FDA" w:rsidRPr="00774A86" w:rsidRDefault="00017FDA" w:rsidP="00E22D88">
            <w:pPr>
              <w:spacing w:before="120" w:after="120"/>
              <w:rPr>
                <w:sz w:val="20"/>
                <w:lang w:eastAsia="en-US"/>
              </w:rPr>
            </w:pPr>
            <w:r w:rsidRPr="00774A86">
              <w:rPr>
                <w:sz w:val="20"/>
                <w:lang w:eastAsia="en-US"/>
              </w:rPr>
              <w:t xml:space="preserve">Financial accounts </w:t>
            </w:r>
            <w:proofErr w:type="gramStart"/>
            <w:r w:rsidRPr="00774A86">
              <w:rPr>
                <w:sz w:val="20"/>
                <w:lang w:eastAsia="en-US"/>
              </w:rPr>
              <w:t>that are</w:t>
            </w:r>
            <w:proofErr w:type="gramEnd"/>
            <w:r w:rsidRPr="00774A86">
              <w:rPr>
                <w:sz w:val="20"/>
                <w:lang w:eastAsia="en-US"/>
              </w:rPr>
              <w:t xml:space="preserve"> not subject to due diligence or reporting under the CRS.  Usually this is because the type of financial account presents a low risk of being used to evade tax and comes within a defined category of excluded account.</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t>FATCA</w:t>
            </w:r>
          </w:p>
        </w:tc>
        <w:tc>
          <w:tcPr>
            <w:tcW w:w="6111" w:type="dxa"/>
          </w:tcPr>
          <w:p w:rsidR="00017FDA" w:rsidRPr="00774A86" w:rsidRDefault="00017FDA" w:rsidP="00E22D88">
            <w:pPr>
              <w:spacing w:before="120" w:after="120"/>
              <w:rPr>
                <w:sz w:val="20"/>
                <w:lang w:eastAsia="en-US"/>
              </w:rPr>
            </w:pPr>
            <w:r w:rsidRPr="00774A86">
              <w:rPr>
                <w:sz w:val="20"/>
                <w:lang w:eastAsia="en-US"/>
              </w:rPr>
              <w:t>Foreign Account Tax Compliance Act: United States law for global automatic exchange of information with the United States.</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t>Financial account</w:t>
            </w:r>
          </w:p>
        </w:tc>
        <w:tc>
          <w:tcPr>
            <w:tcW w:w="6111" w:type="dxa"/>
          </w:tcPr>
          <w:p w:rsidR="00017FDA" w:rsidRPr="00774A86" w:rsidRDefault="00017FDA" w:rsidP="00E22D88">
            <w:pPr>
              <w:spacing w:before="120" w:after="120"/>
              <w:rPr>
                <w:sz w:val="20"/>
                <w:lang w:eastAsia="en-US"/>
              </w:rPr>
            </w:pPr>
            <w:r w:rsidRPr="00774A86">
              <w:rPr>
                <w:sz w:val="20"/>
                <w:lang w:eastAsia="en-US"/>
              </w:rPr>
              <w:t>An account maintained by a reporting financial institution and includes certain: depository accounts; custodial accounts; equity and debt interests; cash value insurance contracts; and annuity contracts.</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t>Financial asset</w:t>
            </w:r>
          </w:p>
        </w:tc>
        <w:tc>
          <w:tcPr>
            <w:tcW w:w="6111" w:type="dxa"/>
          </w:tcPr>
          <w:p w:rsidR="00017FDA" w:rsidRPr="00774A86" w:rsidRDefault="00017FDA" w:rsidP="00E22D88">
            <w:pPr>
              <w:spacing w:before="120" w:after="120"/>
              <w:rPr>
                <w:sz w:val="20"/>
                <w:lang w:eastAsia="en-US"/>
              </w:rPr>
            </w:pPr>
            <w:r w:rsidRPr="00774A86">
              <w:rPr>
                <w:sz w:val="20"/>
                <w:lang w:eastAsia="en-US"/>
              </w:rPr>
              <w:t>Includes financial securities (for example, shares and other equity interests; notes, bonds, debentures, and other debt interests; partnership interests, commodities, swaps, insurance contracts, annuity contracts, or any other interest (including a futures or forward contract or option) in a security, partnership interest, commodity, swap, insurance contract, or annuity contract.  The term does not include a non-debt, direct interest in real property.</w:t>
            </w:r>
          </w:p>
        </w:tc>
      </w:tr>
      <w:tr w:rsidR="00017FDA" w:rsidRPr="00774A86" w:rsidTr="005048B4">
        <w:trPr>
          <w:cantSplit/>
        </w:trPr>
        <w:tc>
          <w:tcPr>
            <w:tcW w:w="2309" w:type="dxa"/>
          </w:tcPr>
          <w:p w:rsidR="00017FDA" w:rsidRPr="00774A86" w:rsidRDefault="00017FDA" w:rsidP="00A17A6D">
            <w:pPr>
              <w:spacing w:before="120" w:after="120"/>
              <w:jc w:val="left"/>
              <w:rPr>
                <w:b/>
                <w:sz w:val="20"/>
                <w:lang w:eastAsia="en-US"/>
              </w:rPr>
            </w:pPr>
            <w:r w:rsidRPr="00774A86">
              <w:rPr>
                <w:b/>
                <w:sz w:val="20"/>
                <w:lang w:eastAsia="en-US"/>
              </w:rPr>
              <w:t>Financial institution (FI)</w:t>
            </w:r>
          </w:p>
        </w:tc>
        <w:tc>
          <w:tcPr>
            <w:tcW w:w="6111" w:type="dxa"/>
          </w:tcPr>
          <w:p w:rsidR="00017FDA" w:rsidRPr="00774A86" w:rsidRDefault="00017FDA" w:rsidP="00E22D88">
            <w:pPr>
              <w:spacing w:before="120" w:after="120"/>
              <w:rPr>
                <w:sz w:val="20"/>
              </w:rPr>
            </w:pPr>
            <w:r w:rsidRPr="00774A86">
              <w:rPr>
                <w:sz w:val="20"/>
              </w:rPr>
              <w:t xml:space="preserve">The definition includes: a “Depository Institution”; a “Custodial Institution”; an “Investment Entity”; or a “Specified Insurance Company”.  Apart from the more obvious entities, such as banks, this definition includes other financial institutions such as </w:t>
            </w:r>
            <w:r w:rsidRPr="00774A86">
              <w:rPr>
                <w:i/>
                <w:sz w:val="20"/>
              </w:rPr>
              <w:t>certain</w:t>
            </w:r>
            <w:r w:rsidRPr="00774A86">
              <w:rPr>
                <w:sz w:val="20"/>
              </w:rPr>
              <w:t xml:space="preserve"> brokers, custodians, collective investment vehicles, managed entities, and insurance companies.</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lastRenderedPageBreak/>
              <w:t>GIIN</w:t>
            </w:r>
          </w:p>
        </w:tc>
        <w:tc>
          <w:tcPr>
            <w:tcW w:w="6111" w:type="dxa"/>
          </w:tcPr>
          <w:p w:rsidR="00017FDA" w:rsidRPr="00774A86" w:rsidRDefault="00017FDA" w:rsidP="00E22D88">
            <w:pPr>
              <w:spacing w:before="120" w:after="120"/>
              <w:rPr>
                <w:sz w:val="20"/>
                <w:lang w:eastAsia="en-US"/>
              </w:rPr>
            </w:pPr>
            <w:r w:rsidRPr="00774A86">
              <w:rPr>
                <w:sz w:val="20"/>
                <w:lang w:eastAsia="en-US"/>
              </w:rPr>
              <w:t>The Global Intermediary Identification Number is the US FATCA registration and reporting number issued by the United States’ Internal Revenue Service to foreign financial institutions.</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t>IGA</w:t>
            </w:r>
          </w:p>
        </w:tc>
        <w:tc>
          <w:tcPr>
            <w:tcW w:w="6111" w:type="dxa"/>
          </w:tcPr>
          <w:p w:rsidR="00017FDA" w:rsidRPr="00774A86" w:rsidRDefault="00017FDA" w:rsidP="00E22D88">
            <w:pPr>
              <w:spacing w:before="120" w:after="120"/>
              <w:rPr>
                <w:sz w:val="20"/>
                <w:lang w:eastAsia="en-US"/>
              </w:rPr>
            </w:pPr>
            <w:r w:rsidRPr="00774A86">
              <w:rPr>
                <w:sz w:val="20"/>
                <w:lang w:eastAsia="en-US"/>
              </w:rPr>
              <w:t>An Inter-Governmental Agreement between a jurisdiction and the United States for US FATCA reporting purposes.</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t>Implementation Handbook</w:t>
            </w:r>
          </w:p>
        </w:tc>
        <w:tc>
          <w:tcPr>
            <w:tcW w:w="6111" w:type="dxa"/>
          </w:tcPr>
          <w:p w:rsidR="00017FDA" w:rsidRPr="00774A86" w:rsidRDefault="00017FDA" w:rsidP="00E22D88">
            <w:pPr>
              <w:spacing w:before="120" w:after="120"/>
              <w:rPr>
                <w:sz w:val="20"/>
                <w:lang w:eastAsia="en-US"/>
              </w:rPr>
            </w:pPr>
            <w:r w:rsidRPr="00774A86">
              <w:rPr>
                <w:i/>
                <w:sz w:val="20"/>
                <w:lang w:eastAsia="en-US"/>
              </w:rPr>
              <w:t>OECD Implementation Handbook</w:t>
            </w:r>
            <w:r w:rsidRPr="00774A86">
              <w:rPr>
                <w:sz w:val="20"/>
                <w:lang w:eastAsia="en-US"/>
              </w:rPr>
              <w:t>.</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t>Indicia</w:t>
            </w:r>
          </w:p>
        </w:tc>
        <w:tc>
          <w:tcPr>
            <w:tcW w:w="6111" w:type="dxa"/>
          </w:tcPr>
          <w:p w:rsidR="00017FDA" w:rsidRPr="00774A86" w:rsidRDefault="00017FDA" w:rsidP="00E22D88">
            <w:pPr>
              <w:spacing w:before="120" w:after="120"/>
              <w:rPr>
                <w:sz w:val="20"/>
                <w:lang w:eastAsia="en-US"/>
              </w:rPr>
            </w:pPr>
            <w:r w:rsidRPr="00774A86">
              <w:rPr>
                <w:sz w:val="20"/>
                <w:lang w:eastAsia="en-US"/>
              </w:rPr>
              <w:t xml:space="preserve">Defined indications that an individual or entity may be tax resident in another jurisdiction (for example, physical or mailing address, phone numbers, standing instructions, </w:t>
            </w:r>
            <w:proofErr w:type="spellStart"/>
            <w:r w:rsidRPr="00774A86">
              <w:rPr>
                <w:sz w:val="20"/>
                <w:lang w:eastAsia="en-US"/>
              </w:rPr>
              <w:t>etc</w:t>
            </w:r>
            <w:proofErr w:type="spellEnd"/>
            <w:r w:rsidRPr="00774A86">
              <w:rPr>
                <w:sz w:val="20"/>
                <w:lang w:eastAsia="en-US"/>
              </w:rPr>
              <w:t xml:space="preserve"> relating to that jurisdiction).</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t>Individual</w:t>
            </w:r>
          </w:p>
        </w:tc>
        <w:tc>
          <w:tcPr>
            <w:tcW w:w="6111" w:type="dxa"/>
          </w:tcPr>
          <w:p w:rsidR="00017FDA" w:rsidRPr="00774A86" w:rsidRDefault="00017FDA" w:rsidP="00E22D88">
            <w:pPr>
              <w:spacing w:before="120" w:after="120"/>
              <w:rPr>
                <w:sz w:val="20"/>
                <w:lang w:eastAsia="en-US"/>
              </w:rPr>
            </w:pPr>
            <w:r w:rsidRPr="00774A86">
              <w:rPr>
                <w:sz w:val="20"/>
                <w:lang w:eastAsia="en-US"/>
              </w:rPr>
              <w:t>A natural person.</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t>Investment entity</w:t>
            </w:r>
          </w:p>
        </w:tc>
        <w:tc>
          <w:tcPr>
            <w:tcW w:w="6111" w:type="dxa"/>
          </w:tcPr>
          <w:p w:rsidR="00017FDA" w:rsidRPr="00774A86" w:rsidRDefault="00017FDA" w:rsidP="00E22D88">
            <w:pPr>
              <w:spacing w:before="120" w:after="120"/>
              <w:rPr>
                <w:sz w:val="20"/>
                <w:lang w:eastAsia="en-US"/>
              </w:rPr>
            </w:pPr>
            <w:r w:rsidRPr="00774A86">
              <w:rPr>
                <w:sz w:val="20"/>
                <w:lang w:eastAsia="en-US"/>
              </w:rPr>
              <w:t>Any entity that primarily conducts a business of specified investment activities for customers or is managed by a certain type of financial institution and derives income primarily from investing, reinvesting, or trading in financial assets (and is not a type of active NFE that is specifically excluded from the definition of investment entity).</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t>MCAA</w:t>
            </w:r>
          </w:p>
        </w:tc>
        <w:tc>
          <w:tcPr>
            <w:tcW w:w="6111" w:type="dxa"/>
          </w:tcPr>
          <w:p w:rsidR="00017FDA" w:rsidRPr="00774A86" w:rsidRDefault="00017FDA" w:rsidP="00E22D88">
            <w:pPr>
              <w:spacing w:before="120" w:after="120"/>
              <w:rPr>
                <w:sz w:val="20"/>
                <w:lang w:eastAsia="en-US"/>
              </w:rPr>
            </w:pPr>
            <w:r w:rsidRPr="00774A86">
              <w:rPr>
                <w:sz w:val="20"/>
                <w:lang w:eastAsia="en-US"/>
              </w:rPr>
              <w:t>Multilateral Competent Authority Agreement.</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t>Multilateral Convention</w:t>
            </w:r>
          </w:p>
        </w:tc>
        <w:tc>
          <w:tcPr>
            <w:tcW w:w="6111" w:type="dxa"/>
          </w:tcPr>
          <w:p w:rsidR="00017FDA" w:rsidRPr="00774A86" w:rsidRDefault="00017FDA" w:rsidP="00E22D88">
            <w:pPr>
              <w:spacing w:before="120" w:after="120"/>
              <w:rPr>
                <w:sz w:val="20"/>
                <w:lang w:eastAsia="en-US"/>
              </w:rPr>
            </w:pPr>
            <w:r w:rsidRPr="00774A86">
              <w:rPr>
                <w:sz w:val="20"/>
                <w:lang w:eastAsia="en-US"/>
              </w:rPr>
              <w:t>Multilateral Convention on Mutual Administrative Assistance in Tax Matters.</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t>Natural person</w:t>
            </w:r>
          </w:p>
        </w:tc>
        <w:tc>
          <w:tcPr>
            <w:tcW w:w="6111" w:type="dxa"/>
          </w:tcPr>
          <w:p w:rsidR="00017FDA" w:rsidRPr="00774A86" w:rsidRDefault="00017FDA" w:rsidP="00E22D88">
            <w:pPr>
              <w:spacing w:before="120" w:after="120"/>
              <w:rPr>
                <w:sz w:val="20"/>
                <w:lang w:eastAsia="en-US"/>
              </w:rPr>
            </w:pPr>
            <w:r w:rsidRPr="00774A86">
              <w:rPr>
                <w:sz w:val="20"/>
                <w:lang w:eastAsia="en-US"/>
              </w:rPr>
              <w:t>A natural person (that is, an individual, as opposed to an entity).</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t>New accounts</w:t>
            </w:r>
          </w:p>
        </w:tc>
        <w:tc>
          <w:tcPr>
            <w:tcW w:w="6111" w:type="dxa"/>
          </w:tcPr>
          <w:p w:rsidR="00017FDA" w:rsidRPr="00774A86" w:rsidRDefault="00017FDA" w:rsidP="00E22D88">
            <w:pPr>
              <w:spacing w:before="120" w:after="120"/>
              <w:rPr>
                <w:sz w:val="20"/>
                <w:lang w:eastAsia="en-US"/>
              </w:rPr>
            </w:pPr>
            <w:r w:rsidRPr="00774A86">
              <w:rPr>
                <w:sz w:val="20"/>
                <w:lang w:eastAsia="en-US"/>
              </w:rPr>
              <w:t>Includes new financial accounts opened on or after the date of implementation of the CRS.</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t>NFE</w:t>
            </w:r>
          </w:p>
        </w:tc>
        <w:tc>
          <w:tcPr>
            <w:tcW w:w="6111" w:type="dxa"/>
          </w:tcPr>
          <w:p w:rsidR="00017FDA" w:rsidRPr="00774A86" w:rsidRDefault="00017FDA" w:rsidP="00E22D88">
            <w:pPr>
              <w:spacing w:before="120" w:after="120"/>
              <w:rPr>
                <w:sz w:val="20"/>
                <w:lang w:eastAsia="en-US"/>
              </w:rPr>
            </w:pPr>
            <w:r w:rsidRPr="00774A86">
              <w:rPr>
                <w:sz w:val="20"/>
                <w:lang w:eastAsia="en-US"/>
              </w:rPr>
              <w:t>A non-financial entity: generally covers any entity other than a financial institution.  NFEs are classified as “active” or “passive”.  Passive NFEs (and any of their controlling persons who are reportable persons) are the only NFEs that are subject to CRS reporting.</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t>Non-reporting financial institution</w:t>
            </w:r>
          </w:p>
        </w:tc>
        <w:tc>
          <w:tcPr>
            <w:tcW w:w="6111" w:type="dxa"/>
          </w:tcPr>
          <w:p w:rsidR="00017FDA" w:rsidRPr="00774A86" w:rsidRDefault="00017FDA" w:rsidP="00E22D88">
            <w:pPr>
              <w:spacing w:before="120" w:after="120"/>
              <w:rPr>
                <w:sz w:val="20"/>
                <w:lang w:eastAsia="en-US"/>
              </w:rPr>
            </w:pPr>
            <w:r w:rsidRPr="00774A86">
              <w:rPr>
                <w:sz w:val="20"/>
                <w:lang w:eastAsia="en-US"/>
              </w:rPr>
              <w:t>A financial institution that is not required to carry out due diligence on its financial accounts nor report for CRS purposes.  This is usually because the type of financial institution presents a low risk of being used to evade tax and comes within a category of non-reporting financial institution.</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t>OECD</w:t>
            </w:r>
          </w:p>
        </w:tc>
        <w:tc>
          <w:tcPr>
            <w:tcW w:w="6111" w:type="dxa"/>
          </w:tcPr>
          <w:p w:rsidR="00017FDA" w:rsidRPr="00774A86" w:rsidRDefault="00017FDA" w:rsidP="00E22D88">
            <w:pPr>
              <w:spacing w:before="120" w:after="120"/>
              <w:rPr>
                <w:sz w:val="20"/>
                <w:lang w:eastAsia="en-US"/>
              </w:rPr>
            </w:pPr>
            <w:r w:rsidRPr="00774A86">
              <w:rPr>
                <w:sz w:val="20"/>
                <w:lang w:eastAsia="en-US"/>
              </w:rPr>
              <w:t>Organisation for Economic Co-operation and Development.</w:t>
            </w:r>
          </w:p>
        </w:tc>
      </w:tr>
      <w:tr w:rsidR="00017FDA" w:rsidRPr="00774A86" w:rsidTr="005048B4">
        <w:trPr>
          <w:cantSplit/>
        </w:trPr>
        <w:tc>
          <w:tcPr>
            <w:tcW w:w="2309" w:type="dxa"/>
          </w:tcPr>
          <w:p w:rsidR="00017FDA" w:rsidRPr="00774A86" w:rsidRDefault="00017FDA" w:rsidP="00E65F33">
            <w:pPr>
              <w:spacing w:before="120" w:after="120"/>
              <w:rPr>
                <w:b/>
                <w:sz w:val="20"/>
                <w:lang w:eastAsia="en-US"/>
              </w:rPr>
            </w:pPr>
            <w:r w:rsidRPr="00774A86">
              <w:rPr>
                <w:b/>
                <w:sz w:val="20"/>
                <w:lang w:eastAsia="en-US"/>
              </w:rPr>
              <w:t>Participating jurisdiction</w:t>
            </w:r>
          </w:p>
        </w:tc>
        <w:tc>
          <w:tcPr>
            <w:tcW w:w="6111" w:type="dxa"/>
          </w:tcPr>
          <w:p w:rsidR="00017FDA" w:rsidRPr="00774A86" w:rsidRDefault="00017FDA" w:rsidP="00E22D88">
            <w:pPr>
              <w:spacing w:before="120" w:after="120"/>
              <w:rPr>
                <w:sz w:val="20"/>
                <w:lang w:eastAsia="en-US"/>
              </w:rPr>
            </w:pPr>
            <w:r w:rsidRPr="00774A86">
              <w:rPr>
                <w:sz w:val="20"/>
                <w:lang w:eastAsia="en-US"/>
              </w:rPr>
              <w:t>A jurisdiction with which an agreement is in place with another jurisdiction by which they will exchange CRS information and which is identified in a published list.</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t>Passive income</w:t>
            </w:r>
          </w:p>
        </w:tc>
        <w:tc>
          <w:tcPr>
            <w:tcW w:w="6111" w:type="dxa"/>
          </w:tcPr>
          <w:p w:rsidR="00017FDA" w:rsidRPr="00774A86" w:rsidRDefault="00017FDA" w:rsidP="00E22D88">
            <w:pPr>
              <w:spacing w:before="120" w:after="120"/>
              <w:rPr>
                <w:sz w:val="20"/>
                <w:lang w:eastAsia="en-US"/>
              </w:rPr>
            </w:pPr>
            <w:r w:rsidRPr="00774A86">
              <w:rPr>
                <w:sz w:val="20"/>
                <w:lang w:eastAsia="en-US"/>
              </w:rPr>
              <w:t>Passive income generally includes non-trading investment income in the form of: interest or equivalents, dividends, annuities, other financial arrangements’ income, and rents and royalties.  This term may be modified by domestic law.</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t>Passive NFE</w:t>
            </w:r>
          </w:p>
        </w:tc>
        <w:tc>
          <w:tcPr>
            <w:tcW w:w="6111" w:type="dxa"/>
          </w:tcPr>
          <w:p w:rsidR="00017FDA" w:rsidRPr="00774A86" w:rsidRDefault="00017FDA" w:rsidP="00E22D88">
            <w:pPr>
              <w:spacing w:before="120" w:after="120"/>
              <w:rPr>
                <w:sz w:val="20"/>
                <w:lang w:eastAsia="en-US"/>
              </w:rPr>
            </w:pPr>
            <w:r w:rsidRPr="00774A86">
              <w:rPr>
                <w:sz w:val="20"/>
                <w:lang w:eastAsia="en-US"/>
              </w:rPr>
              <w:t>A NFE is generally treated as “passive” if, in the preceding reporting period, 50% or more of its gross income is passive income, or 50% or more of its financial assets held produce passive income.  A passive NFE also includes certain investment entities that are not participating jurisdiction financial institutions.</w:t>
            </w:r>
          </w:p>
          <w:p w:rsidR="00017FDA" w:rsidRPr="00774A86" w:rsidRDefault="00017FDA" w:rsidP="00E22D88">
            <w:pPr>
              <w:spacing w:before="120" w:after="120"/>
              <w:rPr>
                <w:sz w:val="20"/>
                <w:lang w:eastAsia="en-US"/>
              </w:rPr>
            </w:pPr>
            <w:r w:rsidRPr="00774A86">
              <w:rPr>
                <w:sz w:val="20"/>
                <w:lang w:eastAsia="en-US"/>
              </w:rPr>
              <w:t>Note</w:t>
            </w:r>
            <w:proofErr w:type="gramStart"/>
            <w:r w:rsidRPr="00774A86">
              <w:rPr>
                <w:sz w:val="20"/>
                <w:lang w:eastAsia="en-US"/>
              </w:rPr>
              <w:t>,</w:t>
            </w:r>
            <w:proofErr w:type="gramEnd"/>
            <w:r w:rsidRPr="00774A86">
              <w:rPr>
                <w:sz w:val="20"/>
                <w:lang w:eastAsia="en-US"/>
              </w:rPr>
              <w:t xml:space="preserve"> certain entities (for example, registered charities) are treated as active NFEs </w:t>
            </w:r>
            <w:r w:rsidRPr="00774A86">
              <w:rPr>
                <w:b/>
                <w:sz w:val="20"/>
                <w:lang w:eastAsia="en-US"/>
              </w:rPr>
              <w:t>irrespective of</w:t>
            </w:r>
            <w:r w:rsidRPr="00774A86">
              <w:rPr>
                <w:sz w:val="20"/>
                <w:lang w:eastAsia="en-US"/>
              </w:rPr>
              <w:t xml:space="preserve"> whether they derive predominantly passive income from passive assets.</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lastRenderedPageBreak/>
              <w:t>Related entity</w:t>
            </w:r>
          </w:p>
        </w:tc>
        <w:tc>
          <w:tcPr>
            <w:tcW w:w="6111" w:type="dxa"/>
          </w:tcPr>
          <w:p w:rsidR="00017FDA" w:rsidRPr="00774A86" w:rsidRDefault="00017FDA" w:rsidP="00E22D88">
            <w:pPr>
              <w:spacing w:before="120" w:after="120"/>
              <w:rPr>
                <w:sz w:val="20"/>
                <w:lang w:eastAsia="en-US"/>
              </w:rPr>
            </w:pPr>
            <w:r w:rsidRPr="00774A86">
              <w:rPr>
                <w:sz w:val="20"/>
                <w:lang w:eastAsia="en-US"/>
              </w:rPr>
              <w:t>An entity is a “related entity” of another entity if either controls the other, or the entities are under common control.  “Control” includes direct or indirect ownership of more than 50% of the voting and value in an entity.  There is scope for participating jurisdictions to adopt an expanded definition of “related entity”.</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t>Reportable account</w:t>
            </w:r>
          </w:p>
        </w:tc>
        <w:tc>
          <w:tcPr>
            <w:tcW w:w="6111" w:type="dxa"/>
          </w:tcPr>
          <w:p w:rsidR="00017FDA" w:rsidRPr="00774A86" w:rsidRDefault="00017FDA" w:rsidP="00E22D88">
            <w:pPr>
              <w:spacing w:before="120" w:after="120"/>
              <w:rPr>
                <w:sz w:val="20"/>
                <w:lang w:eastAsia="en-US"/>
              </w:rPr>
            </w:pPr>
            <w:r w:rsidRPr="00774A86">
              <w:rPr>
                <w:sz w:val="20"/>
                <w:lang w:eastAsia="en-US"/>
              </w:rPr>
              <w:t>Certain financial accounts held or controlled by non-resident persons that are resident in a reportable jurisdiction, including those held by a reportable person (individual or entity); and those held by a passive NFE with one or more controlling persons that is a reportable person.</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t>Reportable account information</w:t>
            </w:r>
          </w:p>
        </w:tc>
        <w:tc>
          <w:tcPr>
            <w:tcW w:w="6111" w:type="dxa"/>
          </w:tcPr>
          <w:p w:rsidR="00017FDA" w:rsidRPr="00774A86" w:rsidRDefault="00017FDA" w:rsidP="00E22D88">
            <w:pPr>
              <w:spacing w:before="120" w:after="120"/>
              <w:rPr>
                <w:sz w:val="20"/>
                <w:lang w:eastAsia="en-US"/>
              </w:rPr>
            </w:pPr>
            <w:r w:rsidRPr="00774A86">
              <w:rPr>
                <w:sz w:val="20"/>
                <w:lang w:eastAsia="en-US"/>
              </w:rPr>
              <w:t xml:space="preserve">Information which reporting financial institutions are generally required to report with respect to each reportable account which comprises of personal data (for example, name, address, residence, TIN, </w:t>
            </w:r>
            <w:proofErr w:type="spellStart"/>
            <w:r w:rsidRPr="00774A86">
              <w:rPr>
                <w:sz w:val="20"/>
                <w:lang w:eastAsia="en-US"/>
              </w:rPr>
              <w:t>etc</w:t>
            </w:r>
            <w:proofErr w:type="spellEnd"/>
            <w:r w:rsidRPr="00774A86">
              <w:rPr>
                <w:sz w:val="20"/>
                <w:lang w:eastAsia="en-US"/>
              </w:rPr>
              <w:t xml:space="preserve">) and financial data (for example, interest or dividend income and balances, values of certain insurance products, sales proceeds from financial assets, </w:t>
            </w:r>
            <w:proofErr w:type="spellStart"/>
            <w:r w:rsidRPr="00774A86">
              <w:rPr>
                <w:sz w:val="20"/>
                <w:lang w:eastAsia="en-US"/>
              </w:rPr>
              <w:t>etc</w:t>
            </w:r>
            <w:proofErr w:type="spellEnd"/>
            <w:r w:rsidRPr="00774A86">
              <w:rPr>
                <w:sz w:val="20"/>
                <w:lang w:eastAsia="en-US"/>
              </w:rPr>
              <w:t>).</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t>Reporting financial institution</w:t>
            </w:r>
          </w:p>
        </w:tc>
        <w:tc>
          <w:tcPr>
            <w:tcW w:w="6111" w:type="dxa"/>
          </w:tcPr>
          <w:p w:rsidR="00017FDA" w:rsidRPr="00774A86" w:rsidRDefault="00017FDA" w:rsidP="00E22D88">
            <w:pPr>
              <w:spacing w:before="120" w:after="120"/>
              <w:rPr>
                <w:sz w:val="20"/>
                <w:lang w:eastAsia="en-US"/>
              </w:rPr>
            </w:pPr>
            <w:r w:rsidRPr="00774A86">
              <w:rPr>
                <w:sz w:val="20"/>
                <w:lang w:eastAsia="en-US"/>
              </w:rPr>
              <w:t>Generally any Financial Institution that is not a non-reporting financial institution, and is therefore required to carry out due diligence on its non-exempt financial accounts and report under the CRS if it has any reportable accounts or undocumented accounts.</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t>Reportable jurisdiction</w:t>
            </w:r>
          </w:p>
        </w:tc>
        <w:tc>
          <w:tcPr>
            <w:tcW w:w="6111" w:type="dxa"/>
          </w:tcPr>
          <w:p w:rsidR="00017FDA" w:rsidRPr="00774A86" w:rsidRDefault="00017FDA" w:rsidP="00E22D88">
            <w:pPr>
              <w:spacing w:before="120" w:after="120"/>
              <w:rPr>
                <w:sz w:val="20"/>
                <w:lang w:eastAsia="en-US"/>
              </w:rPr>
            </w:pPr>
            <w:r w:rsidRPr="00774A86">
              <w:rPr>
                <w:sz w:val="20"/>
                <w:lang w:eastAsia="en-US"/>
              </w:rPr>
              <w:t>An overseas jurisdiction that has an agreement with New Zealand to exchange CRS information and is identified in a published list.</w:t>
            </w:r>
          </w:p>
          <w:p w:rsidR="00017FDA" w:rsidRPr="00774A86" w:rsidRDefault="00017FDA" w:rsidP="00E22D88">
            <w:pPr>
              <w:spacing w:before="120" w:after="120"/>
              <w:rPr>
                <w:sz w:val="20"/>
                <w:lang w:eastAsia="en-US"/>
              </w:rPr>
            </w:pPr>
            <w:r w:rsidRPr="00774A86">
              <w:rPr>
                <w:sz w:val="20"/>
                <w:lang w:eastAsia="en-US"/>
              </w:rPr>
              <w:t xml:space="preserve">There is also scope for a participating jurisdiction to treat any </w:t>
            </w:r>
            <w:r w:rsidRPr="00774A86">
              <w:rPr>
                <w:b/>
                <w:sz w:val="20"/>
                <w:lang w:eastAsia="en-US"/>
              </w:rPr>
              <w:t>non-resident jurisdiction</w:t>
            </w:r>
            <w:r w:rsidRPr="00774A86">
              <w:rPr>
                <w:sz w:val="20"/>
                <w:lang w:eastAsia="en-US"/>
              </w:rPr>
              <w:t xml:space="preserve"> as being a “reportable jurisdiction”.  This is known as the “wider approach” to CRS, which is one of the issues consulted upon in this issues paper.</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t>Reportable person</w:t>
            </w:r>
          </w:p>
        </w:tc>
        <w:tc>
          <w:tcPr>
            <w:tcW w:w="6111" w:type="dxa"/>
          </w:tcPr>
          <w:p w:rsidR="00017FDA" w:rsidRPr="00774A86" w:rsidRDefault="00017FDA" w:rsidP="00E22D88">
            <w:pPr>
              <w:spacing w:before="120" w:after="120"/>
              <w:rPr>
                <w:sz w:val="20"/>
                <w:lang w:eastAsia="en-US"/>
              </w:rPr>
            </w:pPr>
            <w:r w:rsidRPr="00774A86">
              <w:rPr>
                <w:sz w:val="20"/>
                <w:lang w:eastAsia="en-US"/>
              </w:rPr>
              <w:t>Is a reportable jurisdiction person other than: a company the shares of which are regularly traded on an established securities market (including any related company); a governmental entity; an international organisation; a central bank; or a financial institution.</w:t>
            </w:r>
          </w:p>
          <w:p w:rsidR="00017FDA" w:rsidRPr="00774A86" w:rsidRDefault="00017FDA" w:rsidP="00E22D88">
            <w:pPr>
              <w:spacing w:before="120" w:after="120"/>
              <w:rPr>
                <w:sz w:val="20"/>
                <w:lang w:eastAsia="en-US"/>
              </w:rPr>
            </w:pPr>
            <w:r w:rsidRPr="00774A86">
              <w:rPr>
                <w:sz w:val="20"/>
                <w:lang w:eastAsia="en-US"/>
              </w:rPr>
              <w:t xml:space="preserve">There is also scope for a participating jurisdiction to treat a controlling person of a passive NFE account holder that is </w:t>
            </w:r>
            <w:r w:rsidRPr="00774A86">
              <w:rPr>
                <w:b/>
                <w:sz w:val="20"/>
                <w:lang w:eastAsia="en-US"/>
              </w:rPr>
              <w:t>resident in that Jurisdiction</w:t>
            </w:r>
            <w:r w:rsidRPr="00774A86">
              <w:rPr>
                <w:sz w:val="20"/>
                <w:lang w:eastAsia="en-US"/>
              </w:rPr>
              <w:t xml:space="preserve"> as also being a “reportable person”, which is also one of the issues consulted upon in this issues paper.</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t>Reportable jurisdiction person</w:t>
            </w:r>
          </w:p>
        </w:tc>
        <w:tc>
          <w:tcPr>
            <w:tcW w:w="6111" w:type="dxa"/>
          </w:tcPr>
          <w:p w:rsidR="00017FDA" w:rsidRPr="00774A86" w:rsidRDefault="00017FDA" w:rsidP="00E22D88">
            <w:pPr>
              <w:spacing w:before="120" w:after="120"/>
              <w:rPr>
                <w:sz w:val="20"/>
                <w:lang w:eastAsia="en-US"/>
              </w:rPr>
            </w:pPr>
            <w:r w:rsidRPr="00774A86">
              <w:rPr>
                <w:sz w:val="20"/>
                <w:lang w:eastAsia="en-US"/>
              </w:rPr>
              <w:t>Generally an individual or entity that is resident in a reportable jurisdiction under the tax laws of such Jurisdiction, or an estate of a decedent that was resident of a reportable jurisdiction.  An exception is an entity such as a partnership, limited liability partnership or similar legal arrangement that has no residence for tax purposes which shall be treated as resident in the jurisdiction in which its place of effective management is situated.</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t>Self-certification</w:t>
            </w:r>
          </w:p>
        </w:tc>
        <w:tc>
          <w:tcPr>
            <w:tcW w:w="6111" w:type="dxa"/>
          </w:tcPr>
          <w:p w:rsidR="00017FDA" w:rsidRPr="00774A86" w:rsidRDefault="00017FDA" w:rsidP="00E22D88">
            <w:pPr>
              <w:spacing w:before="120" w:after="120"/>
              <w:rPr>
                <w:sz w:val="20"/>
                <w:lang w:eastAsia="en-US"/>
              </w:rPr>
            </w:pPr>
            <w:r w:rsidRPr="00774A86">
              <w:rPr>
                <w:sz w:val="20"/>
                <w:lang w:eastAsia="en-US"/>
              </w:rPr>
              <w:t>A reporting financial institution requesting an account holder (and in certain circumstances a controlling person) to certify their identity and tax residency and obtaining such a certification.</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t>Specified insurance company</w:t>
            </w:r>
          </w:p>
        </w:tc>
        <w:tc>
          <w:tcPr>
            <w:tcW w:w="6111" w:type="dxa"/>
          </w:tcPr>
          <w:p w:rsidR="00017FDA" w:rsidRPr="00774A86" w:rsidRDefault="00017FDA" w:rsidP="00E22D88">
            <w:pPr>
              <w:spacing w:before="120" w:after="120"/>
              <w:rPr>
                <w:sz w:val="20"/>
                <w:lang w:eastAsia="en-US"/>
              </w:rPr>
            </w:pPr>
            <w:r w:rsidRPr="00774A86">
              <w:rPr>
                <w:sz w:val="20"/>
                <w:lang w:eastAsia="en-US"/>
              </w:rPr>
              <w:t>Any entity that is an insurance company (or the holding company of one) that issues, or is obligated to make payments with respect to, a cash value insurance contract or an annuity contract.</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t>TAA</w:t>
            </w:r>
          </w:p>
        </w:tc>
        <w:tc>
          <w:tcPr>
            <w:tcW w:w="6111" w:type="dxa"/>
          </w:tcPr>
          <w:p w:rsidR="00017FDA" w:rsidRPr="00774A86" w:rsidRDefault="00017FDA" w:rsidP="00E22D88">
            <w:pPr>
              <w:spacing w:before="120" w:after="120"/>
              <w:rPr>
                <w:sz w:val="20"/>
                <w:lang w:eastAsia="en-US"/>
              </w:rPr>
            </w:pPr>
            <w:r w:rsidRPr="00774A86">
              <w:rPr>
                <w:sz w:val="20"/>
                <w:lang w:eastAsia="en-US"/>
              </w:rPr>
              <w:t>Tax Administration Act 1994.</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t>Tax residency</w:t>
            </w:r>
          </w:p>
        </w:tc>
        <w:tc>
          <w:tcPr>
            <w:tcW w:w="6111" w:type="dxa"/>
          </w:tcPr>
          <w:p w:rsidR="00017FDA" w:rsidRPr="00774A86" w:rsidRDefault="00017FDA" w:rsidP="00E22D88">
            <w:pPr>
              <w:spacing w:before="120" w:after="120"/>
              <w:rPr>
                <w:sz w:val="20"/>
                <w:lang w:eastAsia="en-US"/>
              </w:rPr>
            </w:pPr>
            <w:r w:rsidRPr="00774A86">
              <w:rPr>
                <w:sz w:val="20"/>
              </w:rPr>
              <w:t>This is based on where an individual or entity is tax resident under the law of a jurisdiction.</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lastRenderedPageBreak/>
              <w:t>TIN</w:t>
            </w:r>
          </w:p>
        </w:tc>
        <w:tc>
          <w:tcPr>
            <w:tcW w:w="6111" w:type="dxa"/>
          </w:tcPr>
          <w:p w:rsidR="00017FDA" w:rsidRPr="00774A86" w:rsidRDefault="00017FDA" w:rsidP="00E22D88">
            <w:pPr>
              <w:spacing w:before="120" w:after="120"/>
              <w:rPr>
                <w:sz w:val="20"/>
                <w:lang w:eastAsia="en-US"/>
              </w:rPr>
            </w:pPr>
            <w:r w:rsidRPr="00774A86">
              <w:rPr>
                <w:sz w:val="20"/>
                <w:lang w:eastAsia="en-US"/>
              </w:rPr>
              <w:t>“Taxpayer Identification Number” (or functional equivalent in the absence of a TIN).  A TIN is assigned and used by a jurisdiction to identify an individual or an entity.</w:t>
            </w:r>
          </w:p>
        </w:tc>
      </w:tr>
      <w:tr w:rsidR="00017FDA" w:rsidRPr="00774A86" w:rsidTr="005048B4">
        <w:trPr>
          <w:cantSplit/>
        </w:trPr>
        <w:tc>
          <w:tcPr>
            <w:tcW w:w="2309" w:type="dxa"/>
          </w:tcPr>
          <w:p w:rsidR="00017FDA" w:rsidRPr="00774A86" w:rsidRDefault="00017FDA" w:rsidP="00E65F33">
            <w:pPr>
              <w:spacing w:before="120" w:after="120"/>
              <w:jc w:val="left"/>
              <w:rPr>
                <w:b/>
                <w:sz w:val="20"/>
                <w:lang w:eastAsia="en-US"/>
              </w:rPr>
            </w:pPr>
            <w:r w:rsidRPr="00774A86">
              <w:rPr>
                <w:b/>
                <w:sz w:val="20"/>
                <w:lang w:eastAsia="en-US"/>
              </w:rPr>
              <w:t>Undocumented account</w:t>
            </w:r>
          </w:p>
        </w:tc>
        <w:tc>
          <w:tcPr>
            <w:tcW w:w="6111" w:type="dxa"/>
          </w:tcPr>
          <w:p w:rsidR="00017FDA" w:rsidRPr="00774A86" w:rsidRDefault="00017FDA" w:rsidP="00E22D88">
            <w:pPr>
              <w:spacing w:before="120" w:after="120"/>
              <w:rPr>
                <w:sz w:val="20"/>
                <w:lang w:eastAsia="en-US"/>
              </w:rPr>
            </w:pPr>
            <w:r w:rsidRPr="00774A86">
              <w:rPr>
                <w:sz w:val="20"/>
                <w:lang w:eastAsia="en-US"/>
              </w:rPr>
              <w:t>Undocumented accounts generally arise when a reporting financial institution is unable to obtain information from an account holder regarding pre-existing accounts.  This can result from inadequate procedures implemented by a reporting Financial Institution to obtain the necessary information, or from non-compliance by the account holder.</w:t>
            </w:r>
          </w:p>
        </w:tc>
      </w:tr>
    </w:tbl>
    <w:p w:rsidR="0077285A" w:rsidRPr="00774A86" w:rsidRDefault="0077285A" w:rsidP="00017FDA">
      <w:pPr>
        <w:jc w:val="left"/>
      </w:pPr>
    </w:p>
    <w:sectPr w:rsidR="0077285A" w:rsidRPr="00774A86" w:rsidSect="0043595D">
      <w:headerReference w:type="even" r:id="rId11"/>
      <w:headerReference w:type="default" r:id="rId12"/>
      <w:footerReference w:type="even" r:id="rId13"/>
      <w:footerReference w:type="default" r:id="rId14"/>
      <w:headerReference w:type="first" r:id="rId15"/>
      <w:footerReference w:type="first" r:id="rId16"/>
      <w:type w:val="oddPage"/>
      <w:pgSz w:w="11906" w:h="16838" w:code="9"/>
      <w:pgMar w:top="1276" w:right="1797" w:bottom="851" w:left="1797" w:header="709" w:footer="27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BA4" w:rsidRDefault="00CB7BA4">
      <w:r>
        <w:separator/>
      </w:r>
    </w:p>
  </w:endnote>
  <w:endnote w:type="continuationSeparator" w:id="0">
    <w:p w:rsidR="00CB7BA4" w:rsidRDefault="00CB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BA4" w:rsidRDefault="00CB7BA4" w:rsidP="00725975">
    <w:pPr>
      <w:pStyle w:val="Footer"/>
      <w:tabs>
        <w:tab w:val="clear" w:pos="4153"/>
      </w:tabs>
      <w:ind w:right="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BA4" w:rsidRPr="00CF3461" w:rsidRDefault="00CB7BA4" w:rsidP="0003164B">
    <w:pPr>
      <w:pStyle w:val="Footer"/>
      <w:tabs>
        <w:tab w:val="clear" w:pos="4153"/>
      </w:tabs>
      <w:ind w:right="32"/>
      <w:jc w:val="center"/>
      <w:rPr>
        <w:sz w:val="22"/>
        <w:szCs w:val="22"/>
      </w:rPr>
    </w:pPr>
    <w:r w:rsidRPr="00CF3461">
      <w:rPr>
        <w:rStyle w:val="PageNumber"/>
      </w:rPr>
      <w:fldChar w:fldCharType="begin"/>
    </w:r>
    <w:r w:rsidRPr="00CF3461">
      <w:rPr>
        <w:rStyle w:val="PageNumber"/>
      </w:rPr>
      <w:instrText xml:space="preserve"> PAGE </w:instrText>
    </w:r>
    <w:r w:rsidRPr="00CF3461">
      <w:rPr>
        <w:rStyle w:val="PageNumber"/>
      </w:rPr>
      <w:fldChar w:fldCharType="separate"/>
    </w:r>
    <w:r w:rsidR="001203A8">
      <w:rPr>
        <w:rStyle w:val="PageNumber"/>
        <w:noProof/>
      </w:rPr>
      <w:t>40</w:t>
    </w:r>
    <w:r w:rsidRPr="00CF3461">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BA4" w:rsidRPr="0043595D" w:rsidRDefault="00CB7BA4" w:rsidP="00F36FF2">
    <w:pPr>
      <w:pStyle w:val="Footer"/>
      <w:tabs>
        <w:tab w:val="clear" w:pos="4153"/>
        <w:tab w:val="center" w:pos="4156"/>
      </w:tabs>
      <w:jc w:val="center"/>
      <w:rPr>
        <w:sz w:val="22"/>
        <w:szCs w:val="22"/>
      </w:rPr>
    </w:pPr>
    <w:r w:rsidRPr="0043595D">
      <w:rPr>
        <w:rStyle w:val="PageNumber"/>
      </w:rPr>
      <w:fldChar w:fldCharType="begin"/>
    </w:r>
    <w:r w:rsidRPr="0043595D">
      <w:rPr>
        <w:rStyle w:val="PageNumber"/>
      </w:rPr>
      <w:instrText xml:space="preserve"> PAGE </w:instrText>
    </w:r>
    <w:r w:rsidRPr="0043595D">
      <w:rPr>
        <w:rStyle w:val="PageNumber"/>
      </w:rPr>
      <w:fldChar w:fldCharType="separate"/>
    </w:r>
    <w:r w:rsidR="001203A8">
      <w:rPr>
        <w:rStyle w:val="PageNumber"/>
        <w:noProof/>
      </w:rPr>
      <w:t>41</w:t>
    </w:r>
    <w:r w:rsidRPr="0043595D">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BA4" w:rsidRPr="000420F3" w:rsidRDefault="00CB7BA4" w:rsidP="00096603">
    <w:pPr>
      <w:pStyle w:val="Footer"/>
      <w:jc w:val="center"/>
      <w:rPr>
        <w:sz w:val="22"/>
        <w:szCs w:val="22"/>
      </w:rPr>
    </w:pPr>
    <w:r w:rsidRPr="000420F3">
      <w:rPr>
        <w:sz w:val="22"/>
        <w:szCs w:val="22"/>
      </w:rPr>
      <w:fldChar w:fldCharType="begin"/>
    </w:r>
    <w:r w:rsidRPr="000420F3">
      <w:rPr>
        <w:rStyle w:val="PageNumber"/>
      </w:rPr>
      <w:instrText xml:space="preserve"> PAGE </w:instrText>
    </w:r>
    <w:r w:rsidRPr="000420F3">
      <w:rPr>
        <w:sz w:val="22"/>
        <w:szCs w:val="22"/>
      </w:rPr>
      <w:fldChar w:fldCharType="separate"/>
    </w:r>
    <w:r w:rsidR="004A492E">
      <w:rPr>
        <w:rStyle w:val="PageNumber"/>
        <w:noProof/>
      </w:rPr>
      <w:t>1</w:t>
    </w:r>
    <w:r w:rsidRPr="000420F3">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BA4" w:rsidRDefault="00CB7BA4">
      <w:r>
        <w:separator/>
      </w:r>
    </w:p>
  </w:footnote>
  <w:footnote w:type="continuationSeparator" w:id="0">
    <w:p w:rsidR="00CB7BA4" w:rsidRDefault="00CB7BA4">
      <w:r>
        <w:continuationSeparator/>
      </w:r>
    </w:p>
  </w:footnote>
  <w:footnote w:id="1">
    <w:p w:rsidR="00CB7BA4" w:rsidRPr="00774A86" w:rsidRDefault="00CB7BA4" w:rsidP="00132976">
      <w:pPr>
        <w:pStyle w:val="FootnoteText"/>
        <w:ind w:left="142" w:hanging="142"/>
        <w:jc w:val="both"/>
      </w:pPr>
      <w:r w:rsidRPr="00774A86">
        <w:rPr>
          <w:rStyle w:val="FootnoteReference"/>
        </w:rPr>
        <w:footnoteRef/>
      </w:r>
      <w:r w:rsidRPr="00774A86">
        <w:t xml:space="preserve"> See Chapter 2 of this issues paper, which sets out those financial institutions that will have due diligence and reporting obligations.</w:t>
      </w:r>
    </w:p>
  </w:footnote>
  <w:footnote w:id="2">
    <w:p w:rsidR="00CB7BA4" w:rsidRPr="00774A86" w:rsidRDefault="00CB7BA4" w:rsidP="00132976">
      <w:pPr>
        <w:pStyle w:val="FootnoteText"/>
        <w:ind w:left="142" w:hanging="142"/>
        <w:jc w:val="both"/>
      </w:pPr>
      <w:r w:rsidRPr="00774A86">
        <w:rPr>
          <w:rStyle w:val="FootnoteReference"/>
        </w:rPr>
        <w:footnoteRef/>
      </w:r>
      <w:r w:rsidRPr="00774A86">
        <w:t xml:space="preserve"> See Chapter 2 of this issues paper.</w:t>
      </w:r>
    </w:p>
  </w:footnote>
  <w:footnote w:id="3">
    <w:p w:rsidR="00CB7BA4" w:rsidRPr="00774A86" w:rsidRDefault="00CB7BA4" w:rsidP="00132976">
      <w:pPr>
        <w:pStyle w:val="FootnoteText"/>
        <w:ind w:left="142" w:hanging="142"/>
        <w:jc w:val="both"/>
      </w:pPr>
      <w:r w:rsidRPr="00774A86">
        <w:rPr>
          <w:rStyle w:val="FootnoteReference"/>
        </w:rPr>
        <w:footnoteRef/>
      </w:r>
      <w:r w:rsidRPr="00774A86">
        <w:t xml:space="preserve"> This applies to accounts held by passive NFEs.  See the Glossary at the end of this issues paper.</w:t>
      </w:r>
    </w:p>
  </w:footnote>
  <w:footnote w:id="4">
    <w:p w:rsidR="00CB7BA4" w:rsidRPr="00774A86" w:rsidRDefault="00CB7BA4" w:rsidP="00132976">
      <w:pPr>
        <w:pStyle w:val="FootnoteText"/>
        <w:jc w:val="both"/>
      </w:pPr>
      <w:r w:rsidRPr="00774A86">
        <w:rPr>
          <w:rStyle w:val="FootnoteReference"/>
        </w:rPr>
        <w:footnoteRef/>
      </w:r>
      <w:r w:rsidRPr="00774A86">
        <w:t xml:space="preserve"> As explained in detail in the Appendix, an account holder is sometimes treated as being resident for tax purposes in a jurisdiction based on indicia (of such residence) that is not “cured”.  Furthermore, for the purposes of CRS due diligence, an Entity such as a partnership, limited liability partnership or similar legal arrangement that has no residence for tax purposes shall be treated as resident in the jurisdiction in which its place of effective management is situated.</w:t>
      </w:r>
    </w:p>
  </w:footnote>
  <w:footnote w:id="5">
    <w:p w:rsidR="00CB7BA4" w:rsidRPr="00774A86" w:rsidRDefault="00CB7BA4" w:rsidP="00132976">
      <w:pPr>
        <w:pStyle w:val="FootnoteText"/>
        <w:ind w:left="142" w:hanging="142"/>
        <w:jc w:val="both"/>
      </w:pPr>
      <w:r w:rsidRPr="00774A86">
        <w:rPr>
          <w:rStyle w:val="FootnoteReference"/>
        </w:rPr>
        <w:footnoteRef/>
      </w:r>
      <w:r w:rsidRPr="00774A86">
        <w:t xml:space="preserve"> See the Glossary at the end of this issues paper.</w:t>
      </w:r>
    </w:p>
  </w:footnote>
  <w:footnote w:id="6">
    <w:p w:rsidR="00CB7BA4" w:rsidRPr="00774A86" w:rsidRDefault="00CB7BA4" w:rsidP="00132976">
      <w:pPr>
        <w:pStyle w:val="FootnoteText"/>
        <w:ind w:left="142" w:hanging="142"/>
        <w:jc w:val="both"/>
      </w:pPr>
      <w:r w:rsidRPr="00774A86">
        <w:rPr>
          <w:rStyle w:val="FootnoteReference"/>
        </w:rPr>
        <w:footnoteRef/>
      </w:r>
      <w:r w:rsidRPr="00774A86">
        <w:t xml:space="preserve"> See the Glossary at the end of this issues paper.</w:t>
      </w:r>
    </w:p>
  </w:footnote>
  <w:footnote w:id="7">
    <w:p w:rsidR="00CB7BA4" w:rsidRPr="00774A86" w:rsidRDefault="00CB7BA4" w:rsidP="00B243C8">
      <w:pPr>
        <w:pStyle w:val="FootnoteText"/>
        <w:jc w:val="both"/>
      </w:pPr>
      <w:r w:rsidRPr="00774A86">
        <w:rPr>
          <w:rStyle w:val="FootnoteReference"/>
        </w:rPr>
        <w:footnoteRef/>
      </w:r>
      <w:r w:rsidRPr="00774A86">
        <w:t xml:space="preserve"> This is subject to the potential application of the “wider” approach, which is canvassed in this issues paper.</w:t>
      </w:r>
    </w:p>
  </w:footnote>
  <w:footnote w:id="8">
    <w:p w:rsidR="00CB7BA4" w:rsidRPr="00774A86" w:rsidRDefault="00CB7BA4" w:rsidP="00B243C8">
      <w:pPr>
        <w:pStyle w:val="FootnoteText"/>
        <w:jc w:val="both"/>
      </w:pPr>
      <w:r w:rsidRPr="00774A86">
        <w:rPr>
          <w:rStyle w:val="FootnoteReference"/>
        </w:rPr>
        <w:footnoteRef/>
      </w:r>
      <w:r w:rsidRPr="00774A86">
        <w:t xml:space="preserve"> These are defined in the CRS as “Passive NFEs”.  See the Glossary at the end of this issues paper.</w:t>
      </w:r>
    </w:p>
  </w:footnote>
  <w:footnote w:id="9">
    <w:p w:rsidR="00CB7BA4" w:rsidRPr="00774A86" w:rsidRDefault="00CB7BA4" w:rsidP="00B243C8">
      <w:pPr>
        <w:pStyle w:val="FootnoteText"/>
        <w:jc w:val="both"/>
      </w:pPr>
      <w:r w:rsidRPr="00774A86">
        <w:rPr>
          <w:rStyle w:val="FootnoteReference"/>
        </w:rPr>
        <w:footnoteRef/>
      </w:r>
      <w:r w:rsidRPr="00774A86">
        <w:t xml:space="preserve"> See the Glossary at the end of this issues paper.</w:t>
      </w:r>
    </w:p>
  </w:footnote>
  <w:footnote w:id="10">
    <w:p w:rsidR="00CB7BA4" w:rsidRPr="00774A86" w:rsidRDefault="00CB7BA4" w:rsidP="00B243C8">
      <w:pPr>
        <w:pStyle w:val="FootnoteText"/>
        <w:jc w:val="both"/>
      </w:pPr>
      <w:r w:rsidRPr="00774A86">
        <w:rPr>
          <w:rStyle w:val="FootnoteReference"/>
        </w:rPr>
        <w:footnoteRef/>
      </w:r>
      <w:r w:rsidRPr="00774A86">
        <w:t xml:space="preserve"> See the Glossary at the end of this issues paper.</w:t>
      </w:r>
    </w:p>
  </w:footnote>
  <w:footnote w:id="11">
    <w:p w:rsidR="00CB7BA4" w:rsidRPr="00774A86" w:rsidRDefault="00CB7BA4" w:rsidP="00B243C8">
      <w:pPr>
        <w:pStyle w:val="FootnoteText"/>
        <w:jc w:val="both"/>
      </w:pPr>
      <w:r w:rsidRPr="00774A86">
        <w:rPr>
          <w:rStyle w:val="FootnoteReference"/>
        </w:rPr>
        <w:footnoteRef/>
      </w:r>
      <w:r w:rsidRPr="00774A86">
        <w:t xml:space="preserve"> This represents a key difference from FATCA.  A withholding tax regime applies in the United States to promote FATCA compliance.  No similar international measure exists for AEOI.</w:t>
      </w:r>
    </w:p>
  </w:footnote>
  <w:footnote w:id="12">
    <w:p w:rsidR="00CB7BA4" w:rsidRPr="00774A86" w:rsidRDefault="00CB7BA4" w:rsidP="00B243C8">
      <w:pPr>
        <w:pStyle w:val="FootnoteText"/>
      </w:pPr>
      <w:r w:rsidRPr="00774A86">
        <w:rPr>
          <w:rStyle w:val="FootnoteReference"/>
        </w:rPr>
        <w:footnoteRef/>
      </w:r>
      <w:r w:rsidRPr="00774A86">
        <w:t xml:space="preserve"> See http://www.oecd.org/ctp/exchange-of-tax-information/conventiononmutualadministrativeassistancein</w:t>
      </w:r>
      <w:r>
        <w:br/>
      </w:r>
      <w:r w:rsidRPr="00774A86">
        <w:t>taxmatters.htm</w:t>
      </w:r>
    </w:p>
  </w:footnote>
  <w:footnote w:id="13">
    <w:p w:rsidR="00CB7BA4" w:rsidRPr="00774A86" w:rsidRDefault="00CB7BA4" w:rsidP="00B243C8">
      <w:pPr>
        <w:pStyle w:val="FootnoteText"/>
        <w:jc w:val="both"/>
      </w:pPr>
      <w:r w:rsidRPr="00774A86">
        <w:rPr>
          <w:rStyle w:val="FootnoteReference"/>
        </w:rPr>
        <w:footnoteRef/>
      </w:r>
      <w:r w:rsidRPr="00774A86">
        <w:t xml:space="preserve"> See http://www.oecd.org/tax/automatic-exchange/international-framework-for-the-crs</w:t>
      </w:r>
    </w:p>
  </w:footnote>
  <w:footnote w:id="14">
    <w:p w:rsidR="00CB7BA4" w:rsidRPr="00774A86" w:rsidRDefault="00CB7BA4" w:rsidP="00B243C8">
      <w:pPr>
        <w:pStyle w:val="FootnoteText"/>
        <w:jc w:val="both"/>
      </w:pPr>
      <w:r w:rsidRPr="00774A86">
        <w:rPr>
          <w:rStyle w:val="FootnoteReference"/>
        </w:rPr>
        <w:footnoteRef/>
      </w:r>
      <w:r w:rsidRPr="00774A86">
        <w:t xml:space="preserve"> We also have a 16</w:t>
      </w:r>
      <w:r w:rsidRPr="00774A86">
        <w:rPr>
          <w:vertAlign w:val="superscript"/>
        </w:rPr>
        <w:t>th</w:t>
      </w:r>
      <w:r w:rsidRPr="00774A86">
        <w:t xml:space="preserve"> DTA, with the Hong Kong Special Administrative Region of the People’s Republic of China, but this does not provide for automatic exchange.</w:t>
      </w:r>
    </w:p>
  </w:footnote>
  <w:footnote w:id="15">
    <w:p w:rsidR="00CB7BA4" w:rsidRPr="00774A86" w:rsidRDefault="00CB7BA4" w:rsidP="00B243C8">
      <w:pPr>
        <w:pStyle w:val="FootnoteText"/>
        <w:spacing w:before="80"/>
        <w:jc w:val="both"/>
      </w:pPr>
      <w:r w:rsidRPr="00774A86">
        <w:rPr>
          <w:rStyle w:val="FootnoteReference"/>
        </w:rPr>
        <w:footnoteRef/>
      </w:r>
      <w:r w:rsidRPr="00774A86">
        <w:t xml:space="preserve"> The distinction between “Reporting” Financial Institutions and “Non-Reporting” Financial Institutions is outlined below.</w:t>
      </w:r>
    </w:p>
  </w:footnote>
  <w:footnote w:id="16">
    <w:p w:rsidR="00CB7BA4" w:rsidRPr="00774A86" w:rsidRDefault="00CB7BA4" w:rsidP="00B243C8">
      <w:pPr>
        <w:pStyle w:val="FootnoteText"/>
        <w:spacing w:before="80"/>
        <w:jc w:val="both"/>
      </w:pPr>
      <w:r w:rsidRPr="00774A86">
        <w:rPr>
          <w:rStyle w:val="FootnoteReference"/>
        </w:rPr>
        <w:footnoteRef/>
      </w:r>
      <w:r w:rsidRPr="00774A86">
        <w:t xml:space="preserve"> This would apply where the reportable person is a controlling person of a passive NFE account holder.</w:t>
      </w:r>
    </w:p>
  </w:footnote>
  <w:footnote w:id="17">
    <w:p w:rsidR="00CB7BA4" w:rsidRPr="00774A86" w:rsidRDefault="00CB7BA4" w:rsidP="00B243C8">
      <w:pPr>
        <w:pStyle w:val="FootnoteText"/>
        <w:jc w:val="both"/>
      </w:pPr>
      <w:r w:rsidRPr="00774A86">
        <w:rPr>
          <w:rStyle w:val="FootnoteReference"/>
        </w:rPr>
        <w:footnoteRef/>
      </w:r>
      <w:r w:rsidRPr="00774A86">
        <w:t xml:space="preserve"> For this purpose, the term “entity” is to be interpreted widely.  For example, it includes trusts and hybrid entities.</w:t>
      </w:r>
    </w:p>
  </w:footnote>
  <w:footnote w:id="18">
    <w:p w:rsidR="00CB7BA4" w:rsidRPr="00774A86" w:rsidRDefault="00CB7BA4" w:rsidP="00B243C8">
      <w:pPr>
        <w:pStyle w:val="FootnoteText"/>
        <w:jc w:val="both"/>
      </w:pPr>
      <w:r w:rsidRPr="00774A86">
        <w:rPr>
          <w:rStyle w:val="FootnoteReference"/>
        </w:rPr>
        <w:footnoteRef/>
      </w:r>
      <w:r w:rsidRPr="00774A86">
        <w:t xml:space="preserve"> There is also scope under the “wider approach” canvassed in this paper, for all non-resident jurisdictions to be treated as being reportable jurisdictions.</w:t>
      </w:r>
    </w:p>
  </w:footnote>
  <w:footnote w:id="19">
    <w:p w:rsidR="00CB7BA4" w:rsidRPr="00774A86" w:rsidRDefault="00CB7BA4" w:rsidP="00B243C8">
      <w:pPr>
        <w:pStyle w:val="FootnoteText"/>
        <w:tabs>
          <w:tab w:val="left" w:pos="284"/>
        </w:tabs>
        <w:jc w:val="both"/>
      </w:pPr>
      <w:r w:rsidRPr="00774A86">
        <w:rPr>
          <w:rStyle w:val="FootnoteReference"/>
        </w:rPr>
        <w:footnoteRef/>
      </w:r>
      <w:r w:rsidRPr="00774A86">
        <w:t xml:space="preserve"> However, the CRS excludes payments derived from an obligation held in connection with a commercial financial activity of a type engaged in by a specified insurance company, custodial institution, or depository institution.</w:t>
      </w:r>
    </w:p>
  </w:footnote>
  <w:footnote w:id="20">
    <w:p w:rsidR="00CB7BA4" w:rsidRPr="00774A86" w:rsidRDefault="00CB7BA4" w:rsidP="00B243C8">
      <w:pPr>
        <w:pStyle w:val="FootnoteText"/>
        <w:jc w:val="both"/>
      </w:pPr>
      <w:r w:rsidRPr="00774A86">
        <w:rPr>
          <w:rStyle w:val="FootnoteReference"/>
        </w:rPr>
        <w:footnoteRef/>
      </w:r>
      <w:r w:rsidRPr="00774A86">
        <w:t xml:space="preserve"> However, the CRS also provides that listing such entities under domestic law as non-reporting financial institution must not frustrate the purposes of the CRS: see CRS Section </w:t>
      </w:r>
      <w:proofErr w:type="gramStart"/>
      <w:r w:rsidRPr="00774A86">
        <w:t>VIII.B(</w:t>
      </w:r>
      <w:proofErr w:type="gramEnd"/>
      <w:r w:rsidRPr="00774A86">
        <w:t>1)(c).</w:t>
      </w:r>
    </w:p>
  </w:footnote>
  <w:footnote w:id="21">
    <w:p w:rsidR="00CB7BA4" w:rsidRPr="00774A86" w:rsidRDefault="00CB7BA4" w:rsidP="00B243C8">
      <w:pPr>
        <w:pStyle w:val="FootnoteText"/>
        <w:jc w:val="both"/>
      </w:pPr>
      <w:r w:rsidRPr="00774A86">
        <w:rPr>
          <w:rStyle w:val="FootnoteReference"/>
        </w:rPr>
        <w:footnoteRef/>
      </w:r>
      <w:r w:rsidRPr="00774A86">
        <w:t xml:space="preserve"> CRS Section </w:t>
      </w:r>
      <w:proofErr w:type="gramStart"/>
      <w:r w:rsidRPr="00774A86">
        <w:t>VIII.B(</w:t>
      </w:r>
      <w:proofErr w:type="gramEnd"/>
      <w:r w:rsidRPr="00774A86">
        <w:t>1)(c), CRS Commentaries pp.166, and 170-173, and Implementation Handbook pp.38, 89, and 114-115.</w:t>
      </w:r>
    </w:p>
  </w:footnote>
  <w:footnote w:id="22">
    <w:p w:rsidR="00CB7BA4" w:rsidRPr="00774A86" w:rsidRDefault="00CB7BA4" w:rsidP="00B243C8">
      <w:pPr>
        <w:pStyle w:val="FootnoteText"/>
        <w:jc w:val="both"/>
      </w:pPr>
      <w:r w:rsidRPr="00774A86">
        <w:rPr>
          <w:rStyle w:val="FootnoteReference"/>
        </w:rPr>
        <w:footnoteRef/>
      </w:r>
      <w:r w:rsidRPr="00774A86">
        <w:t xml:space="preserve"> The CRS generally does not contain threshold exemptions from due diligence and reporting (</w:t>
      </w:r>
      <w:proofErr w:type="spellStart"/>
      <w:r w:rsidRPr="00774A86">
        <w:t>cf</w:t>
      </w:r>
      <w:proofErr w:type="spellEnd"/>
      <w:r w:rsidRPr="00774A86">
        <w:t xml:space="preserve"> FATCA).  However, as canvassed in this paper, there is scope for a participating jurisdiction to allow reporting financial institutions to exempt from review pre-existing entity accounts with a balance or value of less than US </w:t>
      </w:r>
      <w:r>
        <w:t>$</w:t>
      </w:r>
      <w:r w:rsidRPr="00774A86">
        <w:t>250,000 at the relevant date (set in implementing legislation).</w:t>
      </w:r>
    </w:p>
  </w:footnote>
  <w:footnote w:id="23">
    <w:p w:rsidR="00CB7BA4" w:rsidRPr="00774A86" w:rsidRDefault="00CB7BA4" w:rsidP="00482EDD">
      <w:pPr>
        <w:pStyle w:val="FootnoteText"/>
        <w:jc w:val="both"/>
      </w:pPr>
      <w:r w:rsidRPr="00774A86">
        <w:rPr>
          <w:rStyle w:val="FootnoteReference"/>
        </w:rPr>
        <w:footnoteRef/>
      </w:r>
      <w:r w:rsidRPr="00774A86">
        <w:t xml:space="preserve"> This applies to accounts held by passive NFEs.  See the Glossary at the end of this issues paper.</w:t>
      </w:r>
    </w:p>
  </w:footnote>
  <w:footnote w:id="24">
    <w:p w:rsidR="00CB7BA4" w:rsidRPr="00774A86" w:rsidRDefault="00CB7BA4" w:rsidP="00482EDD">
      <w:pPr>
        <w:pStyle w:val="FootnoteText"/>
        <w:jc w:val="both"/>
      </w:pPr>
      <w:r w:rsidRPr="00774A86">
        <w:rPr>
          <w:rStyle w:val="FootnoteReference"/>
        </w:rPr>
        <w:footnoteRef/>
      </w:r>
      <w:r w:rsidRPr="00774A86">
        <w:t xml:space="preserve"> For this purpose, the term “entity” is to be interpreted widely.  For example, it includes trusts and hybrid entities.  See the Glossary at the end of this issues paper.</w:t>
      </w:r>
    </w:p>
  </w:footnote>
  <w:footnote w:id="25">
    <w:p w:rsidR="00CB7BA4" w:rsidRPr="00774A86" w:rsidRDefault="00CB7BA4" w:rsidP="00482EDD">
      <w:pPr>
        <w:pStyle w:val="FootnoteText"/>
        <w:jc w:val="both"/>
      </w:pPr>
      <w:r w:rsidRPr="00774A86">
        <w:rPr>
          <w:rStyle w:val="FootnoteReference"/>
        </w:rPr>
        <w:footnoteRef/>
      </w:r>
      <w:r w:rsidRPr="00774A86">
        <w:t xml:space="preserve"> As explained in detail in the Appendix, an account is sometimes treated as being resident for tax purposes in a jurisdiction based on </w:t>
      </w:r>
      <w:proofErr w:type="gramStart"/>
      <w:r w:rsidRPr="00774A86">
        <w:t>indicia (of such residence) that is</w:t>
      </w:r>
      <w:proofErr w:type="gramEnd"/>
      <w:r w:rsidRPr="00774A86">
        <w:t xml:space="preserve"> not “cured”.  Furthermore, for the purposes of CRS due diligence, an entity such as a partnership, limited liability partnership or similar legal arrangement that has no residence for tax purposes shall be treated as resident in the jurisdiction in which its place of effective management is situated.</w:t>
      </w:r>
    </w:p>
  </w:footnote>
  <w:footnote w:id="26">
    <w:p w:rsidR="00CB7BA4" w:rsidRPr="00774A86" w:rsidRDefault="00CB7BA4" w:rsidP="00482EDD">
      <w:pPr>
        <w:pStyle w:val="FootnoteText"/>
        <w:jc w:val="both"/>
      </w:pPr>
      <w:r w:rsidRPr="00774A86">
        <w:rPr>
          <w:rStyle w:val="FootnoteReference"/>
        </w:rPr>
        <w:footnoteRef/>
      </w:r>
      <w:r w:rsidRPr="00774A86">
        <w:t xml:space="preserve"> However, this is subject to the application of the “wider approach” which is canvassed in this paper.</w:t>
      </w:r>
    </w:p>
  </w:footnote>
  <w:footnote w:id="27">
    <w:p w:rsidR="00CB7BA4" w:rsidRPr="00774A86" w:rsidRDefault="00CB7BA4" w:rsidP="00B243C8">
      <w:pPr>
        <w:pStyle w:val="FootnoteText"/>
        <w:tabs>
          <w:tab w:val="left" w:pos="284"/>
        </w:tabs>
        <w:jc w:val="both"/>
        <w:rPr>
          <w:rStyle w:val="FootnoteReference"/>
        </w:rPr>
      </w:pPr>
      <w:r w:rsidRPr="00774A86">
        <w:rPr>
          <w:rStyle w:val="FootnoteReference"/>
        </w:rPr>
        <w:footnoteRef/>
      </w:r>
      <w:r w:rsidRPr="00774A86">
        <w:t xml:space="preserve"> CRS Section VIII.C.17 (Excluded Account).</w:t>
      </w:r>
    </w:p>
  </w:footnote>
  <w:footnote w:id="28">
    <w:p w:rsidR="00CB7BA4" w:rsidRPr="00774A86" w:rsidRDefault="00CB7BA4" w:rsidP="00B243C8">
      <w:pPr>
        <w:pStyle w:val="FootnoteText"/>
        <w:spacing w:before="80"/>
        <w:ind w:left="284" w:hanging="284"/>
        <w:jc w:val="both"/>
      </w:pPr>
      <w:r w:rsidRPr="00774A86">
        <w:rPr>
          <w:rStyle w:val="FootnoteReference"/>
        </w:rPr>
        <w:footnoteRef/>
      </w:r>
      <w:r w:rsidRPr="00774A86">
        <w:t xml:space="preserve"> See CRS Commentaries on Section VIII, page 190 (paragraph 103, example 6).</w:t>
      </w:r>
    </w:p>
  </w:footnote>
  <w:footnote w:id="29">
    <w:p w:rsidR="00CB7BA4" w:rsidRPr="00774A86" w:rsidRDefault="00CB7BA4" w:rsidP="006512EB">
      <w:pPr>
        <w:pStyle w:val="FootnoteText"/>
        <w:jc w:val="both"/>
      </w:pPr>
      <w:r w:rsidRPr="00774A86">
        <w:rPr>
          <w:rStyle w:val="FootnoteReference"/>
        </w:rPr>
        <w:footnoteRef/>
      </w:r>
      <w:r w:rsidRPr="00774A86">
        <w:t xml:space="preserve"> This is an indicative time</w:t>
      </w:r>
      <w:r w:rsidRPr="00774A86" w:rsidDel="0025712F">
        <w:t>-</w:t>
      </w:r>
      <w:r w:rsidRPr="00774A86">
        <w:t>frame.  The relevant dates for the timing of due diligence and reporting will be set out in the implementing legislation.</w:t>
      </w:r>
    </w:p>
  </w:footnote>
  <w:footnote w:id="30">
    <w:p w:rsidR="00CB7BA4" w:rsidRPr="00774A86" w:rsidRDefault="00CB7BA4" w:rsidP="001819DB">
      <w:pPr>
        <w:pStyle w:val="FootnoteText"/>
        <w:jc w:val="both"/>
      </w:pPr>
      <w:r w:rsidRPr="00774A86">
        <w:rPr>
          <w:rStyle w:val="FootnoteReference"/>
        </w:rPr>
        <w:footnoteRef/>
      </w:r>
      <w:r w:rsidRPr="00774A86">
        <w:t xml:space="preserve"> The CRS sets threshold options for determining whether an account is a high value or lower value account.  The threshold options are canvassed in Chapter 5 of this issues paper and the distinction between high value and lower value accounts is elaborated on in the Appendix.</w:t>
      </w:r>
    </w:p>
  </w:footnote>
  <w:footnote w:id="31">
    <w:p w:rsidR="00CB7BA4" w:rsidRPr="00774A86" w:rsidRDefault="00CB7BA4" w:rsidP="001819DB">
      <w:pPr>
        <w:pStyle w:val="FootnoteText"/>
        <w:jc w:val="both"/>
      </w:pPr>
      <w:r w:rsidRPr="00774A86">
        <w:rPr>
          <w:rStyle w:val="FootnoteReference"/>
        </w:rPr>
        <w:footnoteRef/>
      </w:r>
      <w:r w:rsidRPr="00774A86">
        <w:t xml:space="preserve"> This is subject to the potential application of the “wider” approach which is canvassed in Chapter 2 of this issues paper.</w:t>
      </w:r>
    </w:p>
  </w:footnote>
  <w:footnote w:id="32">
    <w:p w:rsidR="00CB7BA4" w:rsidRPr="00774A86" w:rsidRDefault="00CB7BA4" w:rsidP="006512EB">
      <w:pPr>
        <w:pStyle w:val="FootnoteText"/>
        <w:jc w:val="both"/>
      </w:pPr>
      <w:r w:rsidRPr="00774A86">
        <w:rPr>
          <w:rStyle w:val="FootnoteReference"/>
        </w:rPr>
        <w:footnoteRef/>
      </w:r>
      <w:r w:rsidRPr="00774A86">
        <w:t xml:space="preserve"> This will depend on the timing for due diligence and reporting to be set out in the implementing legislation.</w:t>
      </w:r>
    </w:p>
  </w:footnote>
  <w:footnote w:id="33">
    <w:p w:rsidR="00CB7BA4" w:rsidRPr="00774A86" w:rsidRDefault="00CB7BA4" w:rsidP="001819DB">
      <w:pPr>
        <w:pStyle w:val="FootnoteText"/>
        <w:tabs>
          <w:tab w:val="left" w:pos="0"/>
        </w:tabs>
        <w:jc w:val="both"/>
        <w:rPr>
          <w:rStyle w:val="FootnoteReference"/>
        </w:rPr>
      </w:pPr>
      <w:r w:rsidRPr="00774A86">
        <w:rPr>
          <w:rStyle w:val="FootnoteReference"/>
        </w:rPr>
        <w:footnoteRef/>
      </w:r>
      <w:r w:rsidRPr="00774A86">
        <w:t xml:space="preserve"> CRS Section IX.</w:t>
      </w:r>
    </w:p>
  </w:footnote>
  <w:footnote w:id="34">
    <w:p w:rsidR="00CB7BA4" w:rsidRPr="00774A86" w:rsidRDefault="00CB7BA4" w:rsidP="001819DB">
      <w:pPr>
        <w:pStyle w:val="FootnoteText"/>
        <w:tabs>
          <w:tab w:val="left" w:pos="0"/>
        </w:tabs>
        <w:jc w:val="both"/>
      </w:pPr>
      <w:r w:rsidRPr="00774A86">
        <w:rPr>
          <w:rStyle w:val="FootnoteReference"/>
        </w:rPr>
        <w:footnoteRef/>
      </w:r>
      <w:r w:rsidRPr="00774A86">
        <w:t xml:space="preserve"> The CRS states, in this regard, that it is expected that jurisdictions have </w:t>
      </w:r>
      <w:r w:rsidRPr="00774A86">
        <w:rPr>
          <w:b/>
        </w:rPr>
        <w:t>strong measures</w:t>
      </w:r>
      <w:r w:rsidRPr="00774A86">
        <w:t xml:space="preserve"> in place to ensure that valid self-certifications are </w:t>
      </w:r>
      <w:r w:rsidRPr="00774A86">
        <w:rPr>
          <w:b/>
        </w:rPr>
        <w:t>always</w:t>
      </w:r>
      <w:r w:rsidRPr="00774A86">
        <w:t xml:space="preserve"> obtained for new accounts.</w:t>
      </w:r>
    </w:p>
  </w:footnote>
  <w:footnote w:id="35">
    <w:p w:rsidR="00CB7BA4" w:rsidRPr="00774A86" w:rsidRDefault="00CB7BA4" w:rsidP="001819DB">
      <w:pPr>
        <w:pStyle w:val="FootnoteText"/>
        <w:tabs>
          <w:tab w:val="left" w:pos="0"/>
        </w:tabs>
        <w:jc w:val="both"/>
        <w:rPr>
          <w:rStyle w:val="FootnoteReference"/>
        </w:rPr>
      </w:pPr>
      <w:r w:rsidRPr="00774A86">
        <w:rPr>
          <w:rStyle w:val="FootnoteReference"/>
        </w:rPr>
        <w:footnoteRef/>
      </w:r>
      <w:r w:rsidRPr="00774A86">
        <w:t xml:space="preserve"> Section 22(2</w:t>
      </w:r>
      <w:proofErr w:type="gramStart"/>
      <w:r w:rsidRPr="00774A86">
        <w:t>)(</w:t>
      </w:r>
      <w:proofErr w:type="gramEnd"/>
      <w:r w:rsidRPr="00774A86">
        <w:t>1c) of the TAA, which currently relates to FATCA record keeping, requires every person to keep sufficient records regarding their compliance with Part 11B of the TAA.</w:t>
      </w:r>
    </w:p>
  </w:footnote>
  <w:footnote w:id="36">
    <w:p w:rsidR="00CB7BA4" w:rsidRPr="00774A86" w:rsidRDefault="00CB7BA4" w:rsidP="001819DB">
      <w:pPr>
        <w:pStyle w:val="FootnoteText"/>
        <w:tabs>
          <w:tab w:val="left" w:pos="284"/>
        </w:tabs>
        <w:spacing w:before="80"/>
        <w:ind w:left="284" w:hanging="284"/>
        <w:jc w:val="both"/>
        <w:rPr>
          <w:rStyle w:val="FootnoteReference"/>
        </w:rPr>
      </w:pPr>
      <w:r w:rsidRPr="00774A86">
        <w:rPr>
          <w:rStyle w:val="FootnoteReference"/>
        </w:rPr>
        <w:footnoteRef/>
      </w:r>
      <w:r w:rsidRPr="00774A86">
        <w:rPr>
          <w:rStyle w:val="FootnoteReference"/>
        </w:rPr>
        <w:t xml:space="preserve"> </w:t>
      </w:r>
      <w:r w:rsidRPr="00774A86">
        <w:t>Some of these options come from the CRS itself, while others come from the CRS Commentaries.</w:t>
      </w:r>
    </w:p>
  </w:footnote>
  <w:footnote w:id="37">
    <w:p w:rsidR="00CB7BA4" w:rsidRPr="00774A86" w:rsidRDefault="00CB7BA4" w:rsidP="001819DB">
      <w:pPr>
        <w:pStyle w:val="FootnoteText"/>
        <w:jc w:val="both"/>
      </w:pPr>
      <w:r w:rsidRPr="00774A86">
        <w:rPr>
          <w:rStyle w:val="FootnoteReference"/>
        </w:rPr>
        <w:footnoteRef/>
      </w:r>
      <w:r w:rsidRPr="00774A86">
        <w:t xml:space="preserve"> This is a type of “Reportable Account Information”, which is referred to in the Glossary.</w:t>
      </w:r>
    </w:p>
  </w:footnote>
  <w:footnote w:id="38">
    <w:p w:rsidR="00CB7BA4" w:rsidRPr="00774A86" w:rsidRDefault="00CB7BA4" w:rsidP="001819DB">
      <w:pPr>
        <w:pStyle w:val="FootnoteText"/>
        <w:jc w:val="both"/>
      </w:pPr>
      <w:r w:rsidRPr="00774A86">
        <w:rPr>
          <w:rStyle w:val="FootnoteReference"/>
        </w:rPr>
        <w:footnoteRef/>
      </w:r>
      <w:r w:rsidRPr="00774A86">
        <w:t xml:space="preserve"> Any such requirement to obtain and report a TIN would be subject to CRS Section I.D.</w:t>
      </w:r>
    </w:p>
  </w:footnote>
  <w:footnote w:id="39">
    <w:p w:rsidR="00CB7BA4" w:rsidRPr="00774A86" w:rsidRDefault="00CB7BA4" w:rsidP="00895638">
      <w:pPr>
        <w:pStyle w:val="FootnoteText"/>
        <w:tabs>
          <w:tab w:val="left" w:pos="0"/>
        </w:tabs>
        <w:rPr>
          <w:rStyle w:val="FootnoteReference"/>
        </w:rPr>
      </w:pPr>
      <w:r w:rsidRPr="00774A86">
        <w:rPr>
          <w:rStyle w:val="FootnoteReference"/>
        </w:rPr>
        <w:footnoteRef/>
      </w:r>
      <w:r w:rsidRPr="00774A86">
        <w:t xml:space="preserve"> CRS Section </w:t>
      </w:r>
      <w:proofErr w:type="gramStart"/>
      <w:r w:rsidRPr="00774A86">
        <w:t>1.A(</w:t>
      </w:r>
      <w:proofErr w:type="gramEnd"/>
      <w:r w:rsidRPr="00774A86">
        <w:t>4)-(7), and CRS Commentaries pp.99-100.</w:t>
      </w:r>
    </w:p>
  </w:footnote>
  <w:footnote w:id="40">
    <w:p w:rsidR="00CB7BA4" w:rsidRPr="00774A86" w:rsidRDefault="00CB7BA4" w:rsidP="00895638">
      <w:pPr>
        <w:pStyle w:val="FootnoteText"/>
        <w:tabs>
          <w:tab w:val="left" w:pos="0"/>
        </w:tabs>
        <w:rPr>
          <w:rStyle w:val="FootnoteReference"/>
        </w:rPr>
      </w:pPr>
      <w:r w:rsidRPr="00774A86">
        <w:rPr>
          <w:rStyle w:val="FootnoteReference"/>
        </w:rPr>
        <w:footnoteRef/>
      </w:r>
      <w:r w:rsidRPr="00774A86">
        <w:rPr>
          <w:rStyle w:val="FootnoteReference"/>
        </w:rPr>
        <w:t xml:space="preserve"> </w:t>
      </w:r>
      <w:proofErr w:type="gramStart"/>
      <w:r w:rsidRPr="00774A86">
        <w:t>CRS Commentaries p.184.</w:t>
      </w:r>
      <w:proofErr w:type="gramEnd"/>
    </w:p>
  </w:footnote>
  <w:footnote w:id="41">
    <w:p w:rsidR="00CB7BA4" w:rsidRPr="00774A86" w:rsidRDefault="00CB7BA4" w:rsidP="00895638">
      <w:pPr>
        <w:pStyle w:val="FootnoteText"/>
        <w:tabs>
          <w:tab w:val="left" w:pos="0"/>
        </w:tabs>
        <w:rPr>
          <w:rStyle w:val="FootnoteReference"/>
        </w:rPr>
      </w:pPr>
      <w:r w:rsidRPr="00774A86">
        <w:rPr>
          <w:rStyle w:val="FootnoteReference"/>
        </w:rPr>
        <w:footnoteRef/>
      </w:r>
      <w:r w:rsidRPr="00774A86">
        <w:rPr>
          <w:rStyle w:val="FootnoteReference"/>
        </w:rPr>
        <w:t xml:space="preserve"> </w:t>
      </w:r>
      <w:proofErr w:type="gramStart"/>
      <w:r w:rsidRPr="00774A86">
        <w:t>Implementation Handbook pp.17-18 and 40-41.</w:t>
      </w:r>
      <w:proofErr w:type="gramEnd"/>
    </w:p>
  </w:footnote>
  <w:footnote w:id="42">
    <w:p w:rsidR="00CB7BA4" w:rsidRPr="00774A86" w:rsidRDefault="00CB7BA4" w:rsidP="001819DB">
      <w:pPr>
        <w:pStyle w:val="FootnoteText"/>
        <w:tabs>
          <w:tab w:val="left" w:pos="0"/>
        </w:tabs>
        <w:jc w:val="both"/>
        <w:rPr>
          <w:rStyle w:val="FootnoteReference"/>
          <w:vertAlign w:val="baseline"/>
        </w:rPr>
      </w:pPr>
      <w:r w:rsidRPr="00774A86">
        <w:rPr>
          <w:rStyle w:val="FootnoteReference"/>
        </w:rPr>
        <w:footnoteRef/>
      </w:r>
      <w:r w:rsidRPr="00774A86">
        <w:t xml:space="preserve"> CRS Section VII.C.4.</w:t>
      </w:r>
    </w:p>
  </w:footnote>
  <w:footnote w:id="43">
    <w:p w:rsidR="00CB7BA4" w:rsidRPr="00774A86" w:rsidRDefault="00CB7BA4" w:rsidP="001819DB">
      <w:pPr>
        <w:pStyle w:val="FootnoteText"/>
        <w:jc w:val="both"/>
      </w:pPr>
      <w:r w:rsidRPr="00774A86">
        <w:rPr>
          <w:rStyle w:val="FootnoteReference"/>
        </w:rPr>
        <w:footnoteRef/>
      </w:r>
      <w:r w:rsidRPr="00774A86">
        <w:t xml:space="preserve"> High value accounts are explained in more detail in the Appendix.</w:t>
      </w:r>
    </w:p>
  </w:footnote>
  <w:footnote w:id="44">
    <w:p w:rsidR="00CB7BA4" w:rsidRPr="00774A86" w:rsidRDefault="00CB7BA4" w:rsidP="001819DB">
      <w:pPr>
        <w:pStyle w:val="FootnoteText"/>
        <w:tabs>
          <w:tab w:val="left" w:pos="284"/>
        </w:tabs>
        <w:ind w:left="284" w:hanging="284"/>
        <w:jc w:val="both"/>
        <w:rPr>
          <w:rStyle w:val="FootnoteReference"/>
        </w:rPr>
      </w:pPr>
      <w:r w:rsidRPr="00774A86">
        <w:rPr>
          <w:rStyle w:val="FootnoteReference"/>
        </w:rPr>
        <w:footnoteRef/>
      </w:r>
      <w:r w:rsidRPr="00774A86">
        <w:t xml:space="preserve"> The “relevant date” will be defined in the domestic legislation implementing CRS.</w:t>
      </w:r>
    </w:p>
  </w:footnote>
  <w:footnote w:id="45">
    <w:p w:rsidR="00CB7BA4" w:rsidRPr="00774A86" w:rsidRDefault="00CB7BA4" w:rsidP="001819DB">
      <w:pPr>
        <w:pStyle w:val="FootnoteText"/>
        <w:jc w:val="both"/>
      </w:pPr>
      <w:r w:rsidRPr="00774A86">
        <w:rPr>
          <w:rStyle w:val="FootnoteReference"/>
        </w:rPr>
        <w:footnoteRef/>
      </w:r>
      <w:r w:rsidRPr="00774A86">
        <w:t xml:space="preserve"> In contrast, TIN and date of birth information will generally be required to be reported for new reportable accounts, subject to CRS Section I.D.</w:t>
      </w:r>
    </w:p>
  </w:footnote>
  <w:footnote w:id="46">
    <w:p w:rsidR="00CB7BA4" w:rsidRPr="00774A86" w:rsidRDefault="00CB7BA4" w:rsidP="001819DB">
      <w:pPr>
        <w:pStyle w:val="FootnoteText"/>
        <w:tabs>
          <w:tab w:val="left" w:pos="284"/>
        </w:tabs>
        <w:ind w:left="284" w:hanging="284"/>
        <w:jc w:val="both"/>
        <w:rPr>
          <w:rStyle w:val="FootnoteReference"/>
        </w:rPr>
      </w:pPr>
      <w:r w:rsidRPr="00774A86">
        <w:rPr>
          <w:rStyle w:val="FootnoteReference"/>
        </w:rPr>
        <w:footnoteRef/>
      </w:r>
      <w:r w:rsidRPr="00774A86">
        <w:t xml:space="preserve"> CRS Section </w:t>
      </w:r>
      <w:proofErr w:type="gramStart"/>
      <w:r w:rsidRPr="00774A86">
        <w:t>I.C,</w:t>
      </w:r>
      <w:proofErr w:type="gramEnd"/>
      <w:r w:rsidRPr="00774A86">
        <w:t xml:space="preserve"> and CRS Commentaries pp.102-104.</w:t>
      </w:r>
    </w:p>
  </w:footnote>
  <w:footnote w:id="47">
    <w:p w:rsidR="00CB7BA4" w:rsidRPr="00774A86" w:rsidRDefault="00CB7BA4" w:rsidP="001819DB">
      <w:pPr>
        <w:pStyle w:val="FootnoteText"/>
        <w:tabs>
          <w:tab w:val="left" w:pos="284"/>
        </w:tabs>
        <w:ind w:left="284" w:hanging="284"/>
        <w:jc w:val="both"/>
        <w:rPr>
          <w:rStyle w:val="FootnoteReference"/>
        </w:rPr>
      </w:pPr>
      <w:r w:rsidRPr="00774A86">
        <w:rPr>
          <w:rStyle w:val="FootnoteReference"/>
        </w:rPr>
        <w:footnoteRef/>
      </w:r>
      <w:r w:rsidRPr="00774A86">
        <w:t xml:space="preserve"> CRS Section I.E, CRS Commentaries p.104.</w:t>
      </w:r>
    </w:p>
  </w:footnote>
  <w:footnote w:id="48">
    <w:p w:rsidR="00CB7BA4" w:rsidRPr="00774A86" w:rsidRDefault="00CB7BA4" w:rsidP="00016300">
      <w:pPr>
        <w:pStyle w:val="FootnoteText"/>
        <w:tabs>
          <w:tab w:val="left" w:pos="0"/>
        </w:tabs>
        <w:rPr>
          <w:rStyle w:val="FootnoteReference"/>
        </w:rPr>
      </w:pPr>
      <w:r w:rsidRPr="00774A86">
        <w:rPr>
          <w:rStyle w:val="FootnoteReference"/>
        </w:rPr>
        <w:footnoteRef/>
      </w:r>
      <w:r w:rsidRPr="00774A86">
        <w:rPr>
          <w:rStyle w:val="FootnoteReference"/>
        </w:rPr>
        <w:t xml:space="preserve"> </w:t>
      </w:r>
      <w:proofErr w:type="gramStart"/>
      <w:r w:rsidRPr="00774A86">
        <w:t>CRS Commentaries p.98, paragraph 11.</w:t>
      </w:r>
      <w:proofErr w:type="gramEnd"/>
    </w:p>
  </w:footnote>
  <w:footnote w:id="49">
    <w:p w:rsidR="00CB7BA4" w:rsidRPr="00774A86" w:rsidRDefault="00CB7BA4" w:rsidP="00016300">
      <w:pPr>
        <w:pStyle w:val="FootnoteText"/>
        <w:tabs>
          <w:tab w:val="left" w:pos="0"/>
        </w:tabs>
        <w:rPr>
          <w:rStyle w:val="FootnoteReference"/>
        </w:rPr>
      </w:pPr>
      <w:r w:rsidRPr="00774A86">
        <w:rPr>
          <w:rStyle w:val="FootnoteReference"/>
        </w:rPr>
        <w:footnoteRef/>
      </w:r>
      <w:r w:rsidRPr="00774A86">
        <w:rPr>
          <w:rStyle w:val="FootnoteReference"/>
        </w:rPr>
        <w:t xml:space="preserve"> </w:t>
      </w:r>
      <w:r w:rsidRPr="00774A86">
        <w:t>This is mentioned on p.177 of the CRS Commentaries (paragraph 65).</w:t>
      </w:r>
    </w:p>
  </w:footnote>
  <w:footnote w:id="50">
    <w:p w:rsidR="00CB7BA4" w:rsidRPr="00774A86" w:rsidRDefault="00CB7BA4" w:rsidP="00016300">
      <w:pPr>
        <w:pStyle w:val="FootnoteText"/>
        <w:tabs>
          <w:tab w:val="left" w:pos="0"/>
        </w:tabs>
        <w:rPr>
          <w:rStyle w:val="FootnoteReference"/>
        </w:rPr>
      </w:pPr>
      <w:r w:rsidRPr="00774A86">
        <w:rPr>
          <w:rStyle w:val="FootnoteReference"/>
        </w:rPr>
        <w:footnoteRef/>
      </w:r>
      <w:r w:rsidRPr="00774A86">
        <w:rPr>
          <w:rStyle w:val="FootnoteReference"/>
        </w:rPr>
        <w:t xml:space="preserve"> </w:t>
      </w:r>
      <w:r w:rsidRPr="00774A86">
        <w:t xml:space="preserve">CRS Section </w:t>
      </w:r>
      <w:proofErr w:type="gramStart"/>
      <w:r w:rsidRPr="00774A86">
        <w:t>II.D,</w:t>
      </w:r>
      <w:proofErr w:type="gramEnd"/>
      <w:r w:rsidRPr="00774A86">
        <w:t xml:space="preserve"> and CRS Commentaries p.108.</w:t>
      </w:r>
    </w:p>
  </w:footnote>
  <w:footnote w:id="51">
    <w:p w:rsidR="00CB7BA4" w:rsidRPr="00774A86" w:rsidRDefault="00CB7BA4" w:rsidP="001819DB">
      <w:pPr>
        <w:pStyle w:val="FootnoteText"/>
        <w:tabs>
          <w:tab w:val="left" w:pos="0"/>
        </w:tabs>
        <w:jc w:val="both"/>
        <w:rPr>
          <w:rStyle w:val="FootnoteReference"/>
        </w:rPr>
      </w:pPr>
      <w:r w:rsidRPr="00774A86">
        <w:rPr>
          <w:rStyle w:val="FootnoteReference"/>
        </w:rPr>
        <w:footnoteRef/>
      </w:r>
      <w:r w:rsidRPr="00774A86">
        <w:rPr>
          <w:rStyle w:val="FootnoteReference"/>
        </w:rPr>
        <w:t xml:space="preserve"> </w:t>
      </w:r>
      <w:r w:rsidRPr="00774A86">
        <w:t xml:space="preserve">CRS Section </w:t>
      </w:r>
      <w:proofErr w:type="gramStart"/>
      <w:r w:rsidRPr="00774A86">
        <w:t>VIII.D(</w:t>
      </w:r>
      <w:proofErr w:type="gramEnd"/>
      <w:r w:rsidRPr="00774A86">
        <w:t>1),(6) and (8), CRS Annex 5 pp.285-286, and Implementation Handbook p.94.</w:t>
      </w:r>
    </w:p>
  </w:footnote>
  <w:footnote w:id="52">
    <w:p w:rsidR="00CB7BA4" w:rsidRPr="00774A86" w:rsidRDefault="00CB7BA4" w:rsidP="001819DB">
      <w:pPr>
        <w:pStyle w:val="FootnoteText"/>
        <w:tabs>
          <w:tab w:val="left" w:pos="0"/>
        </w:tabs>
        <w:jc w:val="both"/>
        <w:rPr>
          <w:rStyle w:val="FootnoteReference"/>
        </w:rPr>
      </w:pPr>
      <w:r w:rsidRPr="00774A86">
        <w:rPr>
          <w:rStyle w:val="FootnoteReference"/>
        </w:rPr>
        <w:footnoteRef/>
      </w:r>
      <w:r w:rsidRPr="00774A86">
        <w:rPr>
          <w:rStyle w:val="FootnoteReference"/>
        </w:rPr>
        <w:t xml:space="preserve"> </w:t>
      </w:r>
      <w:r w:rsidRPr="00774A86">
        <w:t>The passive NFE itself would also be reportable if it is a reportable person.</w:t>
      </w:r>
    </w:p>
  </w:footnote>
  <w:footnote w:id="53">
    <w:p w:rsidR="00CB7BA4" w:rsidRPr="00774A86" w:rsidRDefault="00CB7BA4" w:rsidP="001819DB">
      <w:pPr>
        <w:pStyle w:val="FootnoteText"/>
        <w:tabs>
          <w:tab w:val="left" w:pos="0"/>
        </w:tabs>
        <w:jc w:val="both"/>
        <w:rPr>
          <w:rStyle w:val="FootnoteReference"/>
        </w:rPr>
      </w:pPr>
      <w:r w:rsidRPr="00774A86">
        <w:rPr>
          <w:rStyle w:val="FootnoteReference"/>
        </w:rPr>
        <w:footnoteRef/>
      </w:r>
      <w:r w:rsidRPr="00774A86">
        <w:rPr>
          <w:rStyle w:val="FootnoteReference"/>
        </w:rPr>
        <w:t xml:space="preserve"> </w:t>
      </w:r>
      <w:proofErr w:type="gramStart"/>
      <w:r w:rsidRPr="00774A86">
        <w:t>CRS Commentaries pp.203-204, and Implementation Handbook p.15.</w:t>
      </w:r>
      <w:proofErr w:type="gramEnd"/>
    </w:p>
  </w:footnote>
  <w:footnote w:id="54">
    <w:p w:rsidR="00CB7BA4" w:rsidRPr="00774A86" w:rsidRDefault="00CB7BA4" w:rsidP="001819DB">
      <w:pPr>
        <w:pStyle w:val="FootnoteText"/>
        <w:tabs>
          <w:tab w:val="left" w:pos="0"/>
        </w:tabs>
        <w:jc w:val="both"/>
        <w:rPr>
          <w:rStyle w:val="FootnoteReference"/>
        </w:rPr>
      </w:pPr>
      <w:r w:rsidRPr="00774A86">
        <w:rPr>
          <w:rStyle w:val="FootnoteReference"/>
        </w:rPr>
        <w:footnoteRef/>
      </w:r>
      <w:r w:rsidRPr="00774A86">
        <w:rPr>
          <w:rStyle w:val="FootnoteReference"/>
        </w:rPr>
        <w:t xml:space="preserve"> </w:t>
      </w:r>
      <w:r w:rsidRPr="00774A86">
        <w:t xml:space="preserve">CRS Section </w:t>
      </w:r>
      <w:proofErr w:type="gramStart"/>
      <w:r w:rsidRPr="00774A86">
        <w:t>III.B(</w:t>
      </w:r>
      <w:proofErr w:type="gramEnd"/>
      <w:r w:rsidRPr="00774A86">
        <w:t>1), CRS Commentaries pp.111-112, and Implementation Handbook pp.13 and 17.</w:t>
      </w:r>
    </w:p>
  </w:footnote>
  <w:footnote w:id="55">
    <w:p w:rsidR="00CB7BA4" w:rsidRPr="00774A86" w:rsidRDefault="00CB7BA4" w:rsidP="001819DB">
      <w:pPr>
        <w:pStyle w:val="FootnoteText"/>
        <w:tabs>
          <w:tab w:val="left" w:pos="0"/>
        </w:tabs>
        <w:jc w:val="both"/>
        <w:rPr>
          <w:rStyle w:val="FootnoteReference"/>
        </w:rPr>
      </w:pPr>
      <w:r w:rsidRPr="00774A86">
        <w:rPr>
          <w:rStyle w:val="FootnoteReference"/>
        </w:rPr>
        <w:footnoteRef/>
      </w:r>
      <w:r w:rsidRPr="00774A86">
        <w:rPr>
          <w:rStyle w:val="FootnoteReference"/>
        </w:rPr>
        <w:t xml:space="preserve"> </w:t>
      </w:r>
      <w:r w:rsidRPr="00774A86">
        <w:t xml:space="preserve">CRS Section </w:t>
      </w:r>
      <w:proofErr w:type="gramStart"/>
      <w:r w:rsidRPr="00774A86">
        <w:t>VIII.E(</w:t>
      </w:r>
      <w:proofErr w:type="gramEnd"/>
      <w:r w:rsidRPr="00774A86">
        <w:t>4), CRS Commentaries p.183, and Implementation Handbook pp.16 and 94.</w:t>
      </w:r>
    </w:p>
  </w:footnote>
  <w:footnote w:id="56">
    <w:p w:rsidR="00CB7BA4" w:rsidRPr="00774A86" w:rsidRDefault="00CB7BA4" w:rsidP="001819DB">
      <w:pPr>
        <w:pStyle w:val="FootnoteText"/>
        <w:tabs>
          <w:tab w:val="left" w:pos="0"/>
        </w:tabs>
        <w:jc w:val="both"/>
        <w:rPr>
          <w:rStyle w:val="FootnoteReference"/>
        </w:rPr>
      </w:pPr>
      <w:r w:rsidRPr="00774A86">
        <w:rPr>
          <w:rStyle w:val="FootnoteReference"/>
        </w:rPr>
        <w:footnoteRef/>
      </w:r>
      <w:r w:rsidRPr="00774A86">
        <w:rPr>
          <w:rStyle w:val="FootnoteReference"/>
        </w:rPr>
        <w:t xml:space="preserve"> </w:t>
      </w:r>
      <w:proofErr w:type="gramStart"/>
      <w:r w:rsidRPr="00774A86">
        <w:t>CRS Section V.A, CRS Commentaries p.135, and Implementation Handbook p.14.</w:t>
      </w:r>
      <w:proofErr w:type="gramEnd"/>
      <w:r w:rsidRPr="00774A86">
        <w:t xml:space="preserve">  The relevant date will be set out in implementing legislation.</w:t>
      </w:r>
    </w:p>
  </w:footnote>
  <w:footnote w:id="57">
    <w:p w:rsidR="00CB7BA4" w:rsidRPr="00774A86" w:rsidRDefault="00CB7BA4" w:rsidP="001819DB">
      <w:pPr>
        <w:pStyle w:val="FootnoteText"/>
        <w:tabs>
          <w:tab w:val="left" w:pos="0"/>
        </w:tabs>
        <w:jc w:val="both"/>
        <w:rPr>
          <w:rStyle w:val="FootnoteReference"/>
        </w:rPr>
      </w:pPr>
      <w:r w:rsidRPr="00774A86">
        <w:rPr>
          <w:rStyle w:val="FootnoteReference"/>
        </w:rPr>
        <w:footnoteRef/>
      </w:r>
      <w:r w:rsidRPr="00774A86">
        <w:rPr>
          <w:rStyle w:val="FootnoteReference"/>
        </w:rPr>
        <w:t xml:space="preserve"> </w:t>
      </w:r>
      <w:proofErr w:type="gramStart"/>
      <w:r w:rsidRPr="00774A86">
        <w:t>CRS Section II.E, CRS Commentaries pp.108-109, and Implementation Handbook p.95.</w:t>
      </w:r>
      <w:proofErr w:type="gramEnd"/>
    </w:p>
  </w:footnote>
  <w:footnote w:id="58">
    <w:p w:rsidR="00CB7BA4" w:rsidRPr="00774A86" w:rsidRDefault="00CB7BA4" w:rsidP="001819DB">
      <w:pPr>
        <w:pStyle w:val="FootnoteText"/>
        <w:tabs>
          <w:tab w:val="left" w:pos="0"/>
        </w:tabs>
        <w:jc w:val="both"/>
        <w:rPr>
          <w:rStyle w:val="FootnoteReference"/>
        </w:rPr>
      </w:pPr>
      <w:r w:rsidRPr="00774A86">
        <w:rPr>
          <w:rStyle w:val="FootnoteReference"/>
        </w:rPr>
        <w:footnoteRef/>
      </w:r>
      <w:r w:rsidRPr="00774A86">
        <w:rPr>
          <w:rStyle w:val="FootnoteReference"/>
        </w:rPr>
        <w:t xml:space="preserve"> </w:t>
      </w:r>
      <w:r w:rsidRPr="00774A86">
        <w:t xml:space="preserve">CRS Section </w:t>
      </w:r>
      <w:proofErr w:type="gramStart"/>
      <w:r w:rsidRPr="00774A86">
        <w:t>VIII.C(</w:t>
      </w:r>
      <w:proofErr w:type="gramEnd"/>
      <w:r w:rsidRPr="00774A86">
        <w:t>9) and (10), and CRS Commentaries pp.181-182.</w:t>
      </w:r>
    </w:p>
  </w:footnote>
  <w:footnote w:id="59">
    <w:p w:rsidR="00CB7BA4" w:rsidRPr="00774A86" w:rsidRDefault="00CB7BA4" w:rsidP="001819DB">
      <w:pPr>
        <w:pStyle w:val="FootnoteText"/>
        <w:tabs>
          <w:tab w:val="left" w:pos="0"/>
        </w:tabs>
        <w:jc w:val="both"/>
        <w:rPr>
          <w:rStyle w:val="FootnoteReference"/>
        </w:rPr>
      </w:pPr>
      <w:r w:rsidRPr="00774A86">
        <w:rPr>
          <w:rStyle w:val="FootnoteReference"/>
        </w:rPr>
        <w:footnoteRef/>
      </w:r>
      <w:r w:rsidRPr="00774A86">
        <w:rPr>
          <w:rStyle w:val="FootnoteReference"/>
        </w:rPr>
        <w:t xml:space="preserve"> </w:t>
      </w:r>
      <w:proofErr w:type="gramStart"/>
      <w:r w:rsidRPr="00774A86">
        <w:t>CRS Section VII.B, CRS Commentaries p.153, and Implementation Handbook p.14.</w:t>
      </w:r>
      <w:proofErr w:type="gramEnd"/>
    </w:p>
  </w:footnote>
  <w:footnote w:id="60">
    <w:p w:rsidR="00CB7BA4" w:rsidRPr="00774A86" w:rsidRDefault="00CB7BA4" w:rsidP="001819DB">
      <w:pPr>
        <w:pStyle w:val="FootnoteText"/>
        <w:tabs>
          <w:tab w:val="left" w:pos="0"/>
        </w:tabs>
        <w:jc w:val="both"/>
        <w:rPr>
          <w:rStyle w:val="FootnoteReference"/>
        </w:rPr>
      </w:pPr>
      <w:r w:rsidRPr="00774A86">
        <w:rPr>
          <w:rStyle w:val="FootnoteReference"/>
        </w:rPr>
        <w:footnoteRef/>
      </w:r>
      <w:r w:rsidRPr="00774A86">
        <w:rPr>
          <w:rStyle w:val="FootnoteReference"/>
        </w:rPr>
        <w:t xml:space="preserve"> </w:t>
      </w:r>
      <w:r w:rsidRPr="00774A86">
        <w:t xml:space="preserve">CRS Section </w:t>
      </w:r>
      <w:proofErr w:type="gramStart"/>
      <w:r w:rsidRPr="00774A86">
        <w:t>I.A(</w:t>
      </w:r>
      <w:proofErr w:type="gramEnd"/>
      <w:r w:rsidRPr="00774A86">
        <w:t>5)(b), I.F and VIII.C.3, and CRS Commentaries pp.73, 100-101 and 105.</w:t>
      </w:r>
    </w:p>
  </w:footnote>
  <w:footnote w:id="61">
    <w:p w:rsidR="00CB7BA4" w:rsidRPr="00774A86" w:rsidRDefault="00CB7BA4" w:rsidP="001819DB">
      <w:pPr>
        <w:pStyle w:val="FootnoteText"/>
        <w:tabs>
          <w:tab w:val="left" w:pos="0"/>
        </w:tabs>
        <w:jc w:val="both"/>
        <w:rPr>
          <w:rStyle w:val="FootnoteReference"/>
        </w:rPr>
      </w:pPr>
      <w:r w:rsidRPr="00774A86">
        <w:rPr>
          <w:rStyle w:val="FootnoteReference"/>
        </w:rPr>
        <w:footnoteRef/>
      </w:r>
      <w:r w:rsidRPr="00774A86">
        <w:rPr>
          <w:rStyle w:val="FootnoteReference"/>
        </w:rPr>
        <w:t xml:space="preserve"> </w:t>
      </w:r>
      <w:r w:rsidRPr="00774A86">
        <w:t xml:space="preserve">CRS Section </w:t>
      </w:r>
      <w:proofErr w:type="gramStart"/>
      <w:r w:rsidRPr="00774A86">
        <w:t>VIII.C(</w:t>
      </w:r>
      <w:proofErr w:type="gramEnd"/>
      <w:r w:rsidRPr="00774A86">
        <w:t>4) and VIII.D(6), CRS Commentaries pp.178 and 198-199, and Implementation Handbook p.17.</w:t>
      </w:r>
    </w:p>
  </w:footnote>
  <w:footnote w:id="62">
    <w:p w:rsidR="00CB7BA4" w:rsidRPr="00774A86" w:rsidRDefault="00CB7BA4" w:rsidP="001819DB">
      <w:pPr>
        <w:pStyle w:val="FootnoteText"/>
        <w:tabs>
          <w:tab w:val="left" w:pos="0"/>
        </w:tabs>
        <w:jc w:val="both"/>
        <w:rPr>
          <w:rStyle w:val="FootnoteReference"/>
        </w:rPr>
      </w:pPr>
      <w:r w:rsidRPr="00774A86">
        <w:rPr>
          <w:rStyle w:val="FootnoteReference"/>
        </w:rPr>
        <w:footnoteRef/>
      </w:r>
      <w:r w:rsidRPr="00774A86">
        <w:rPr>
          <w:rStyle w:val="FootnoteReference"/>
        </w:rPr>
        <w:t xml:space="preserve"> </w:t>
      </w:r>
      <w:r w:rsidRPr="00774A86">
        <w:t xml:space="preserve">CRS Section </w:t>
      </w:r>
      <w:proofErr w:type="gramStart"/>
      <w:r w:rsidRPr="00774A86">
        <w:t>VIII.B(</w:t>
      </w:r>
      <w:proofErr w:type="gramEnd"/>
      <w:r w:rsidRPr="00774A86">
        <w:t>9), CRS Commentaries pp.173-174, and Implementation Handbook p.16.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BA4" w:rsidRDefault="00CB7B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BA4" w:rsidRPr="006E67B7" w:rsidRDefault="00CB7BA4" w:rsidP="006E67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BA4" w:rsidRDefault="00CB7B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134C"/>
    <w:multiLevelType w:val="singleLevel"/>
    <w:tmpl w:val="67025558"/>
    <w:lvl w:ilvl="0">
      <w:start w:val="1"/>
      <w:numFmt w:val="decimal"/>
      <w:pStyle w:val="Chapter5"/>
      <w:lvlText w:val="5.%1"/>
      <w:lvlJc w:val="left"/>
      <w:pPr>
        <w:tabs>
          <w:tab w:val="num" w:pos="851"/>
        </w:tabs>
        <w:ind w:left="851" w:hanging="851"/>
      </w:pPr>
      <w:rPr>
        <w:rFonts w:hint="default"/>
        <w:b w:val="0"/>
        <w:i w:val="0"/>
      </w:rPr>
    </w:lvl>
  </w:abstractNum>
  <w:abstractNum w:abstractNumId="1">
    <w:nsid w:val="15936E75"/>
    <w:multiLevelType w:val="hybridMultilevel"/>
    <w:tmpl w:val="60A86A16"/>
    <w:lvl w:ilvl="0" w:tplc="389AC7F0">
      <w:start w:val="1"/>
      <w:numFmt w:val="decimal"/>
      <w:pStyle w:val="Chapter6"/>
      <w:lvlText w:val="6.%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DC37972"/>
    <w:multiLevelType w:val="singleLevel"/>
    <w:tmpl w:val="1896B530"/>
    <w:lvl w:ilvl="0">
      <w:start w:val="1"/>
      <w:numFmt w:val="decimal"/>
      <w:pStyle w:val="Chapter2"/>
      <w:lvlText w:val="2.%1"/>
      <w:lvlJc w:val="left"/>
      <w:pPr>
        <w:ind w:left="360" w:hanging="360"/>
      </w:pPr>
      <w:rPr>
        <w:rFonts w:hint="default"/>
        <w:b w:val="0"/>
      </w:rPr>
    </w:lvl>
  </w:abstractNum>
  <w:abstractNum w:abstractNumId="3">
    <w:nsid w:val="25125754"/>
    <w:multiLevelType w:val="hybridMultilevel"/>
    <w:tmpl w:val="0FFCA3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3B5D1A14"/>
    <w:multiLevelType w:val="multilevel"/>
    <w:tmpl w:val="00540552"/>
    <w:styleLink w:val="StyleBulletedWingdingssymbol"/>
    <w:lvl w:ilvl="0">
      <w:start w:val="1"/>
      <w:numFmt w:val="bullet"/>
      <w:lvlText w:val=""/>
      <w:lvlJc w:val="left"/>
      <w:pPr>
        <w:tabs>
          <w:tab w:val="num" w:pos="720"/>
        </w:tabs>
        <w:ind w:left="720" w:hanging="360"/>
      </w:pPr>
      <w:rPr>
        <w:rFonts w:ascii="Times New Roman" w:hAnsi="Times New Roman"/>
        <w:sz w:val="24"/>
        <w:szCs w:val="24"/>
      </w:rPr>
    </w:lvl>
    <w:lvl w:ilvl="1">
      <w:start w:val="1"/>
      <w:numFmt w:val="decimal"/>
      <w:lvlText w:val="4.%2"/>
      <w:lvlJc w:val="left"/>
      <w:pPr>
        <w:tabs>
          <w:tab w:val="num" w:pos="284"/>
        </w:tabs>
        <w:ind w:left="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6864BCC"/>
    <w:multiLevelType w:val="hybridMultilevel"/>
    <w:tmpl w:val="A9548F28"/>
    <w:lvl w:ilvl="0" w:tplc="12AE0262">
      <w:start w:val="1"/>
      <w:numFmt w:val="bullet"/>
      <w:pStyle w:val="Bullets"/>
      <w:lvlText w:val=""/>
      <w:lvlJc w:val="left"/>
      <w:pPr>
        <w:tabs>
          <w:tab w:val="num" w:pos="567"/>
        </w:tabs>
        <w:ind w:left="1418" w:hanging="567"/>
      </w:pPr>
      <w:rPr>
        <w:rFonts w:ascii="Symbol" w:hAnsi="Symbol" w:hint="default"/>
        <w:b w:val="0"/>
        <w:i w:val="0"/>
        <w:sz w:val="24"/>
        <w:szCs w:val="24"/>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6">
    <w:nsid w:val="514F7994"/>
    <w:multiLevelType w:val="hybridMultilevel"/>
    <w:tmpl w:val="E1867264"/>
    <w:lvl w:ilvl="0" w:tplc="C3C60946">
      <w:start w:val="1"/>
      <w:numFmt w:val="decimal"/>
      <w:pStyle w:val="Chapter1"/>
      <w:lvlText w:val="1.%1"/>
      <w:lvlJc w:val="left"/>
      <w:pPr>
        <w:tabs>
          <w:tab w:val="num" w:pos="851"/>
        </w:tabs>
        <w:ind w:left="851" w:hanging="851"/>
      </w:pPr>
      <w:rPr>
        <w:rFonts w:hint="default"/>
        <w:b w:val="0"/>
      </w:rPr>
    </w:lvl>
    <w:lvl w:ilvl="1" w:tplc="6FB61F34">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7">
    <w:nsid w:val="58753E78"/>
    <w:multiLevelType w:val="hybridMultilevel"/>
    <w:tmpl w:val="0434BBA2"/>
    <w:lvl w:ilvl="0" w:tplc="81E22796">
      <w:start w:val="1"/>
      <w:numFmt w:val="decimal"/>
      <w:pStyle w:val="Chapter4"/>
      <w:lvlText w:val="4.%1"/>
      <w:lvlJc w:val="left"/>
      <w:pPr>
        <w:ind w:left="360" w:hanging="360"/>
      </w:pPr>
      <w:rPr>
        <w:rFonts w:hint="default"/>
        <w:b w:val="0"/>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640C6943"/>
    <w:multiLevelType w:val="singleLevel"/>
    <w:tmpl w:val="58F40618"/>
    <w:lvl w:ilvl="0">
      <w:start w:val="1"/>
      <w:numFmt w:val="decimal"/>
      <w:pStyle w:val="Chapter3"/>
      <w:lvlText w:val="3.%1"/>
      <w:lvlJc w:val="left"/>
      <w:pPr>
        <w:tabs>
          <w:tab w:val="num" w:pos="851"/>
        </w:tabs>
        <w:ind w:left="851" w:hanging="851"/>
      </w:pPr>
      <w:rPr>
        <w:rFonts w:hint="default"/>
      </w:rPr>
    </w:lvl>
  </w:abstractNum>
  <w:abstractNum w:abstractNumId="9">
    <w:nsid w:val="6B557726"/>
    <w:multiLevelType w:val="hybridMultilevel"/>
    <w:tmpl w:val="A5460864"/>
    <w:lvl w:ilvl="0" w:tplc="B3F2B942">
      <w:start w:val="1"/>
      <w:numFmt w:val="decimal"/>
      <w:pStyle w:val="Chapter10"/>
      <w:lvlText w:val="10.%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6F09054B"/>
    <w:multiLevelType w:val="hybridMultilevel"/>
    <w:tmpl w:val="86722BDC"/>
    <w:lvl w:ilvl="0" w:tplc="A8F6750E">
      <w:start w:val="1"/>
      <w:numFmt w:val="bullet"/>
      <w:pStyle w:val="Indentbullet"/>
      <w:lvlText w:val=""/>
      <w:lvlJc w:val="left"/>
      <w:pPr>
        <w:tabs>
          <w:tab w:val="num" w:pos="567"/>
        </w:tabs>
        <w:ind w:left="567" w:hanging="510"/>
      </w:pPr>
      <w:rPr>
        <w:rFonts w:ascii="Symbol" w:hAnsi="Symbol" w:hint="default"/>
        <w:sz w:val="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9"/>
  </w:num>
  <w:num w:numId="4">
    <w:abstractNumId w:val="2"/>
  </w:num>
  <w:num w:numId="5">
    <w:abstractNumId w:val="8"/>
  </w:num>
  <w:num w:numId="6">
    <w:abstractNumId w:val="0"/>
  </w:num>
  <w:num w:numId="7">
    <w:abstractNumId w:val="1"/>
  </w:num>
  <w:num w:numId="8">
    <w:abstractNumId w:val="10"/>
  </w:num>
  <w:num w:numId="9">
    <w:abstractNumId w:val="4"/>
  </w:num>
  <w:num w:numId="10">
    <w:abstractNumId w:val="7"/>
  </w:num>
  <w:num w:numId="11">
    <w:abstractNumId w:val="3"/>
  </w:num>
  <w:num w:numId="12">
    <w:abstractNumId w:val="6"/>
  </w:num>
  <w:num w:numId="13">
    <w:abstractNumId w:val="6"/>
  </w:num>
  <w:num w:numId="14">
    <w:abstractNumId w:val="2"/>
  </w:num>
  <w:num w:numId="15">
    <w:abstractNumId w:val="2"/>
  </w:num>
  <w:num w:numId="16">
    <w:abstractNumId w:val="2"/>
  </w:num>
  <w:num w:numId="17">
    <w:abstractNumId w:val="8"/>
  </w:num>
  <w:num w:numId="18">
    <w:abstractNumId w:val="7"/>
  </w:num>
  <w:num w:numId="19">
    <w:abstractNumId w:val="7"/>
  </w:num>
  <w:num w:numId="20">
    <w:abstractNumId w:val="0"/>
  </w:num>
  <w:num w:numId="21">
    <w:abstractNumId w:val="0"/>
  </w:num>
  <w:num w:numId="22">
    <w:abstractNumId w:val="6"/>
  </w:num>
  <w:num w:numId="2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CF4"/>
    <w:rsid w:val="00000B0E"/>
    <w:rsid w:val="00001C74"/>
    <w:rsid w:val="000020AC"/>
    <w:rsid w:val="000022EC"/>
    <w:rsid w:val="000028F6"/>
    <w:rsid w:val="0000377B"/>
    <w:rsid w:val="00003908"/>
    <w:rsid w:val="00004663"/>
    <w:rsid w:val="00004FBF"/>
    <w:rsid w:val="00005931"/>
    <w:rsid w:val="00006422"/>
    <w:rsid w:val="00007351"/>
    <w:rsid w:val="00007ACD"/>
    <w:rsid w:val="00012289"/>
    <w:rsid w:val="000127E2"/>
    <w:rsid w:val="00012D27"/>
    <w:rsid w:val="000138FA"/>
    <w:rsid w:val="00014230"/>
    <w:rsid w:val="00015410"/>
    <w:rsid w:val="00015CE1"/>
    <w:rsid w:val="00015F50"/>
    <w:rsid w:val="00016300"/>
    <w:rsid w:val="000165F7"/>
    <w:rsid w:val="0001695D"/>
    <w:rsid w:val="00016A08"/>
    <w:rsid w:val="000171CE"/>
    <w:rsid w:val="00017FDA"/>
    <w:rsid w:val="00020BDD"/>
    <w:rsid w:val="000227F2"/>
    <w:rsid w:val="0002323A"/>
    <w:rsid w:val="0002340B"/>
    <w:rsid w:val="00023739"/>
    <w:rsid w:val="00024357"/>
    <w:rsid w:val="000244E2"/>
    <w:rsid w:val="000250E7"/>
    <w:rsid w:val="000251CA"/>
    <w:rsid w:val="000259A5"/>
    <w:rsid w:val="00025ED4"/>
    <w:rsid w:val="0002744F"/>
    <w:rsid w:val="00027B73"/>
    <w:rsid w:val="0003027F"/>
    <w:rsid w:val="00031162"/>
    <w:rsid w:val="0003124A"/>
    <w:rsid w:val="00031600"/>
    <w:rsid w:val="0003164B"/>
    <w:rsid w:val="000317D5"/>
    <w:rsid w:val="00033150"/>
    <w:rsid w:val="00033259"/>
    <w:rsid w:val="00033F79"/>
    <w:rsid w:val="00033F9A"/>
    <w:rsid w:val="000344D8"/>
    <w:rsid w:val="00034917"/>
    <w:rsid w:val="00035F81"/>
    <w:rsid w:val="000363CA"/>
    <w:rsid w:val="00037A83"/>
    <w:rsid w:val="00040421"/>
    <w:rsid w:val="000407DB"/>
    <w:rsid w:val="00041A29"/>
    <w:rsid w:val="00041E24"/>
    <w:rsid w:val="000420F3"/>
    <w:rsid w:val="000427CB"/>
    <w:rsid w:val="00043BEF"/>
    <w:rsid w:val="000441AD"/>
    <w:rsid w:val="0004525E"/>
    <w:rsid w:val="00047CC7"/>
    <w:rsid w:val="00047FF9"/>
    <w:rsid w:val="00050E51"/>
    <w:rsid w:val="00051E9F"/>
    <w:rsid w:val="000523E0"/>
    <w:rsid w:val="00052D57"/>
    <w:rsid w:val="00053A26"/>
    <w:rsid w:val="00053BF5"/>
    <w:rsid w:val="0005471A"/>
    <w:rsid w:val="00055518"/>
    <w:rsid w:val="00055A71"/>
    <w:rsid w:val="000570B4"/>
    <w:rsid w:val="0005761B"/>
    <w:rsid w:val="000578D5"/>
    <w:rsid w:val="00062652"/>
    <w:rsid w:val="00062975"/>
    <w:rsid w:val="00063BB7"/>
    <w:rsid w:val="0006481A"/>
    <w:rsid w:val="00064C13"/>
    <w:rsid w:val="00064CDF"/>
    <w:rsid w:val="00065C70"/>
    <w:rsid w:val="0006756D"/>
    <w:rsid w:val="00067972"/>
    <w:rsid w:val="000704DC"/>
    <w:rsid w:val="00070A6E"/>
    <w:rsid w:val="00070DD7"/>
    <w:rsid w:val="00072271"/>
    <w:rsid w:val="00073156"/>
    <w:rsid w:val="00074205"/>
    <w:rsid w:val="000742F6"/>
    <w:rsid w:val="0007466A"/>
    <w:rsid w:val="00075323"/>
    <w:rsid w:val="0007577B"/>
    <w:rsid w:val="00075A20"/>
    <w:rsid w:val="0008037D"/>
    <w:rsid w:val="00081340"/>
    <w:rsid w:val="0008243F"/>
    <w:rsid w:val="0008270C"/>
    <w:rsid w:val="00083BA4"/>
    <w:rsid w:val="00083D81"/>
    <w:rsid w:val="00084ED4"/>
    <w:rsid w:val="00085DB0"/>
    <w:rsid w:val="00086EEF"/>
    <w:rsid w:val="00087532"/>
    <w:rsid w:val="0009078D"/>
    <w:rsid w:val="00090841"/>
    <w:rsid w:val="00090F74"/>
    <w:rsid w:val="00091439"/>
    <w:rsid w:val="00092C7E"/>
    <w:rsid w:val="000936A5"/>
    <w:rsid w:val="00093C2B"/>
    <w:rsid w:val="0009535E"/>
    <w:rsid w:val="00095441"/>
    <w:rsid w:val="00095978"/>
    <w:rsid w:val="00095FBF"/>
    <w:rsid w:val="00096603"/>
    <w:rsid w:val="00096828"/>
    <w:rsid w:val="00096E9F"/>
    <w:rsid w:val="000972F9"/>
    <w:rsid w:val="00097BC7"/>
    <w:rsid w:val="000A09DC"/>
    <w:rsid w:val="000A1039"/>
    <w:rsid w:val="000A1D11"/>
    <w:rsid w:val="000A21B8"/>
    <w:rsid w:val="000A2369"/>
    <w:rsid w:val="000A3B98"/>
    <w:rsid w:val="000A43B8"/>
    <w:rsid w:val="000A4A84"/>
    <w:rsid w:val="000A55B7"/>
    <w:rsid w:val="000A72F3"/>
    <w:rsid w:val="000A7407"/>
    <w:rsid w:val="000B034A"/>
    <w:rsid w:val="000B0C18"/>
    <w:rsid w:val="000B1DE7"/>
    <w:rsid w:val="000B38A9"/>
    <w:rsid w:val="000B3921"/>
    <w:rsid w:val="000B3C43"/>
    <w:rsid w:val="000B4164"/>
    <w:rsid w:val="000B5747"/>
    <w:rsid w:val="000B5839"/>
    <w:rsid w:val="000B7286"/>
    <w:rsid w:val="000C009E"/>
    <w:rsid w:val="000C0168"/>
    <w:rsid w:val="000C0315"/>
    <w:rsid w:val="000C0379"/>
    <w:rsid w:val="000C0FE0"/>
    <w:rsid w:val="000C275C"/>
    <w:rsid w:val="000C3FFB"/>
    <w:rsid w:val="000C5DF3"/>
    <w:rsid w:val="000C5EB7"/>
    <w:rsid w:val="000C61AC"/>
    <w:rsid w:val="000C6E0B"/>
    <w:rsid w:val="000C73AB"/>
    <w:rsid w:val="000C777A"/>
    <w:rsid w:val="000C78C9"/>
    <w:rsid w:val="000D05E0"/>
    <w:rsid w:val="000D0F7B"/>
    <w:rsid w:val="000D154C"/>
    <w:rsid w:val="000D1ECE"/>
    <w:rsid w:val="000D24B2"/>
    <w:rsid w:val="000D2EB0"/>
    <w:rsid w:val="000D431B"/>
    <w:rsid w:val="000D477E"/>
    <w:rsid w:val="000D5566"/>
    <w:rsid w:val="000E0E47"/>
    <w:rsid w:val="000E1182"/>
    <w:rsid w:val="000E1473"/>
    <w:rsid w:val="000E2A13"/>
    <w:rsid w:val="000E3A50"/>
    <w:rsid w:val="000E3D2B"/>
    <w:rsid w:val="000E4D24"/>
    <w:rsid w:val="000E5145"/>
    <w:rsid w:val="000E5794"/>
    <w:rsid w:val="000E6A20"/>
    <w:rsid w:val="000E764D"/>
    <w:rsid w:val="000E7703"/>
    <w:rsid w:val="000E7C71"/>
    <w:rsid w:val="000E7EAB"/>
    <w:rsid w:val="000F09EA"/>
    <w:rsid w:val="000F3A5E"/>
    <w:rsid w:val="000F4184"/>
    <w:rsid w:val="000F4BC1"/>
    <w:rsid w:val="000F7153"/>
    <w:rsid w:val="000F7771"/>
    <w:rsid w:val="000F793E"/>
    <w:rsid w:val="000F7D32"/>
    <w:rsid w:val="001005B7"/>
    <w:rsid w:val="00100901"/>
    <w:rsid w:val="001022A4"/>
    <w:rsid w:val="00104713"/>
    <w:rsid w:val="001069A6"/>
    <w:rsid w:val="001074DD"/>
    <w:rsid w:val="001078F8"/>
    <w:rsid w:val="00107E1C"/>
    <w:rsid w:val="00110264"/>
    <w:rsid w:val="0011038B"/>
    <w:rsid w:val="0011335D"/>
    <w:rsid w:val="001142E4"/>
    <w:rsid w:val="00115D1B"/>
    <w:rsid w:val="001165E1"/>
    <w:rsid w:val="00117C16"/>
    <w:rsid w:val="00117FCC"/>
    <w:rsid w:val="001201B6"/>
    <w:rsid w:val="001203A8"/>
    <w:rsid w:val="0012097C"/>
    <w:rsid w:val="00121752"/>
    <w:rsid w:val="00122B31"/>
    <w:rsid w:val="0012550F"/>
    <w:rsid w:val="001259A9"/>
    <w:rsid w:val="001259EE"/>
    <w:rsid w:val="00125F5A"/>
    <w:rsid w:val="00126F60"/>
    <w:rsid w:val="001308A4"/>
    <w:rsid w:val="00130AD9"/>
    <w:rsid w:val="00130DB2"/>
    <w:rsid w:val="001318E4"/>
    <w:rsid w:val="00131B6A"/>
    <w:rsid w:val="001324ED"/>
    <w:rsid w:val="00132976"/>
    <w:rsid w:val="00133C49"/>
    <w:rsid w:val="0013416D"/>
    <w:rsid w:val="001348E3"/>
    <w:rsid w:val="00134C59"/>
    <w:rsid w:val="00134E50"/>
    <w:rsid w:val="001353EA"/>
    <w:rsid w:val="00135C5F"/>
    <w:rsid w:val="00136CB8"/>
    <w:rsid w:val="00137899"/>
    <w:rsid w:val="00140325"/>
    <w:rsid w:val="00140748"/>
    <w:rsid w:val="00141834"/>
    <w:rsid w:val="00141FBF"/>
    <w:rsid w:val="001425E7"/>
    <w:rsid w:val="00143CAA"/>
    <w:rsid w:val="00144E50"/>
    <w:rsid w:val="001455DB"/>
    <w:rsid w:val="0014563C"/>
    <w:rsid w:val="001475BF"/>
    <w:rsid w:val="0015001E"/>
    <w:rsid w:val="001503F3"/>
    <w:rsid w:val="00150A63"/>
    <w:rsid w:val="00150DC8"/>
    <w:rsid w:val="001526C7"/>
    <w:rsid w:val="00154A0A"/>
    <w:rsid w:val="0015532D"/>
    <w:rsid w:val="00157C9A"/>
    <w:rsid w:val="00157DCD"/>
    <w:rsid w:val="00160D92"/>
    <w:rsid w:val="001618B7"/>
    <w:rsid w:val="00161FC6"/>
    <w:rsid w:val="0016204A"/>
    <w:rsid w:val="00162125"/>
    <w:rsid w:val="00162140"/>
    <w:rsid w:val="0016327A"/>
    <w:rsid w:val="001634BA"/>
    <w:rsid w:val="00164E6E"/>
    <w:rsid w:val="00166632"/>
    <w:rsid w:val="00166D50"/>
    <w:rsid w:val="00166EC0"/>
    <w:rsid w:val="00166FD2"/>
    <w:rsid w:val="001678F2"/>
    <w:rsid w:val="001702CB"/>
    <w:rsid w:val="00171041"/>
    <w:rsid w:val="001713B3"/>
    <w:rsid w:val="001722B8"/>
    <w:rsid w:val="00172497"/>
    <w:rsid w:val="00173A98"/>
    <w:rsid w:val="001741F3"/>
    <w:rsid w:val="00174933"/>
    <w:rsid w:val="001768E1"/>
    <w:rsid w:val="00176CEC"/>
    <w:rsid w:val="00176E74"/>
    <w:rsid w:val="001773A3"/>
    <w:rsid w:val="00177C80"/>
    <w:rsid w:val="00177FE1"/>
    <w:rsid w:val="00180ED9"/>
    <w:rsid w:val="0018152F"/>
    <w:rsid w:val="001819DB"/>
    <w:rsid w:val="00182551"/>
    <w:rsid w:val="00183339"/>
    <w:rsid w:val="001836E5"/>
    <w:rsid w:val="00183E66"/>
    <w:rsid w:val="00183F66"/>
    <w:rsid w:val="00185992"/>
    <w:rsid w:val="001865F5"/>
    <w:rsid w:val="0019023E"/>
    <w:rsid w:val="001926AA"/>
    <w:rsid w:val="00193C9E"/>
    <w:rsid w:val="00194D6F"/>
    <w:rsid w:val="001955D3"/>
    <w:rsid w:val="00196612"/>
    <w:rsid w:val="001966F7"/>
    <w:rsid w:val="00197444"/>
    <w:rsid w:val="0019795B"/>
    <w:rsid w:val="001A2489"/>
    <w:rsid w:val="001A2A81"/>
    <w:rsid w:val="001A2BCA"/>
    <w:rsid w:val="001A2D0D"/>
    <w:rsid w:val="001A2E8C"/>
    <w:rsid w:val="001A3053"/>
    <w:rsid w:val="001A385F"/>
    <w:rsid w:val="001A3B38"/>
    <w:rsid w:val="001A475F"/>
    <w:rsid w:val="001A6A36"/>
    <w:rsid w:val="001A721B"/>
    <w:rsid w:val="001B1F2F"/>
    <w:rsid w:val="001B1FAA"/>
    <w:rsid w:val="001B57E9"/>
    <w:rsid w:val="001B6791"/>
    <w:rsid w:val="001C1957"/>
    <w:rsid w:val="001C23A1"/>
    <w:rsid w:val="001C38AE"/>
    <w:rsid w:val="001C513E"/>
    <w:rsid w:val="001C5F32"/>
    <w:rsid w:val="001C6F6F"/>
    <w:rsid w:val="001C74B8"/>
    <w:rsid w:val="001C77B2"/>
    <w:rsid w:val="001D02C2"/>
    <w:rsid w:val="001D0512"/>
    <w:rsid w:val="001D1253"/>
    <w:rsid w:val="001D17D0"/>
    <w:rsid w:val="001D47CB"/>
    <w:rsid w:val="001D4B71"/>
    <w:rsid w:val="001D4F54"/>
    <w:rsid w:val="001D5A37"/>
    <w:rsid w:val="001D72DE"/>
    <w:rsid w:val="001D768A"/>
    <w:rsid w:val="001D799C"/>
    <w:rsid w:val="001E00D2"/>
    <w:rsid w:val="001E08BE"/>
    <w:rsid w:val="001E0E8B"/>
    <w:rsid w:val="001E193C"/>
    <w:rsid w:val="001E1CE3"/>
    <w:rsid w:val="001E2766"/>
    <w:rsid w:val="001E3029"/>
    <w:rsid w:val="001E42F3"/>
    <w:rsid w:val="001E5B1D"/>
    <w:rsid w:val="001E6237"/>
    <w:rsid w:val="001E7D14"/>
    <w:rsid w:val="001F0321"/>
    <w:rsid w:val="001F1432"/>
    <w:rsid w:val="001F1B9D"/>
    <w:rsid w:val="001F35C8"/>
    <w:rsid w:val="001F55B4"/>
    <w:rsid w:val="001F59C2"/>
    <w:rsid w:val="001F6CB4"/>
    <w:rsid w:val="001F6EBF"/>
    <w:rsid w:val="001F75A7"/>
    <w:rsid w:val="001F78F6"/>
    <w:rsid w:val="001F7F76"/>
    <w:rsid w:val="002001FA"/>
    <w:rsid w:val="002003FE"/>
    <w:rsid w:val="00200688"/>
    <w:rsid w:val="00200C96"/>
    <w:rsid w:val="00200D37"/>
    <w:rsid w:val="00200D9B"/>
    <w:rsid w:val="00200E81"/>
    <w:rsid w:val="00200EE6"/>
    <w:rsid w:val="002025E9"/>
    <w:rsid w:val="002033D4"/>
    <w:rsid w:val="002040FD"/>
    <w:rsid w:val="00205799"/>
    <w:rsid w:val="0020641A"/>
    <w:rsid w:val="0020754A"/>
    <w:rsid w:val="002121FC"/>
    <w:rsid w:val="002137D1"/>
    <w:rsid w:val="0021414A"/>
    <w:rsid w:val="002152CE"/>
    <w:rsid w:val="0021548E"/>
    <w:rsid w:val="00216D5E"/>
    <w:rsid w:val="002177BB"/>
    <w:rsid w:val="00217C12"/>
    <w:rsid w:val="00217D7F"/>
    <w:rsid w:val="00220586"/>
    <w:rsid w:val="00223537"/>
    <w:rsid w:val="00223A99"/>
    <w:rsid w:val="00224105"/>
    <w:rsid w:val="00225442"/>
    <w:rsid w:val="002259AD"/>
    <w:rsid w:val="00226E1F"/>
    <w:rsid w:val="00230335"/>
    <w:rsid w:val="00231C75"/>
    <w:rsid w:val="002325A4"/>
    <w:rsid w:val="00232C5B"/>
    <w:rsid w:val="0023315E"/>
    <w:rsid w:val="00233203"/>
    <w:rsid w:val="002334CC"/>
    <w:rsid w:val="00233788"/>
    <w:rsid w:val="002343E9"/>
    <w:rsid w:val="002357D6"/>
    <w:rsid w:val="002357F1"/>
    <w:rsid w:val="0023589C"/>
    <w:rsid w:val="002358A1"/>
    <w:rsid w:val="002361A0"/>
    <w:rsid w:val="002361C9"/>
    <w:rsid w:val="0023748D"/>
    <w:rsid w:val="00237EF2"/>
    <w:rsid w:val="00240DCC"/>
    <w:rsid w:val="00240E54"/>
    <w:rsid w:val="0024175F"/>
    <w:rsid w:val="0024207B"/>
    <w:rsid w:val="00242446"/>
    <w:rsid w:val="00242481"/>
    <w:rsid w:val="002435A6"/>
    <w:rsid w:val="00243C69"/>
    <w:rsid w:val="00244391"/>
    <w:rsid w:val="0024657E"/>
    <w:rsid w:val="0025084A"/>
    <w:rsid w:val="002516B4"/>
    <w:rsid w:val="00251F57"/>
    <w:rsid w:val="00253969"/>
    <w:rsid w:val="00254177"/>
    <w:rsid w:val="0025456D"/>
    <w:rsid w:val="002554FA"/>
    <w:rsid w:val="00255B9B"/>
    <w:rsid w:val="002569D1"/>
    <w:rsid w:val="0025712F"/>
    <w:rsid w:val="00257BD6"/>
    <w:rsid w:val="0026027E"/>
    <w:rsid w:val="00260B59"/>
    <w:rsid w:val="00260ED8"/>
    <w:rsid w:val="00263E47"/>
    <w:rsid w:val="00264F96"/>
    <w:rsid w:val="00265A33"/>
    <w:rsid w:val="00267C0F"/>
    <w:rsid w:val="0027067F"/>
    <w:rsid w:val="00270819"/>
    <w:rsid w:val="00271089"/>
    <w:rsid w:val="00272D6B"/>
    <w:rsid w:val="00273349"/>
    <w:rsid w:val="0027768B"/>
    <w:rsid w:val="00277C44"/>
    <w:rsid w:val="00280A12"/>
    <w:rsid w:val="00281122"/>
    <w:rsid w:val="00281394"/>
    <w:rsid w:val="002833B1"/>
    <w:rsid w:val="00283A2A"/>
    <w:rsid w:val="00284AC1"/>
    <w:rsid w:val="00286748"/>
    <w:rsid w:val="00286A7F"/>
    <w:rsid w:val="002876DA"/>
    <w:rsid w:val="00290180"/>
    <w:rsid w:val="00291A59"/>
    <w:rsid w:val="0029316E"/>
    <w:rsid w:val="002934B0"/>
    <w:rsid w:val="002960FD"/>
    <w:rsid w:val="00296186"/>
    <w:rsid w:val="00296FC3"/>
    <w:rsid w:val="002A0026"/>
    <w:rsid w:val="002A08D5"/>
    <w:rsid w:val="002A1409"/>
    <w:rsid w:val="002A1595"/>
    <w:rsid w:val="002A2045"/>
    <w:rsid w:val="002A2064"/>
    <w:rsid w:val="002A2214"/>
    <w:rsid w:val="002A2B6F"/>
    <w:rsid w:val="002A36D1"/>
    <w:rsid w:val="002A3B83"/>
    <w:rsid w:val="002A3B95"/>
    <w:rsid w:val="002A54C5"/>
    <w:rsid w:val="002A5E6C"/>
    <w:rsid w:val="002A6420"/>
    <w:rsid w:val="002A6B59"/>
    <w:rsid w:val="002A729A"/>
    <w:rsid w:val="002A73C2"/>
    <w:rsid w:val="002A7B5E"/>
    <w:rsid w:val="002A7F65"/>
    <w:rsid w:val="002A7F74"/>
    <w:rsid w:val="002B069D"/>
    <w:rsid w:val="002B1357"/>
    <w:rsid w:val="002B213A"/>
    <w:rsid w:val="002B2144"/>
    <w:rsid w:val="002B2263"/>
    <w:rsid w:val="002B2E95"/>
    <w:rsid w:val="002B3770"/>
    <w:rsid w:val="002B4DC3"/>
    <w:rsid w:val="002B4F5B"/>
    <w:rsid w:val="002B5548"/>
    <w:rsid w:val="002B7250"/>
    <w:rsid w:val="002B7503"/>
    <w:rsid w:val="002C026D"/>
    <w:rsid w:val="002C1491"/>
    <w:rsid w:val="002C1D40"/>
    <w:rsid w:val="002C3489"/>
    <w:rsid w:val="002C3D65"/>
    <w:rsid w:val="002C42C6"/>
    <w:rsid w:val="002C4868"/>
    <w:rsid w:val="002C5860"/>
    <w:rsid w:val="002C5CE7"/>
    <w:rsid w:val="002C5E5F"/>
    <w:rsid w:val="002C6560"/>
    <w:rsid w:val="002C723A"/>
    <w:rsid w:val="002C7448"/>
    <w:rsid w:val="002C7AD2"/>
    <w:rsid w:val="002D08DF"/>
    <w:rsid w:val="002D0B41"/>
    <w:rsid w:val="002D0DBB"/>
    <w:rsid w:val="002D0F98"/>
    <w:rsid w:val="002D3727"/>
    <w:rsid w:val="002D5595"/>
    <w:rsid w:val="002D5728"/>
    <w:rsid w:val="002D5AB9"/>
    <w:rsid w:val="002D78AA"/>
    <w:rsid w:val="002D78D6"/>
    <w:rsid w:val="002D7CEB"/>
    <w:rsid w:val="002E05EC"/>
    <w:rsid w:val="002E093E"/>
    <w:rsid w:val="002E102D"/>
    <w:rsid w:val="002E227E"/>
    <w:rsid w:val="002E2999"/>
    <w:rsid w:val="002E3A75"/>
    <w:rsid w:val="002E6749"/>
    <w:rsid w:val="002E6DA9"/>
    <w:rsid w:val="002F082A"/>
    <w:rsid w:val="002F102C"/>
    <w:rsid w:val="002F2C39"/>
    <w:rsid w:val="002F3032"/>
    <w:rsid w:val="002F46B3"/>
    <w:rsid w:val="002F5647"/>
    <w:rsid w:val="002F5A43"/>
    <w:rsid w:val="002F60BE"/>
    <w:rsid w:val="003003A2"/>
    <w:rsid w:val="00301403"/>
    <w:rsid w:val="00301F7A"/>
    <w:rsid w:val="00302420"/>
    <w:rsid w:val="0030295B"/>
    <w:rsid w:val="0030367F"/>
    <w:rsid w:val="003048A8"/>
    <w:rsid w:val="00304C48"/>
    <w:rsid w:val="0030508B"/>
    <w:rsid w:val="0030535A"/>
    <w:rsid w:val="00305CCB"/>
    <w:rsid w:val="0030684E"/>
    <w:rsid w:val="003102F7"/>
    <w:rsid w:val="003103F3"/>
    <w:rsid w:val="00311DBB"/>
    <w:rsid w:val="003120D8"/>
    <w:rsid w:val="00313F7C"/>
    <w:rsid w:val="00317CA5"/>
    <w:rsid w:val="00320319"/>
    <w:rsid w:val="003211C9"/>
    <w:rsid w:val="0032154C"/>
    <w:rsid w:val="00323462"/>
    <w:rsid w:val="0032499B"/>
    <w:rsid w:val="00324EFF"/>
    <w:rsid w:val="00325904"/>
    <w:rsid w:val="00325948"/>
    <w:rsid w:val="003265FB"/>
    <w:rsid w:val="0032688A"/>
    <w:rsid w:val="00327A29"/>
    <w:rsid w:val="00327C77"/>
    <w:rsid w:val="00331093"/>
    <w:rsid w:val="0033227F"/>
    <w:rsid w:val="00332EF1"/>
    <w:rsid w:val="00333F40"/>
    <w:rsid w:val="00334012"/>
    <w:rsid w:val="003356AC"/>
    <w:rsid w:val="003364DC"/>
    <w:rsid w:val="00337C06"/>
    <w:rsid w:val="003413ED"/>
    <w:rsid w:val="00341557"/>
    <w:rsid w:val="0034165E"/>
    <w:rsid w:val="00341814"/>
    <w:rsid w:val="003427E1"/>
    <w:rsid w:val="00343FC6"/>
    <w:rsid w:val="0034639D"/>
    <w:rsid w:val="0034647D"/>
    <w:rsid w:val="003473DB"/>
    <w:rsid w:val="003518E2"/>
    <w:rsid w:val="0035326A"/>
    <w:rsid w:val="00354453"/>
    <w:rsid w:val="003553CC"/>
    <w:rsid w:val="003563D9"/>
    <w:rsid w:val="00356578"/>
    <w:rsid w:val="00357456"/>
    <w:rsid w:val="003574A4"/>
    <w:rsid w:val="00360E09"/>
    <w:rsid w:val="0036156A"/>
    <w:rsid w:val="00362461"/>
    <w:rsid w:val="00367337"/>
    <w:rsid w:val="00367C7B"/>
    <w:rsid w:val="00370F9D"/>
    <w:rsid w:val="00371125"/>
    <w:rsid w:val="0037156C"/>
    <w:rsid w:val="0037173A"/>
    <w:rsid w:val="00373471"/>
    <w:rsid w:val="00373D19"/>
    <w:rsid w:val="00373E7D"/>
    <w:rsid w:val="00373F5D"/>
    <w:rsid w:val="003742E3"/>
    <w:rsid w:val="00374B83"/>
    <w:rsid w:val="00374BD9"/>
    <w:rsid w:val="00374E66"/>
    <w:rsid w:val="003754D0"/>
    <w:rsid w:val="003759E0"/>
    <w:rsid w:val="00375A8F"/>
    <w:rsid w:val="00377234"/>
    <w:rsid w:val="00377524"/>
    <w:rsid w:val="00380CAC"/>
    <w:rsid w:val="00381373"/>
    <w:rsid w:val="00381A48"/>
    <w:rsid w:val="00381ABC"/>
    <w:rsid w:val="00382E2E"/>
    <w:rsid w:val="00382E3A"/>
    <w:rsid w:val="00383C7E"/>
    <w:rsid w:val="003844CA"/>
    <w:rsid w:val="00384C7E"/>
    <w:rsid w:val="003853C6"/>
    <w:rsid w:val="0038645D"/>
    <w:rsid w:val="00387D1E"/>
    <w:rsid w:val="00390F8D"/>
    <w:rsid w:val="003919BF"/>
    <w:rsid w:val="00391A22"/>
    <w:rsid w:val="00391B92"/>
    <w:rsid w:val="00392924"/>
    <w:rsid w:val="003944D6"/>
    <w:rsid w:val="00394CF8"/>
    <w:rsid w:val="003953E1"/>
    <w:rsid w:val="00395475"/>
    <w:rsid w:val="00395B3F"/>
    <w:rsid w:val="003962BF"/>
    <w:rsid w:val="00396824"/>
    <w:rsid w:val="00396F3D"/>
    <w:rsid w:val="00397856"/>
    <w:rsid w:val="003A2D81"/>
    <w:rsid w:val="003A31FD"/>
    <w:rsid w:val="003A3FB3"/>
    <w:rsid w:val="003A4D95"/>
    <w:rsid w:val="003A51D7"/>
    <w:rsid w:val="003A5393"/>
    <w:rsid w:val="003A5488"/>
    <w:rsid w:val="003A59EA"/>
    <w:rsid w:val="003A5C2F"/>
    <w:rsid w:val="003A6591"/>
    <w:rsid w:val="003A7DBE"/>
    <w:rsid w:val="003B1F18"/>
    <w:rsid w:val="003B397F"/>
    <w:rsid w:val="003B51F9"/>
    <w:rsid w:val="003B76E3"/>
    <w:rsid w:val="003C055A"/>
    <w:rsid w:val="003C088D"/>
    <w:rsid w:val="003C0FAA"/>
    <w:rsid w:val="003C18F0"/>
    <w:rsid w:val="003C3352"/>
    <w:rsid w:val="003C3693"/>
    <w:rsid w:val="003C37C2"/>
    <w:rsid w:val="003C4126"/>
    <w:rsid w:val="003C502F"/>
    <w:rsid w:val="003C5519"/>
    <w:rsid w:val="003C58FE"/>
    <w:rsid w:val="003C6105"/>
    <w:rsid w:val="003C6A12"/>
    <w:rsid w:val="003C75F6"/>
    <w:rsid w:val="003D0B5A"/>
    <w:rsid w:val="003D0B8B"/>
    <w:rsid w:val="003D1452"/>
    <w:rsid w:val="003D1B1B"/>
    <w:rsid w:val="003D2265"/>
    <w:rsid w:val="003D34AB"/>
    <w:rsid w:val="003D424E"/>
    <w:rsid w:val="003D5ABD"/>
    <w:rsid w:val="003D6323"/>
    <w:rsid w:val="003D66AC"/>
    <w:rsid w:val="003D6777"/>
    <w:rsid w:val="003D684E"/>
    <w:rsid w:val="003D6EF5"/>
    <w:rsid w:val="003D73BF"/>
    <w:rsid w:val="003E0056"/>
    <w:rsid w:val="003E02BB"/>
    <w:rsid w:val="003E180A"/>
    <w:rsid w:val="003E40BB"/>
    <w:rsid w:val="003E44F6"/>
    <w:rsid w:val="003E51E2"/>
    <w:rsid w:val="003E64DF"/>
    <w:rsid w:val="003E7906"/>
    <w:rsid w:val="003E7977"/>
    <w:rsid w:val="003F03E7"/>
    <w:rsid w:val="003F04F0"/>
    <w:rsid w:val="003F202F"/>
    <w:rsid w:val="003F5739"/>
    <w:rsid w:val="003F6AB6"/>
    <w:rsid w:val="003F6E87"/>
    <w:rsid w:val="004001ED"/>
    <w:rsid w:val="00401F0F"/>
    <w:rsid w:val="0040231F"/>
    <w:rsid w:val="00403468"/>
    <w:rsid w:val="00404720"/>
    <w:rsid w:val="00404CDB"/>
    <w:rsid w:val="00405235"/>
    <w:rsid w:val="004067DB"/>
    <w:rsid w:val="0040742C"/>
    <w:rsid w:val="004105B6"/>
    <w:rsid w:val="00412789"/>
    <w:rsid w:val="00413004"/>
    <w:rsid w:val="0041332D"/>
    <w:rsid w:val="004137E5"/>
    <w:rsid w:val="0041492E"/>
    <w:rsid w:val="00414AC0"/>
    <w:rsid w:val="00414CD3"/>
    <w:rsid w:val="00414F89"/>
    <w:rsid w:val="00415044"/>
    <w:rsid w:val="00415EBF"/>
    <w:rsid w:val="004163ED"/>
    <w:rsid w:val="004216AC"/>
    <w:rsid w:val="0042286D"/>
    <w:rsid w:val="0042366E"/>
    <w:rsid w:val="004243F7"/>
    <w:rsid w:val="00425852"/>
    <w:rsid w:val="004258D6"/>
    <w:rsid w:val="00425B49"/>
    <w:rsid w:val="00426E60"/>
    <w:rsid w:val="00427A1D"/>
    <w:rsid w:val="004306CC"/>
    <w:rsid w:val="00430BB2"/>
    <w:rsid w:val="0043107C"/>
    <w:rsid w:val="00431555"/>
    <w:rsid w:val="004317AF"/>
    <w:rsid w:val="00431E1A"/>
    <w:rsid w:val="004326C9"/>
    <w:rsid w:val="00432F19"/>
    <w:rsid w:val="00434294"/>
    <w:rsid w:val="00434570"/>
    <w:rsid w:val="004356A6"/>
    <w:rsid w:val="0043595D"/>
    <w:rsid w:val="00435C8B"/>
    <w:rsid w:val="00435CBF"/>
    <w:rsid w:val="00436DEB"/>
    <w:rsid w:val="00436FCD"/>
    <w:rsid w:val="00437229"/>
    <w:rsid w:val="00440808"/>
    <w:rsid w:val="0044126B"/>
    <w:rsid w:val="004421C2"/>
    <w:rsid w:val="00444029"/>
    <w:rsid w:val="004443DF"/>
    <w:rsid w:val="0044537A"/>
    <w:rsid w:val="00445690"/>
    <w:rsid w:val="004466BE"/>
    <w:rsid w:val="0044679A"/>
    <w:rsid w:val="0044726A"/>
    <w:rsid w:val="00447865"/>
    <w:rsid w:val="004478AE"/>
    <w:rsid w:val="00450226"/>
    <w:rsid w:val="00452105"/>
    <w:rsid w:val="00452856"/>
    <w:rsid w:val="004528FE"/>
    <w:rsid w:val="00453713"/>
    <w:rsid w:val="00453B77"/>
    <w:rsid w:val="00454686"/>
    <w:rsid w:val="00455B3C"/>
    <w:rsid w:val="00455C0D"/>
    <w:rsid w:val="00456269"/>
    <w:rsid w:val="00456DE8"/>
    <w:rsid w:val="00456E6B"/>
    <w:rsid w:val="004603E1"/>
    <w:rsid w:val="004649DC"/>
    <w:rsid w:val="004656AC"/>
    <w:rsid w:val="004662DA"/>
    <w:rsid w:val="0046685B"/>
    <w:rsid w:val="004709ED"/>
    <w:rsid w:val="004710A6"/>
    <w:rsid w:val="004714F2"/>
    <w:rsid w:val="00472C91"/>
    <w:rsid w:val="00472CC4"/>
    <w:rsid w:val="00473605"/>
    <w:rsid w:val="00473EF4"/>
    <w:rsid w:val="004741BA"/>
    <w:rsid w:val="0047650A"/>
    <w:rsid w:val="00477B93"/>
    <w:rsid w:val="00480BD5"/>
    <w:rsid w:val="00482460"/>
    <w:rsid w:val="00482B21"/>
    <w:rsid w:val="00482EDD"/>
    <w:rsid w:val="00483AE3"/>
    <w:rsid w:val="004846EA"/>
    <w:rsid w:val="00485CD4"/>
    <w:rsid w:val="004865E4"/>
    <w:rsid w:val="00493A9F"/>
    <w:rsid w:val="004955E2"/>
    <w:rsid w:val="00495AA8"/>
    <w:rsid w:val="00495F1D"/>
    <w:rsid w:val="004A0BAE"/>
    <w:rsid w:val="004A0E5F"/>
    <w:rsid w:val="004A11C8"/>
    <w:rsid w:val="004A1CB6"/>
    <w:rsid w:val="004A1DEC"/>
    <w:rsid w:val="004A3D4F"/>
    <w:rsid w:val="004A4529"/>
    <w:rsid w:val="004A492E"/>
    <w:rsid w:val="004A5D08"/>
    <w:rsid w:val="004A69EE"/>
    <w:rsid w:val="004A6E86"/>
    <w:rsid w:val="004A78E1"/>
    <w:rsid w:val="004B0523"/>
    <w:rsid w:val="004B07C3"/>
    <w:rsid w:val="004B0926"/>
    <w:rsid w:val="004B0D36"/>
    <w:rsid w:val="004B0DBC"/>
    <w:rsid w:val="004B1834"/>
    <w:rsid w:val="004B1B92"/>
    <w:rsid w:val="004B36B0"/>
    <w:rsid w:val="004B37FB"/>
    <w:rsid w:val="004B478A"/>
    <w:rsid w:val="004B659E"/>
    <w:rsid w:val="004B684C"/>
    <w:rsid w:val="004B6F8B"/>
    <w:rsid w:val="004C0B49"/>
    <w:rsid w:val="004C1701"/>
    <w:rsid w:val="004C2444"/>
    <w:rsid w:val="004C2DB8"/>
    <w:rsid w:val="004C5738"/>
    <w:rsid w:val="004D2442"/>
    <w:rsid w:val="004D2B7A"/>
    <w:rsid w:val="004D3235"/>
    <w:rsid w:val="004D3416"/>
    <w:rsid w:val="004D49A8"/>
    <w:rsid w:val="004D581C"/>
    <w:rsid w:val="004D5CE7"/>
    <w:rsid w:val="004D6158"/>
    <w:rsid w:val="004D6202"/>
    <w:rsid w:val="004D773C"/>
    <w:rsid w:val="004E0401"/>
    <w:rsid w:val="004E10A4"/>
    <w:rsid w:val="004E1651"/>
    <w:rsid w:val="004E2A2B"/>
    <w:rsid w:val="004E2CEB"/>
    <w:rsid w:val="004E32FB"/>
    <w:rsid w:val="004E3B51"/>
    <w:rsid w:val="004E491E"/>
    <w:rsid w:val="004E56B6"/>
    <w:rsid w:val="004E59D9"/>
    <w:rsid w:val="004E5AC5"/>
    <w:rsid w:val="004E5B10"/>
    <w:rsid w:val="004E648C"/>
    <w:rsid w:val="004E7011"/>
    <w:rsid w:val="004E72FD"/>
    <w:rsid w:val="004F0044"/>
    <w:rsid w:val="004F0199"/>
    <w:rsid w:val="004F1DC7"/>
    <w:rsid w:val="004F3671"/>
    <w:rsid w:val="004F41E6"/>
    <w:rsid w:val="004F4237"/>
    <w:rsid w:val="004F4278"/>
    <w:rsid w:val="004F4C58"/>
    <w:rsid w:val="004F5679"/>
    <w:rsid w:val="00501465"/>
    <w:rsid w:val="0050148E"/>
    <w:rsid w:val="0050189A"/>
    <w:rsid w:val="00501EBD"/>
    <w:rsid w:val="00502359"/>
    <w:rsid w:val="005025DD"/>
    <w:rsid w:val="00504650"/>
    <w:rsid w:val="00504739"/>
    <w:rsid w:val="005048B4"/>
    <w:rsid w:val="00506D48"/>
    <w:rsid w:val="00506D4E"/>
    <w:rsid w:val="0050746B"/>
    <w:rsid w:val="00507F62"/>
    <w:rsid w:val="00510088"/>
    <w:rsid w:val="005105C2"/>
    <w:rsid w:val="0051122F"/>
    <w:rsid w:val="00512EC7"/>
    <w:rsid w:val="00513EFC"/>
    <w:rsid w:val="00514F79"/>
    <w:rsid w:val="00517261"/>
    <w:rsid w:val="005206AF"/>
    <w:rsid w:val="005209B8"/>
    <w:rsid w:val="00520A2B"/>
    <w:rsid w:val="00521C06"/>
    <w:rsid w:val="00522274"/>
    <w:rsid w:val="00527A01"/>
    <w:rsid w:val="00527C6C"/>
    <w:rsid w:val="00530A3D"/>
    <w:rsid w:val="00531278"/>
    <w:rsid w:val="0053146F"/>
    <w:rsid w:val="0053156B"/>
    <w:rsid w:val="0053331C"/>
    <w:rsid w:val="005336EE"/>
    <w:rsid w:val="0053520E"/>
    <w:rsid w:val="0054074E"/>
    <w:rsid w:val="005408D9"/>
    <w:rsid w:val="0054091D"/>
    <w:rsid w:val="00541932"/>
    <w:rsid w:val="00542727"/>
    <w:rsid w:val="00542C0A"/>
    <w:rsid w:val="00543138"/>
    <w:rsid w:val="005434E2"/>
    <w:rsid w:val="00543F5C"/>
    <w:rsid w:val="00544662"/>
    <w:rsid w:val="005453ED"/>
    <w:rsid w:val="00545A7F"/>
    <w:rsid w:val="005460E6"/>
    <w:rsid w:val="00546249"/>
    <w:rsid w:val="00546695"/>
    <w:rsid w:val="00547046"/>
    <w:rsid w:val="005471D8"/>
    <w:rsid w:val="00547515"/>
    <w:rsid w:val="005509A1"/>
    <w:rsid w:val="00550F68"/>
    <w:rsid w:val="00551AC5"/>
    <w:rsid w:val="00551C9D"/>
    <w:rsid w:val="00551EBF"/>
    <w:rsid w:val="00551FAE"/>
    <w:rsid w:val="0055286A"/>
    <w:rsid w:val="00552DD1"/>
    <w:rsid w:val="00552F91"/>
    <w:rsid w:val="0055476A"/>
    <w:rsid w:val="00554E3A"/>
    <w:rsid w:val="005552CE"/>
    <w:rsid w:val="00556556"/>
    <w:rsid w:val="005575CB"/>
    <w:rsid w:val="00557701"/>
    <w:rsid w:val="00560940"/>
    <w:rsid w:val="00560D9C"/>
    <w:rsid w:val="005612CF"/>
    <w:rsid w:val="005614DF"/>
    <w:rsid w:val="00561AEA"/>
    <w:rsid w:val="00561BA6"/>
    <w:rsid w:val="00562990"/>
    <w:rsid w:val="0056437B"/>
    <w:rsid w:val="00565602"/>
    <w:rsid w:val="0056690C"/>
    <w:rsid w:val="00566A5A"/>
    <w:rsid w:val="00566CFF"/>
    <w:rsid w:val="00567926"/>
    <w:rsid w:val="005712D9"/>
    <w:rsid w:val="0057197F"/>
    <w:rsid w:val="00572167"/>
    <w:rsid w:val="00575170"/>
    <w:rsid w:val="00575AD3"/>
    <w:rsid w:val="00576746"/>
    <w:rsid w:val="00577313"/>
    <w:rsid w:val="0057761D"/>
    <w:rsid w:val="005776DA"/>
    <w:rsid w:val="005777C7"/>
    <w:rsid w:val="00580AF0"/>
    <w:rsid w:val="00580B4E"/>
    <w:rsid w:val="00581E13"/>
    <w:rsid w:val="005820F8"/>
    <w:rsid w:val="00582227"/>
    <w:rsid w:val="005825EE"/>
    <w:rsid w:val="005827DA"/>
    <w:rsid w:val="00583BFC"/>
    <w:rsid w:val="00583E53"/>
    <w:rsid w:val="00584AEF"/>
    <w:rsid w:val="00585700"/>
    <w:rsid w:val="00586ED7"/>
    <w:rsid w:val="005871DB"/>
    <w:rsid w:val="00590DA3"/>
    <w:rsid w:val="00590FF3"/>
    <w:rsid w:val="005911E8"/>
    <w:rsid w:val="005920A0"/>
    <w:rsid w:val="00592311"/>
    <w:rsid w:val="00592591"/>
    <w:rsid w:val="00592F96"/>
    <w:rsid w:val="005940FB"/>
    <w:rsid w:val="00595242"/>
    <w:rsid w:val="00595915"/>
    <w:rsid w:val="00595BCD"/>
    <w:rsid w:val="0059654D"/>
    <w:rsid w:val="005A04E2"/>
    <w:rsid w:val="005A086F"/>
    <w:rsid w:val="005A148F"/>
    <w:rsid w:val="005A1992"/>
    <w:rsid w:val="005A1E31"/>
    <w:rsid w:val="005A209F"/>
    <w:rsid w:val="005A3C70"/>
    <w:rsid w:val="005A3D08"/>
    <w:rsid w:val="005A3D33"/>
    <w:rsid w:val="005A49F7"/>
    <w:rsid w:val="005A5CF8"/>
    <w:rsid w:val="005A5EFE"/>
    <w:rsid w:val="005A629E"/>
    <w:rsid w:val="005A750A"/>
    <w:rsid w:val="005A76F3"/>
    <w:rsid w:val="005B06C3"/>
    <w:rsid w:val="005B0A7E"/>
    <w:rsid w:val="005B0CBB"/>
    <w:rsid w:val="005B1EAC"/>
    <w:rsid w:val="005B4501"/>
    <w:rsid w:val="005B46A5"/>
    <w:rsid w:val="005B46C1"/>
    <w:rsid w:val="005B4BF7"/>
    <w:rsid w:val="005B580C"/>
    <w:rsid w:val="005B5D85"/>
    <w:rsid w:val="005B66A6"/>
    <w:rsid w:val="005B6FEC"/>
    <w:rsid w:val="005B7D93"/>
    <w:rsid w:val="005B7F46"/>
    <w:rsid w:val="005C13E6"/>
    <w:rsid w:val="005C1D28"/>
    <w:rsid w:val="005C25A4"/>
    <w:rsid w:val="005C3DE8"/>
    <w:rsid w:val="005C3F09"/>
    <w:rsid w:val="005C56E9"/>
    <w:rsid w:val="005C6E37"/>
    <w:rsid w:val="005D00F5"/>
    <w:rsid w:val="005D1902"/>
    <w:rsid w:val="005D1BD6"/>
    <w:rsid w:val="005D1CBA"/>
    <w:rsid w:val="005D2143"/>
    <w:rsid w:val="005D3A47"/>
    <w:rsid w:val="005D4276"/>
    <w:rsid w:val="005D51C1"/>
    <w:rsid w:val="005D6E01"/>
    <w:rsid w:val="005D6E9E"/>
    <w:rsid w:val="005E0A51"/>
    <w:rsid w:val="005E1382"/>
    <w:rsid w:val="005E168D"/>
    <w:rsid w:val="005E3357"/>
    <w:rsid w:val="005E3C39"/>
    <w:rsid w:val="005E3F99"/>
    <w:rsid w:val="005E4520"/>
    <w:rsid w:val="005E51A7"/>
    <w:rsid w:val="005E52FB"/>
    <w:rsid w:val="005E559F"/>
    <w:rsid w:val="005E57EF"/>
    <w:rsid w:val="005E5C95"/>
    <w:rsid w:val="005E6722"/>
    <w:rsid w:val="005E7521"/>
    <w:rsid w:val="005F29F5"/>
    <w:rsid w:val="005F2FAC"/>
    <w:rsid w:val="005F305F"/>
    <w:rsid w:val="005F4770"/>
    <w:rsid w:val="005F480E"/>
    <w:rsid w:val="005F6053"/>
    <w:rsid w:val="005F6764"/>
    <w:rsid w:val="005F6EBC"/>
    <w:rsid w:val="005F74DC"/>
    <w:rsid w:val="00600152"/>
    <w:rsid w:val="006002F3"/>
    <w:rsid w:val="0060100F"/>
    <w:rsid w:val="0060141E"/>
    <w:rsid w:val="006024FE"/>
    <w:rsid w:val="00602686"/>
    <w:rsid w:val="00603414"/>
    <w:rsid w:val="00603449"/>
    <w:rsid w:val="00603F6E"/>
    <w:rsid w:val="006041F7"/>
    <w:rsid w:val="006042D1"/>
    <w:rsid w:val="00604543"/>
    <w:rsid w:val="0060457E"/>
    <w:rsid w:val="0060482E"/>
    <w:rsid w:val="0060519F"/>
    <w:rsid w:val="00606865"/>
    <w:rsid w:val="006076E4"/>
    <w:rsid w:val="0061003B"/>
    <w:rsid w:val="00610981"/>
    <w:rsid w:val="00610D98"/>
    <w:rsid w:val="00610EA0"/>
    <w:rsid w:val="006117FD"/>
    <w:rsid w:val="006121AE"/>
    <w:rsid w:val="006169BE"/>
    <w:rsid w:val="00617CE2"/>
    <w:rsid w:val="00617DFC"/>
    <w:rsid w:val="00617FD2"/>
    <w:rsid w:val="00620585"/>
    <w:rsid w:val="00620824"/>
    <w:rsid w:val="00620E6E"/>
    <w:rsid w:val="006210A3"/>
    <w:rsid w:val="006211C8"/>
    <w:rsid w:val="00623047"/>
    <w:rsid w:val="006233CC"/>
    <w:rsid w:val="00624062"/>
    <w:rsid w:val="006247B7"/>
    <w:rsid w:val="00624899"/>
    <w:rsid w:val="00627E1F"/>
    <w:rsid w:val="00631926"/>
    <w:rsid w:val="00631AD7"/>
    <w:rsid w:val="00632A6B"/>
    <w:rsid w:val="00633567"/>
    <w:rsid w:val="006350A3"/>
    <w:rsid w:val="00635E6E"/>
    <w:rsid w:val="00635EB8"/>
    <w:rsid w:val="00636058"/>
    <w:rsid w:val="00637A44"/>
    <w:rsid w:val="00637EA7"/>
    <w:rsid w:val="00642559"/>
    <w:rsid w:val="00642F45"/>
    <w:rsid w:val="00643763"/>
    <w:rsid w:val="00647202"/>
    <w:rsid w:val="00647DE8"/>
    <w:rsid w:val="0065104B"/>
    <w:rsid w:val="006512EB"/>
    <w:rsid w:val="006515C5"/>
    <w:rsid w:val="0065219C"/>
    <w:rsid w:val="00652798"/>
    <w:rsid w:val="00652E32"/>
    <w:rsid w:val="0065392C"/>
    <w:rsid w:val="006549EB"/>
    <w:rsid w:val="00654A37"/>
    <w:rsid w:val="00654AF0"/>
    <w:rsid w:val="00654BCA"/>
    <w:rsid w:val="00654C0C"/>
    <w:rsid w:val="006556C8"/>
    <w:rsid w:val="00655851"/>
    <w:rsid w:val="00657524"/>
    <w:rsid w:val="006621CE"/>
    <w:rsid w:val="0066247A"/>
    <w:rsid w:val="0066263B"/>
    <w:rsid w:val="00662E92"/>
    <w:rsid w:val="00662F7B"/>
    <w:rsid w:val="006635F5"/>
    <w:rsid w:val="006644EE"/>
    <w:rsid w:val="0066498C"/>
    <w:rsid w:val="00665DEA"/>
    <w:rsid w:val="00667774"/>
    <w:rsid w:val="00670383"/>
    <w:rsid w:val="00671211"/>
    <w:rsid w:val="0067137C"/>
    <w:rsid w:val="00671C51"/>
    <w:rsid w:val="0067215C"/>
    <w:rsid w:val="0067287E"/>
    <w:rsid w:val="006729F6"/>
    <w:rsid w:val="006735D1"/>
    <w:rsid w:val="00675264"/>
    <w:rsid w:val="006772F4"/>
    <w:rsid w:val="00681C53"/>
    <w:rsid w:val="00681F0D"/>
    <w:rsid w:val="0068338D"/>
    <w:rsid w:val="00683EB1"/>
    <w:rsid w:val="006854D9"/>
    <w:rsid w:val="00686E61"/>
    <w:rsid w:val="00690DC4"/>
    <w:rsid w:val="006914F0"/>
    <w:rsid w:val="006922FB"/>
    <w:rsid w:val="00692772"/>
    <w:rsid w:val="00694F01"/>
    <w:rsid w:val="006A163F"/>
    <w:rsid w:val="006A1B30"/>
    <w:rsid w:val="006A1FD0"/>
    <w:rsid w:val="006A23A6"/>
    <w:rsid w:val="006A2BE5"/>
    <w:rsid w:val="006A2FA0"/>
    <w:rsid w:val="006A5C91"/>
    <w:rsid w:val="006A637B"/>
    <w:rsid w:val="006A6994"/>
    <w:rsid w:val="006A6B54"/>
    <w:rsid w:val="006A7AC9"/>
    <w:rsid w:val="006B0566"/>
    <w:rsid w:val="006B0C55"/>
    <w:rsid w:val="006B1316"/>
    <w:rsid w:val="006B2A85"/>
    <w:rsid w:val="006B53EA"/>
    <w:rsid w:val="006B5427"/>
    <w:rsid w:val="006B550F"/>
    <w:rsid w:val="006B598A"/>
    <w:rsid w:val="006C0008"/>
    <w:rsid w:val="006C1807"/>
    <w:rsid w:val="006C1932"/>
    <w:rsid w:val="006C535F"/>
    <w:rsid w:val="006C6152"/>
    <w:rsid w:val="006C7580"/>
    <w:rsid w:val="006D1287"/>
    <w:rsid w:val="006D19EF"/>
    <w:rsid w:val="006D2C0A"/>
    <w:rsid w:val="006D2F8D"/>
    <w:rsid w:val="006D4490"/>
    <w:rsid w:val="006D4D17"/>
    <w:rsid w:val="006D5E8F"/>
    <w:rsid w:val="006D6102"/>
    <w:rsid w:val="006D69D1"/>
    <w:rsid w:val="006D6B03"/>
    <w:rsid w:val="006D75D7"/>
    <w:rsid w:val="006E1621"/>
    <w:rsid w:val="006E19D8"/>
    <w:rsid w:val="006E1C6B"/>
    <w:rsid w:val="006E1E5C"/>
    <w:rsid w:val="006E2433"/>
    <w:rsid w:val="006E2848"/>
    <w:rsid w:val="006E28B7"/>
    <w:rsid w:val="006E44FA"/>
    <w:rsid w:val="006E50E7"/>
    <w:rsid w:val="006E6038"/>
    <w:rsid w:val="006E67B7"/>
    <w:rsid w:val="006E6E21"/>
    <w:rsid w:val="006E71B3"/>
    <w:rsid w:val="006E72DE"/>
    <w:rsid w:val="006E739D"/>
    <w:rsid w:val="006E7913"/>
    <w:rsid w:val="006F02AD"/>
    <w:rsid w:val="006F04E2"/>
    <w:rsid w:val="006F1D5A"/>
    <w:rsid w:val="006F2468"/>
    <w:rsid w:val="006F3442"/>
    <w:rsid w:val="006F3E59"/>
    <w:rsid w:val="006F48ED"/>
    <w:rsid w:val="006F4D00"/>
    <w:rsid w:val="006F50C5"/>
    <w:rsid w:val="006F56D3"/>
    <w:rsid w:val="006F66D9"/>
    <w:rsid w:val="006F6822"/>
    <w:rsid w:val="006F6A03"/>
    <w:rsid w:val="006F7DB8"/>
    <w:rsid w:val="0070017E"/>
    <w:rsid w:val="00701E76"/>
    <w:rsid w:val="007022BF"/>
    <w:rsid w:val="0070247E"/>
    <w:rsid w:val="00702D7A"/>
    <w:rsid w:val="00703C79"/>
    <w:rsid w:val="00704AD1"/>
    <w:rsid w:val="00704E25"/>
    <w:rsid w:val="007055A3"/>
    <w:rsid w:val="007056D0"/>
    <w:rsid w:val="007063CE"/>
    <w:rsid w:val="00707121"/>
    <w:rsid w:val="00713702"/>
    <w:rsid w:val="00713C2D"/>
    <w:rsid w:val="00715279"/>
    <w:rsid w:val="00715452"/>
    <w:rsid w:val="0071587A"/>
    <w:rsid w:val="00715D61"/>
    <w:rsid w:val="007161D3"/>
    <w:rsid w:val="0071711A"/>
    <w:rsid w:val="007174F6"/>
    <w:rsid w:val="00717673"/>
    <w:rsid w:val="00717D3C"/>
    <w:rsid w:val="00717DD4"/>
    <w:rsid w:val="0072502C"/>
    <w:rsid w:val="00725975"/>
    <w:rsid w:val="00725B0D"/>
    <w:rsid w:val="00726C4D"/>
    <w:rsid w:val="00727368"/>
    <w:rsid w:val="007276C0"/>
    <w:rsid w:val="00727B0E"/>
    <w:rsid w:val="0073230E"/>
    <w:rsid w:val="00732DF2"/>
    <w:rsid w:val="0073328C"/>
    <w:rsid w:val="0073368E"/>
    <w:rsid w:val="007343A9"/>
    <w:rsid w:val="007351D5"/>
    <w:rsid w:val="007357CF"/>
    <w:rsid w:val="00736162"/>
    <w:rsid w:val="007369E2"/>
    <w:rsid w:val="00737D43"/>
    <w:rsid w:val="00740F2B"/>
    <w:rsid w:val="00741496"/>
    <w:rsid w:val="00742C34"/>
    <w:rsid w:val="007444CE"/>
    <w:rsid w:val="007452FA"/>
    <w:rsid w:val="00746725"/>
    <w:rsid w:val="00746D40"/>
    <w:rsid w:val="0074770F"/>
    <w:rsid w:val="00747BCE"/>
    <w:rsid w:val="00750168"/>
    <w:rsid w:val="007510CF"/>
    <w:rsid w:val="00751481"/>
    <w:rsid w:val="00751A36"/>
    <w:rsid w:val="007526F1"/>
    <w:rsid w:val="00753E8F"/>
    <w:rsid w:val="0075480B"/>
    <w:rsid w:val="00754ACF"/>
    <w:rsid w:val="00755658"/>
    <w:rsid w:val="00755891"/>
    <w:rsid w:val="0075609C"/>
    <w:rsid w:val="007560C7"/>
    <w:rsid w:val="0075765E"/>
    <w:rsid w:val="00757846"/>
    <w:rsid w:val="00757AD4"/>
    <w:rsid w:val="00757E1F"/>
    <w:rsid w:val="00757E7A"/>
    <w:rsid w:val="007620E8"/>
    <w:rsid w:val="0076265A"/>
    <w:rsid w:val="00762CCC"/>
    <w:rsid w:val="00763B7B"/>
    <w:rsid w:val="00764FC2"/>
    <w:rsid w:val="007658B3"/>
    <w:rsid w:val="00765C51"/>
    <w:rsid w:val="007664F6"/>
    <w:rsid w:val="00766DAB"/>
    <w:rsid w:val="00766F65"/>
    <w:rsid w:val="00767C0D"/>
    <w:rsid w:val="0077285A"/>
    <w:rsid w:val="00773513"/>
    <w:rsid w:val="00774544"/>
    <w:rsid w:val="00774A86"/>
    <w:rsid w:val="00776D47"/>
    <w:rsid w:val="007776A6"/>
    <w:rsid w:val="007809E0"/>
    <w:rsid w:val="00780E1E"/>
    <w:rsid w:val="00782A42"/>
    <w:rsid w:val="00782EDA"/>
    <w:rsid w:val="0078345B"/>
    <w:rsid w:val="00783C1E"/>
    <w:rsid w:val="007842AF"/>
    <w:rsid w:val="007848D6"/>
    <w:rsid w:val="00786280"/>
    <w:rsid w:val="007864CC"/>
    <w:rsid w:val="00790114"/>
    <w:rsid w:val="007902DC"/>
    <w:rsid w:val="007905E2"/>
    <w:rsid w:val="007922D4"/>
    <w:rsid w:val="007935E2"/>
    <w:rsid w:val="007936EE"/>
    <w:rsid w:val="00794535"/>
    <w:rsid w:val="007945C3"/>
    <w:rsid w:val="00794DA1"/>
    <w:rsid w:val="007958B8"/>
    <w:rsid w:val="00795D94"/>
    <w:rsid w:val="007961D3"/>
    <w:rsid w:val="0079726E"/>
    <w:rsid w:val="007976E4"/>
    <w:rsid w:val="007A0A31"/>
    <w:rsid w:val="007A0D2A"/>
    <w:rsid w:val="007A186C"/>
    <w:rsid w:val="007A204E"/>
    <w:rsid w:val="007A3CFC"/>
    <w:rsid w:val="007A4CC6"/>
    <w:rsid w:val="007A59B3"/>
    <w:rsid w:val="007A7A0B"/>
    <w:rsid w:val="007A7F7C"/>
    <w:rsid w:val="007B0045"/>
    <w:rsid w:val="007B06B7"/>
    <w:rsid w:val="007B15F1"/>
    <w:rsid w:val="007B1A61"/>
    <w:rsid w:val="007B28D8"/>
    <w:rsid w:val="007B3F45"/>
    <w:rsid w:val="007B4421"/>
    <w:rsid w:val="007B454F"/>
    <w:rsid w:val="007B5A67"/>
    <w:rsid w:val="007B5ACE"/>
    <w:rsid w:val="007B5E31"/>
    <w:rsid w:val="007B6B9F"/>
    <w:rsid w:val="007B720B"/>
    <w:rsid w:val="007C033B"/>
    <w:rsid w:val="007C0792"/>
    <w:rsid w:val="007C0C69"/>
    <w:rsid w:val="007C16CF"/>
    <w:rsid w:val="007C23A7"/>
    <w:rsid w:val="007C2425"/>
    <w:rsid w:val="007C28DB"/>
    <w:rsid w:val="007C2F1B"/>
    <w:rsid w:val="007C31D3"/>
    <w:rsid w:val="007C4B4E"/>
    <w:rsid w:val="007C5126"/>
    <w:rsid w:val="007C7F63"/>
    <w:rsid w:val="007D038A"/>
    <w:rsid w:val="007D1719"/>
    <w:rsid w:val="007D38EB"/>
    <w:rsid w:val="007D3FEF"/>
    <w:rsid w:val="007D47D7"/>
    <w:rsid w:val="007D507C"/>
    <w:rsid w:val="007D54D5"/>
    <w:rsid w:val="007D5A6C"/>
    <w:rsid w:val="007D6227"/>
    <w:rsid w:val="007E208D"/>
    <w:rsid w:val="007E3625"/>
    <w:rsid w:val="007E474B"/>
    <w:rsid w:val="007E626F"/>
    <w:rsid w:val="007F14CD"/>
    <w:rsid w:val="007F1E98"/>
    <w:rsid w:val="007F2C39"/>
    <w:rsid w:val="007F438E"/>
    <w:rsid w:val="007F5EF1"/>
    <w:rsid w:val="007F65E1"/>
    <w:rsid w:val="007F68CB"/>
    <w:rsid w:val="0080092E"/>
    <w:rsid w:val="00801561"/>
    <w:rsid w:val="0080365F"/>
    <w:rsid w:val="00803FCC"/>
    <w:rsid w:val="00805417"/>
    <w:rsid w:val="00810D79"/>
    <w:rsid w:val="008110CF"/>
    <w:rsid w:val="00811161"/>
    <w:rsid w:val="00811AAE"/>
    <w:rsid w:val="0081300D"/>
    <w:rsid w:val="00813605"/>
    <w:rsid w:val="00813FBB"/>
    <w:rsid w:val="00816367"/>
    <w:rsid w:val="008164DA"/>
    <w:rsid w:val="00816BDF"/>
    <w:rsid w:val="00816F25"/>
    <w:rsid w:val="00817475"/>
    <w:rsid w:val="008177B1"/>
    <w:rsid w:val="008201B3"/>
    <w:rsid w:val="00820687"/>
    <w:rsid w:val="00821169"/>
    <w:rsid w:val="00822291"/>
    <w:rsid w:val="00823415"/>
    <w:rsid w:val="00826C5C"/>
    <w:rsid w:val="008270E8"/>
    <w:rsid w:val="008272C9"/>
    <w:rsid w:val="00827834"/>
    <w:rsid w:val="00830AC3"/>
    <w:rsid w:val="00830C31"/>
    <w:rsid w:val="00831363"/>
    <w:rsid w:val="00832939"/>
    <w:rsid w:val="00833BEF"/>
    <w:rsid w:val="00834092"/>
    <w:rsid w:val="00834C8A"/>
    <w:rsid w:val="0083589B"/>
    <w:rsid w:val="00835D04"/>
    <w:rsid w:val="00836BC0"/>
    <w:rsid w:val="00837387"/>
    <w:rsid w:val="00837D98"/>
    <w:rsid w:val="008409AC"/>
    <w:rsid w:val="00841397"/>
    <w:rsid w:val="008421B3"/>
    <w:rsid w:val="008423EA"/>
    <w:rsid w:val="0084257B"/>
    <w:rsid w:val="008430E9"/>
    <w:rsid w:val="00843AD3"/>
    <w:rsid w:val="00845977"/>
    <w:rsid w:val="00845B78"/>
    <w:rsid w:val="00845F9C"/>
    <w:rsid w:val="008464AB"/>
    <w:rsid w:val="008478EF"/>
    <w:rsid w:val="0084797A"/>
    <w:rsid w:val="0085013C"/>
    <w:rsid w:val="00850601"/>
    <w:rsid w:val="00850B96"/>
    <w:rsid w:val="00850F10"/>
    <w:rsid w:val="00851B2F"/>
    <w:rsid w:val="008522ED"/>
    <w:rsid w:val="00852377"/>
    <w:rsid w:val="008525B1"/>
    <w:rsid w:val="0085294B"/>
    <w:rsid w:val="008529E2"/>
    <w:rsid w:val="00852ACF"/>
    <w:rsid w:val="008537EA"/>
    <w:rsid w:val="0085447D"/>
    <w:rsid w:val="0085463C"/>
    <w:rsid w:val="00854A19"/>
    <w:rsid w:val="00854C43"/>
    <w:rsid w:val="00854D7E"/>
    <w:rsid w:val="00854DFA"/>
    <w:rsid w:val="0085563A"/>
    <w:rsid w:val="008563D2"/>
    <w:rsid w:val="00856914"/>
    <w:rsid w:val="008569FB"/>
    <w:rsid w:val="00856C3E"/>
    <w:rsid w:val="00857C8E"/>
    <w:rsid w:val="00861639"/>
    <w:rsid w:val="00861702"/>
    <w:rsid w:val="008624ED"/>
    <w:rsid w:val="00863BEF"/>
    <w:rsid w:val="008654D3"/>
    <w:rsid w:val="00866697"/>
    <w:rsid w:val="00870B72"/>
    <w:rsid w:val="00873A37"/>
    <w:rsid w:val="008740E7"/>
    <w:rsid w:val="0087438E"/>
    <w:rsid w:val="00874E91"/>
    <w:rsid w:val="0087610A"/>
    <w:rsid w:val="00876744"/>
    <w:rsid w:val="00876976"/>
    <w:rsid w:val="00877370"/>
    <w:rsid w:val="00882647"/>
    <w:rsid w:val="00882FA7"/>
    <w:rsid w:val="008840A1"/>
    <w:rsid w:val="008846CC"/>
    <w:rsid w:val="00886676"/>
    <w:rsid w:val="00886A68"/>
    <w:rsid w:val="00886EB6"/>
    <w:rsid w:val="008875CF"/>
    <w:rsid w:val="00887A8C"/>
    <w:rsid w:val="00890BBB"/>
    <w:rsid w:val="00890CD7"/>
    <w:rsid w:val="0089152F"/>
    <w:rsid w:val="00891892"/>
    <w:rsid w:val="0089225B"/>
    <w:rsid w:val="008934E8"/>
    <w:rsid w:val="008938CF"/>
    <w:rsid w:val="00893C67"/>
    <w:rsid w:val="00895008"/>
    <w:rsid w:val="0089509C"/>
    <w:rsid w:val="00895302"/>
    <w:rsid w:val="00895638"/>
    <w:rsid w:val="00895F0A"/>
    <w:rsid w:val="00896450"/>
    <w:rsid w:val="00896B56"/>
    <w:rsid w:val="00897DBC"/>
    <w:rsid w:val="008A136E"/>
    <w:rsid w:val="008A3229"/>
    <w:rsid w:val="008A339E"/>
    <w:rsid w:val="008A36A9"/>
    <w:rsid w:val="008A500A"/>
    <w:rsid w:val="008A58F1"/>
    <w:rsid w:val="008A59B3"/>
    <w:rsid w:val="008B1D60"/>
    <w:rsid w:val="008B2DA9"/>
    <w:rsid w:val="008B371A"/>
    <w:rsid w:val="008B60D9"/>
    <w:rsid w:val="008C008F"/>
    <w:rsid w:val="008C0216"/>
    <w:rsid w:val="008C03D1"/>
    <w:rsid w:val="008C0813"/>
    <w:rsid w:val="008C1ACF"/>
    <w:rsid w:val="008C3639"/>
    <w:rsid w:val="008C3D45"/>
    <w:rsid w:val="008C4272"/>
    <w:rsid w:val="008C44B8"/>
    <w:rsid w:val="008C4809"/>
    <w:rsid w:val="008C49ED"/>
    <w:rsid w:val="008C59DF"/>
    <w:rsid w:val="008C62EE"/>
    <w:rsid w:val="008C639C"/>
    <w:rsid w:val="008C74C6"/>
    <w:rsid w:val="008C7648"/>
    <w:rsid w:val="008C78BD"/>
    <w:rsid w:val="008D004A"/>
    <w:rsid w:val="008D19A2"/>
    <w:rsid w:val="008D3077"/>
    <w:rsid w:val="008D3771"/>
    <w:rsid w:val="008D4241"/>
    <w:rsid w:val="008D4E6B"/>
    <w:rsid w:val="008D6887"/>
    <w:rsid w:val="008E29D4"/>
    <w:rsid w:val="008E4822"/>
    <w:rsid w:val="008E520E"/>
    <w:rsid w:val="008E5FD9"/>
    <w:rsid w:val="008E5FEC"/>
    <w:rsid w:val="008E65C5"/>
    <w:rsid w:val="008E6715"/>
    <w:rsid w:val="008E7E83"/>
    <w:rsid w:val="008F0000"/>
    <w:rsid w:val="008F0112"/>
    <w:rsid w:val="008F0649"/>
    <w:rsid w:val="008F1964"/>
    <w:rsid w:val="008F1B05"/>
    <w:rsid w:val="008F2106"/>
    <w:rsid w:val="008F29A6"/>
    <w:rsid w:val="008F3A34"/>
    <w:rsid w:val="008F4745"/>
    <w:rsid w:val="008F5BBE"/>
    <w:rsid w:val="008F64CF"/>
    <w:rsid w:val="00900193"/>
    <w:rsid w:val="009004BC"/>
    <w:rsid w:val="00900763"/>
    <w:rsid w:val="009009F9"/>
    <w:rsid w:val="00901A07"/>
    <w:rsid w:val="00902834"/>
    <w:rsid w:val="00902A72"/>
    <w:rsid w:val="00904CD0"/>
    <w:rsid w:val="009078F5"/>
    <w:rsid w:val="009116C9"/>
    <w:rsid w:val="0091212E"/>
    <w:rsid w:val="0091275E"/>
    <w:rsid w:val="00913D2B"/>
    <w:rsid w:val="00916136"/>
    <w:rsid w:val="009165B1"/>
    <w:rsid w:val="00917992"/>
    <w:rsid w:val="00921A81"/>
    <w:rsid w:val="00921CFB"/>
    <w:rsid w:val="00921EBA"/>
    <w:rsid w:val="009234BB"/>
    <w:rsid w:val="00924AC6"/>
    <w:rsid w:val="00925651"/>
    <w:rsid w:val="00925E43"/>
    <w:rsid w:val="009262F1"/>
    <w:rsid w:val="009268B5"/>
    <w:rsid w:val="00926D28"/>
    <w:rsid w:val="00930D24"/>
    <w:rsid w:val="00930FF5"/>
    <w:rsid w:val="0093185E"/>
    <w:rsid w:val="00931E71"/>
    <w:rsid w:val="00932D72"/>
    <w:rsid w:val="00933E77"/>
    <w:rsid w:val="00934180"/>
    <w:rsid w:val="009345A2"/>
    <w:rsid w:val="009368ED"/>
    <w:rsid w:val="00936923"/>
    <w:rsid w:val="00937E27"/>
    <w:rsid w:val="00940D98"/>
    <w:rsid w:val="00942555"/>
    <w:rsid w:val="009430F5"/>
    <w:rsid w:val="00943723"/>
    <w:rsid w:val="0094413F"/>
    <w:rsid w:val="0094416A"/>
    <w:rsid w:val="009448C3"/>
    <w:rsid w:val="00945302"/>
    <w:rsid w:val="00945330"/>
    <w:rsid w:val="009513E3"/>
    <w:rsid w:val="009514A7"/>
    <w:rsid w:val="0095177D"/>
    <w:rsid w:val="00952BCD"/>
    <w:rsid w:val="00952BDA"/>
    <w:rsid w:val="00953213"/>
    <w:rsid w:val="00953633"/>
    <w:rsid w:val="00953AA6"/>
    <w:rsid w:val="00954411"/>
    <w:rsid w:val="00954FC9"/>
    <w:rsid w:val="00955F81"/>
    <w:rsid w:val="00956AA6"/>
    <w:rsid w:val="009573C9"/>
    <w:rsid w:val="00957B8D"/>
    <w:rsid w:val="00960ED4"/>
    <w:rsid w:val="00960F12"/>
    <w:rsid w:val="00961831"/>
    <w:rsid w:val="00962094"/>
    <w:rsid w:val="009620DD"/>
    <w:rsid w:val="0096344E"/>
    <w:rsid w:val="009641FA"/>
    <w:rsid w:val="00965638"/>
    <w:rsid w:val="00966026"/>
    <w:rsid w:val="00966326"/>
    <w:rsid w:val="0096690D"/>
    <w:rsid w:val="009672C6"/>
    <w:rsid w:val="00967D32"/>
    <w:rsid w:val="00970DB9"/>
    <w:rsid w:val="00972113"/>
    <w:rsid w:val="00975658"/>
    <w:rsid w:val="009766AC"/>
    <w:rsid w:val="0097761A"/>
    <w:rsid w:val="00977B8A"/>
    <w:rsid w:val="009820D1"/>
    <w:rsid w:val="009829F8"/>
    <w:rsid w:val="00982D71"/>
    <w:rsid w:val="00984423"/>
    <w:rsid w:val="00984554"/>
    <w:rsid w:val="0098492D"/>
    <w:rsid w:val="00986D97"/>
    <w:rsid w:val="00987ACF"/>
    <w:rsid w:val="00987B82"/>
    <w:rsid w:val="00987F0D"/>
    <w:rsid w:val="0099120B"/>
    <w:rsid w:val="00991CA2"/>
    <w:rsid w:val="00991E68"/>
    <w:rsid w:val="00992959"/>
    <w:rsid w:val="00993928"/>
    <w:rsid w:val="00993AEC"/>
    <w:rsid w:val="009953C3"/>
    <w:rsid w:val="00996860"/>
    <w:rsid w:val="00996BB1"/>
    <w:rsid w:val="009974FD"/>
    <w:rsid w:val="00997952"/>
    <w:rsid w:val="00997FAF"/>
    <w:rsid w:val="009A095D"/>
    <w:rsid w:val="009A1DBB"/>
    <w:rsid w:val="009A1F85"/>
    <w:rsid w:val="009A239F"/>
    <w:rsid w:val="009A3113"/>
    <w:rsid w:val="009A38C4"/>
    <w:rsid w:val="009A4114"/>
    <w:rsid w:val="009A45C1"/>
    <w:rsid w:val="009A47E6"/>
    <w:rsid w:val="009A6335"/>
    <w:rsid w:val="009A68D0"/>
    <w:rsid w:val="009A69BB"/>
    <w:rsid w:val="009B08CA"/>
    <w:rsid w:val="009B0E44"/>
    <w:rsid w:val="009B0E48"/>
    <w:rsid w:val="009B14AC"/>
    <w:rsid w:val="009B20D5"/>
    <w:rsid w:val="009B32A4"/>
    <w:rsid w:val="009B408D"/>
    <w:rsid w:val="009B4938"/>
    <w:rsid w:val="009B62F0"/>
    <w:rsid w:val="009B63B1"/>
    <w:rsid w:val="009B6802"/>
    <w:rsid w:val="009B7311"/>
    <w:rsid w:val="009C1505"/>
    <w:rsid w:val="009C20A0"/>
    <w:rsid w:val="009C21C7"/>
    <w:rsid w:val="009C2789"/>
    <w:rsid w:val="009C2842"/>
    <w:rsid w:val="009C2851"/>
    <w:rsid w:val="009C5032"/>
    <w:rsid w:val="009C69CB"/>
    <w:rsid w:val="009C7462"/>
    <w:rsid w:val="009C7977"/>
    <w:rsid w:val="009C7D1A"/>
    <w:rsid w:val="009D34C0"/>
    <w:rsid w:val="009D4964"/>
    <w:rsid w:val="009D4D83"/>
    <w:rsid w:val="009D4F0D"/>
    <w:rsid w:val="009D5A1D"/>
    <w:rsid w:val="009D74B4"/>
    <w:rsid w:val="009D7B85"/>
    <w:rsid w:val="009E066B"/>
    <w:rsid w:val="009E0AD0"/>
    <w:rsid w:val="009E0CF6"/>
    <w:rsid w:val="009E11B3"/>
    <w:rsid w:val="009E1E3B"/>
    <w:rsid w:val="009E3C5E"/>
    <w:rsid w:val="009E4D3B"/>
    <w:rsid w:val="009E4DD2"/>
    <w:rsid w:val="009E5472"/>
    <w:rsid w:val="009E5543"/>
    <w:rsid w:val="009E59BC"/>
    <w:rsid w:val="009E59D6"/>
    <w:rsid w:val="009E79DB"/>
    <w:rsid w:val="009F0909"/>
    <w:rsid w:val="009F0E76"/>
    <w:rsid w:val="009F1AA3"/>
    <w:rsid w:val="009F2DEF"/>
    <w:rsid w:val="009F2FD1"/>
    <w:rsid w:val="009F3585"/>
    <w:rsid w:val="009F3B85"/>
    <w:rsid w:val="009F4542"/>
    <w:rsid w:val="009F471E"/>
    <w:rsid w:val="009F5253"/>
    <w:rsid w:val="009F54C0"/>
    <w:rsid w:val="009F5816"/>
    <w:rsid w:val="009F5A08"/>
    <w:rsid w:val="009F6076"/>
    <w:rsid w:val="009F7324"/>
    <w:rsid w:val="009F76DF"/>
    <w:rsid w:val="00A00B18"/>
    <w:rsid w:val="00A01322"/>
    <w:rsid w:val="00A01DB8"/>
    <w:rsid w:val="00A0205D"/>
    <w:rsid w:val="00A03860"/>
    <w:rsid w:val="00A0658C"/>
    <w:rsid w:val="00A06F5B"/>
    <w:rsid w:val="00A071FB"/>
    <w:rsid w:val="00A07E30"/>
    <w:rsid w:val="00A11690"/>
    <w:rsid w:val="00A11BB8"/>
    <w:rsid w:val="00A13880"/>
    <w:rsid w:val="00A15951"/>
    <w:rsid w:val="00A17A6D"/>
    <w:rsid w:val="00A20647"/>
    <w:rsid w:val="00A235D0"/>
    <w:rsid w:val="00A23F7A"/>
    <w:rsid w:val="00A24CA9"/>
    <w:rsid w:val="00A27E9E"/>
    <w:rsid w:val="00A27EBB"/>
    <w:rsid w:val="00A32021"/>
    <w:rsid w:val="00A32DB0"/>
    <w:rsid w:val="00A331A0"/>
    <w:rsid w:val="00A33724"/>
    <w:rsid w:val="00A35A6F"/>
    <w:rsid w:val="00A36B22"/>
    <w:rsid w:val="00A36C68"/>
    <w:rsid w:val="00A37206"/>
    <w:rsid w:val="00A3741A"/>
    <w:rsid w:val="00A37AFC"/>
    <w:rsid w:val="00A417D0"/>
    <w:rsid w:val="00A4184E"/>
    <w:rsid w:val="00A429E0"/>
    <w:rsid w:val="00A44230"/>
    <w:rsid w:val="00A443D9"/>
    <w:rsid w:val="00A44DA0"/>
    <w:rsid w:val="00A461E9"/>
    <w:rsid w:val="00A46A06"/>
    <w:rsid w:val="00A46A31"/>
    <w:rsid w:val="00A46BEC"/>
    <w:rsid w:val="00A47873"/>
    <w:rsid w:val="00A50D3E"/>
    <w:rsid w:val="00A51B50"/>
    <w:rsid w:val="00A52272"/>
    <w:rsid w:val="00A52281"/>
    <w:rsid w:val="00A524BD"/>
    <w:rsid w:val="00A528C5"/>
    <w:rsid w:val="00A53438"/>
    <w:rsid w:val="00A53630"/>
    <w:rsid w:val="00A54B48"/>
    <w:rsid w:val="00A56B86"/>
    <w:rsid w:val="00A571DE"/>
    <w:rsid w:val="00A57421"/>
    <w:rsid w:val="00A5748E"/>
    <w:rsid w:val="00A603D5"/>
    <w:rsid w:val="00A6138F"/>
    <w:rsid w:val="00A61802"/>
    <w:rsid w:val="00A61A7A"/>
    <w:rsid w:val="00A636D8"/>
    <w:rsid w:val="00A64CED"/>
    <w:rsid w:val="00A654A2"/>
    <w:rsid w:val="00A6588D"/>
    <w:rsid w:val="00A66942"/>
    <w:rsid w:val="00A7007F"/>
    <w:rsid w:val="00A70278"/>
    <w:rsid w:val="00A70A9E"/>
    <w:rsid w:val="00A70F07"/>
    <w:rsid w:val="00A70FE0"/>
    <w:rsid w:val="00A72490"/>
    <w:rsid w:val="00A72AD8"/>
    <w:rsid w:val="00A735E6"/>
    <w:rsid w:val="00A73DA9"/>
    <w:rsid w:val="00A75B53"/>
    <w:rsid w:val="00A75D76"/>
    <w:rsid w:val="00A8012B"/>
    <w:rsid w:val="00A8194D"/>
    <w:rsid w:val="00A845C7"/>
    <w:rsid w:val="00A854C1"/>
    <w:rsid w:val="00A86759"/>
    <w:rsid w:val="00A870CA"/>
    <w:rsid w:val="00A87217"/>
    <w:rsid w:val="00A8752F"/>
    <w:rsid w:val="00A91FE7"/>
    <w:rsid w:val="00A9234A"/>
    <w:rsid w:val="00A92D9B"/>
    <w:rsid w:val="00A93A16"/>
    <w:rsid w:val="00A947B5"/>
    <w:rsid w:val="00A94E6A"/>
    <w:rsid w:val="00A952FB"/>
    <w:rsid w:val="00A97719"/>
    <w:rsid w:val="00A97A29"/>
    <w:rsid w:val="00A97A68"/>
    <w:rsid w:val="00AA0027"/>
    <w:rsid w:val="00AA0311"/>
    <w:rsid w:val="00AA0C0C"/>
    <w:rsid w:val="00AA0E96"/>
    <w:rsid w:val="00AA2D96"/>
    <w:rsid w:val="00AA371E"/>
    <w:rsid w:val="00AA4625"/>
    <w:rsid w:val="00AA4715"/>
    <w:rsid w:val="00AA4D34"/>
    <w:rsid w:val="00AA5834"/>
    <w:rsid w:val="00AA5C50"/>
    <w:rsid w:val="00AA77E2"/>
    <w:rsid w:val="00AA79D8"/>
    <w:rsid w:val="00AB1347"/>
    <w:rsid w:val="00AB3224"/>
    <w:rsid w:val="00AB3FDB"/>
    <w:rsid w:val="00AB4BE6"/>
    <w:rsid w:val="00AB531F"/>
    <w:rsid w:val="00AB6656"/>
    <w:rsid w:val="00AC0FCC"/>
    <w:rsid w:val="00AC1F1D"/>
    <w:rsid w:val="00AC22BF"/>
    <w:rsid w:val="00AC25FB"/>
    <w:rsid w:val="00AC2600"/>
    <w:rsid w:val="00AC2BA9"/>
    <w:rsid w:val="00AC4511"/>
    <w:rsid w:val="00AC4AFF"/>
    <w:rsid w:val="00AC5182"/>
    <w:rsid w:val="00AC5322"/>
    <w:rsid w:val="00AC65A1"/>
    <w:rsid w:val="00AC6C58"/>
    <w:rsid w:val="00AC7AF4"/>
    <w:rsid w:val="00AD05D6"/>
    <w:rsid w:val="00AD0FFB"/>
    <w:rsid w:val="00AD31B5"/>
    <w:rsid w:val="00AD3BC7"/>
    <w:rsid w:val="00AD433C"/>
    <w:rsid w:val="00AD438E"/>
    <w:rsid w:val="00AD49A0"/>
    <w:rsid w:val="00AD7515"/>
    <w:rsid w:val="00AE0153"/>
    <w:rsid w:val="00AE01D5"/>
    <w:rsid w:val="00AE1349"/>
    <w:rsid w:val="00AE3239"/>
    <w:rsid w:val="00AE4560"/>
    <w:rsid w:val="00AE4A50"/>
    <w:rsid w:val="00AE5041"/>
    <w:rsid w:val="00AE5B35"/>
    <w:rsid w:val="00AE602E"/>
    <w:rsid w:val="00AE6F3E"/>
    <w:rsid w:val="00AE7C32"/>
    <w:rsid w:val="00AF1873"/>
    <w:rsid w:val="00AF27A9"/>
    <w:rsid w:val="00AF2CF1"/>
    <w:rsid w:val="00AF2D32"/>
    <w:rsid w:val="00AF360B"/>
    <w:rsid w:val="00AF3A65"/>
    <w:rsid w:val="00AF3F02"/>
    <w:rsid w:val="00AF4291"/>
    <w:rsid w:val="00AF45DE"/>
    <w:rsid w:val="00AF48FB"/>
    <w:rsid w:val="00AF5B11"/>
    <w:rsid w:val="00AF641C"/>
    <w:rsid w:val="00AF66E6"/>
    <w:rsid w:val="00AF7D2E"/>
    <w:rsid w:val="00B00624"/>
    <w:rsid w:val="00B0118C"/>
    <w:rsid w:val="00B014D3"/>
    <w:rsid w:val="00B015E3"/>
    <w:rsid w:val="00B020F0"/>
    <w:rsid w:val="00B0315D"/>
    <w:rsid w:val="00B031B0"/>
    <w:rsid w:val="00B03F5F"/>
    <w:rsid w:val="00B04019"/>
    <w:rsid w:val="00B048F3"/>
    <w:rsid w:val="00B04F37"/>
    <w:rsid w:val="00B06274"/>
    <w:rsid w:val="00B12951"/>
    <w:rsid w:val="00B13479"/>
    <w:rsid w:val="00B22A79"/>
    <w:rsid w:val="00B22D45"/>
    <w:rsid w:val="00B243C8"/>
    <w:rsid w:val="00B25DD3"/>
    <w:rsid w:val="00B25F2E"/>
    <w:rsid w:val="00B260AF"/>
    <w:rsid w:val="00B31398"/>
    <w:rsid w:val="00B32385"/>
    <w:rsid w:val="00B324A7"/>
    <w:rsid w:val="00B32884"/>
    <w:rsid w:val="00B338BB"/>
    <w:rsid w:val="00B34341"/>
    <w:rsid w:val="00B35A3B"/>
    <w:rsid w:val="00B35C84"/>
    <w:rsid w:val="00B36610"/>
    <w:rsid w:val="00B37208"/>
    <w:rsid w:val="00B37D85"/>
    <w:rsid w:val="00B40E31"/>
    <w:rsid w:val="00B41A2D"/>
    <w:rsid w:val="00B41FA8"/>
    <w:rsid w:val="00B43E3E"/>
    <w:rsid w:val="00B44155"/>
    <w:rsid w:val="00B44ABC"/>
    <w:rsid w:val="00B44E3F"/>
    <w:rsid w:val="00B45269"/>
    <w:rsid w:val="00B45404"/>
    <w:rsid w:val="00B46566"/>
    <w:rsid w:val="00B465D6"/>
    <w:rsid w:val="00B4770F"/>
    <w:rsid w:val="00B505E2"/>
    <w:rsid w:val="00B51BDC"/>
    <w:rsid w:val="00B52367"/>
    <w:rsid w:val="00B52800"/>
    <w:rsid w:val="00B5334D"/>
    <w:rsid w:val="00B539DE"/>
    <w:rsid w:val="00B53D41"/>
    <w:rsid w:val="00B55968"/>
    <w:rsid w:val="00B5623E"/>
    <w:rsid w:val="00B566D9"/>
    <w:rsid w:val="00B57F38"/>
    <w:rsid w:val="00B60E0C"/>
    <w:rsid w:val="00B61516"/>
    <w:rsid w:val="00B6161E"/>
    <w:rsid w:val="00B6209B"/>
    <w:rsid w:val="00B62657"/>
    <w:rsid w:val="00B62C00"/>
    <w:rsid w:val="00B641C1"/>
    <w:rsid w:val="00B641F3"/>
    <w:rsid w:val="00B65BA0"/>
    <w:rsid w:val="00B6659E"/>
    <w:rsid w:val="00B66C85"/>
    <w:rsid w:val="00B67892"/>
    <w:rsid w:val="00B67C80"/>
    <w:rsid w:val="00B704ED"/>
    <w:rsid w:val="00B70FA0"/>
    <w:rsid w:val="00B71DE0"/>
    <w:rsid w:val="00B750A1"/>
    <w:rsid w:val="00B75517"/>
    <w:rsid w:val="00B77FBC"/>
    <w:rsid w:val="00B800A2"/>
    <w:rsid w:val="00B80202"/>
    <w:rsid w:val="00B805B3"/>
    <w:rsid w:val="00B805CF"/>
    <w:rsid w:val="00B82884"/>
    <w:rsid w:val="00B82CE2"/>
    <w:rsid w:val="00B82D7E"/>
    <w:rsid w:val="00B83BAD"/>
    <w:rsid w:val="00B845F7"/>
    <w:rsid w:val="00B84903"/>
    <w:rsid w:val="00B84FBB"/>
    <w:rsid w:val="00B854CC"/>
    <w:rsid w:val="00B90542"/>
    <w:rsid w:val="00B91095"/>
    <w:rsid w:val="00B9428F"/>
    <w:rsid w:val="00B94457"/>
    <w:rsid w:val="00B94B38"/>
    <w:rsid w:val="00B94E77"/>
    <w:rsid w:val="00B94F2E"/>
    <w:rsid w:val="00B95EEA"/>
    <w:rsid w:val="00B9700A"/>
    <w:rsid w:val="00B97CF9"/>
    <w:rsid w:val="00B97E0D"/>
    <w:rsid w:val="00BA0664"/>
    <w:rsid w:val="00BA2455"/>
    <w:rsid w:val="00BA282A"/>
    <w:rsid w:val="00BA28B8"/>
    <w:rsid w:val="00BA2F5B"/>
    <w:rsid w:val="00BA30CD"/>
    <w:rsid w:val="00BA3406"/>
    <w:rsid w:val="00BA4082"/>
    <w:rsid w:val="00BA4B09"/>
    <w:rsid w:val="00BA4BE9"/>
    <w:rsid w:val="00BA591D"/>
    <w:rsid w:val="00BB0122"/>
    <w:rsid w:val="00BB07FC"/>
    <w:rsid w:val="00BB099F"/>
    <w:rsid w:val="00BB2E16"/>
    <w:rsid w:val="00BB307D"/>
    <w:rsid w:val="00BB5895"/>
    <w:rsid w:val="00BB6A41"/>
    <w:rsid w:val="00BB71F7"/>
    <w:rsid w:val="00BB74A5"/>
    <w:rsid w:val="00BB75AF"/>
    <w:rsid w:val="00BC195E"/>
    <w:rsid w:val="00BC261C"/>
    <w:rsid w:val="00BC34B3"/>
    <w:rsid w:val="00BC40EC"/>
    <w:rsid w:val="00BC496E"/>
    <w:rsid w:val="00BC4D0D"/>
    <w:rsid w:val="00BC4FA2"/>
    <w:rsid w:val="00BC5DD5"/>
    <w:rsid w:val="00BC644E"/>
    <w:rsid w:val="00BC7E13"/>
    <w:rsid w:val="00BD085E"/>
    <w:rsid w:val="00BD0EC2"/>
    <w:rsid w:val="00BD2395"/>
    <w:rsid w:val="00BD31D0"/>
    <w:rsid w:val="00BD3764"/>
    <w:rsid w:val="00BD492F"/>
    <w:rsid w:val="00BD4DE1"/>
    <w:rsid w:val="00BD5387"/>
    <w:rsid w:val="00BD57CC"/>
    <w:rsid w:val="00BD70F0"/>
    <w:rsid w:val="00BD72AE"/>
    <w:rsid w:val="00BD74DA"/>
    <w:rsid w:val="00BD7572"/>
    <w:rsid w:val="00BD75DB"/>
    <w:rsid w:val="00BD76F2"/>
    <w:rsid w:val="00BD7ECC"/>
    <w:rsid w:val="00BE03D6"/>
    <w:rsid w:val="00BE0B85"/>
    <w:rsid w:val="00BE11D9"/>
    <w:rsid w:val="00BE2385"/>
    <w:rsid w:val="00BE254D"/>
    <w:rsid w:val="00BE32DE"/>
    <w:rsid w:val="00BE4424"/>
    <w:rsid w:val="00BE4680"/>
    <w:rsid w:val="00BE5341"/>
    <w:rsid w:val="00BE5D13"/>
    <w:rsid w:val="00BE5D37"/>
    <w:rsid w:val="00BE6874"/>
    <w:rsid w:val="00BE68F5"/>
    <w:rsid w:val="00BE6A9B"/>
    <w:rsid w:val="00BE72AA"/>
    <w:rsid w:val="00BE7BA6"/>
    <w:rsid w:val="00BE7C01"/>
    <w:rsid w:val="00BE7E9F"/>
    <w:rsid w:val="00BE7F35"/>
    <w:rsid w:val="00BF1ADD"/>
    <w:rsid w:val="00BF1D3D"/>
    <w:rsid w:val="00BF2811"/>
    <w:rsid w:val="00BF2D3B"/>
    <w:rsid w:val="00BF2EF2"/>
    <w:rsid w:val="00BF2FC2"/>
    <w:rsid w:val="00BF381D"/>
    <w:rsid w:val="00BF3870"/>
    <w:rsid w:val="00BF3E8E"/>
    <w:rsid w:val="00BF542A"/>
    <w:rsid w:val="00BF543D"/>
    <w:rsid w:val="00BF5C75"/>
    <w:rsid w:val="00BF68EE"/>
    <w:rsid w:val="00BF69D8"/>
    <w:rsid w:val="00BF77DF"/>
    <w:rsid w:val="00BF79FE"/>
    <w:rsid w:val="00C001D3"/>
    <w:rsid w:val="00C007BA"/>
    <w:rsid w:val="00C00A9C"/>
    <w:rsid w:val="00C00F98"/>
    <w:rsid w:val="00C013D2"/>
    <w:rsid w:val="00C01BB5"/>
    <w:rsid w:val="00C048EF"/>
    <w:rsid w:val="00C063A1"/>
    <w:rsid w:val="00C068C6"/>
    <w:rsid w:val="00C0714C"/>
    <w:rsid w:val="00C07899"/>
    <w:rsid w:val="00C10EC3"/>
    <w:rsid w:val="00C113F3"/>
    <w:rsid w:val="00C120C8"/>
    <w:rsid w:val="00C15011"/>
    <w:rsid w:val="00C15065"/>
    <w:rsid w:val="00C15285"/>
    <w:rsid w:val="00C16546"/>
    <w:rsid w:val="00C20273"/>
    <w:rsid w:val="00C2109B"/>
    <w:rsid w:val="00C213D1"/>
    <w:rsid w:val="00C2295C"/>
    <w:rsid w:val="00C2477F"/>
    <w:rsid w:val="00C26AAA"/>
    <w:rsid w:val="00C30A17"/>
    <w:rsid w:val="00C31F9D"/>
    <w:rsid w:val="00C32C85"/>
    <w:rsid w:val="00C33442"/>
    <w:rsid w:val="00C33D28"/>
    <w:rsid w:val="00C34A52"/>
    <w:rsid w:val="00C34E8B"/>
    <w:rsid w:val="00C35A93"/>
    <w:rsid w:val="00C36DDF"/>
    <w:rsid w:val="00C370BC"/>
    <w:rsid w:val="00C40475"/>
    <w:rsid w:val="00C407EC"/>
    <w:rsid w:val="00C40C63"/>
    <w:rsid w:val="00C412BE"/>
    <w:rsid w:val="00C41427"/>
    <w:rsid w:val="00C41571"/>
    <w:rsid w:val="00C424D3"/>
    <w:rsid w:val="00C42B31"/>
    <w:rsid w:val="00C42EB8"/>
    <w:rsid w:val="00C43493"/>
    <w:rsid w:val="00C43AF9"/>
    <w:rsid w:val="00C44935"/>
    <w:rsid w:val="00C44DCF"/>
    <w:rsid w:val="00C45D3E"/>
    <w:rsid w:val="00C468BD"/>
    <w:rsid w:val="00C46AE4"/>
    <w:rsid w:val="00C5062A"/>
    <w:rsid w:val="00C50DBF"/>
    <w:rsid w:val="00C515E2"/>
    <w:rsid w:val="00C5209D"/>
    <w:rsid w:val="00C540CC"/>
    <w:rsid w:val="00C54743"/>
    <w:rsid w:val="00C55759"/>
    <w:rsid w:val="00C55E01"/>
    <w:rsid w:val="00C56D16"/>
    <w:rsid w:val="00C57842"/>
    <w:rsid w:val="00C617DC"/>
    <w:rsid w:val="00C62970"/>
    <w:rsid w:val="00C6348B"/>
    <w:rsid w:val="00C651DA"/>
    <w:rsid w:val="00C653F4"/>
    <w:rsid w:val="00C669B1"/>
    <w:rsid w:val="00C66F35"/>
    <w:rsid w:val="00C70EDF"/>
    <w:rsid w:val="00C711F3"/>
    <w:rsid w:val="00C724FD"/>
    <w:rsid w:val="00C727C3"/>
    <w:rsid w:val="00C72C76"/>
    <w:rsid w:val="00C748C2"/>
    <w:rsid w:val="00C74B8E"/>
    <w:rsid w:val="00C74BA9"/>
    <w:rsid w:val="00C7580C"/>
    <w:rsid w:val="00C77CF4"/>
    <w:rsid w:val="00C81035"/>
    <w:rsid w:val="00C81DDE"/>
    <w:rsid w:val="00C8367D"/>
    <w:rsid w:val="00C83FA4"/>
    <w:rsid w:val="00C86A6B"/>
    <w:rsid w:val="00C86B11"/>
    <w:rsid w:val="00C86C43"/>
    <w:rsid w:val="00C86EA7"/>
    <w:rsid w:val="00C86FB2"/>
    <w:rsid w:val="00C90ACD"/>
    <w:rsid w:val="00C912FB"/>
    <w:rsid w:val="00C920C5"/>
    <w:rsid w:val="00C922E5"/>
    <w:rsid w:val="00C92767"/>
    <w:rsid w:val="00C92BAA"/>
    <w:rsid w:val="00C93EEC"/>
    <w:rsid w:val="00C9417E"/>
    <w:rsid w:val="00C94D20"/>
    <w:rsid w:val="00C952AB"/>
    <w:rsid w:val="00C95739"/>
    <w:rsid w:val="00C97186"/>
    <w:rsid w:val="00C97A70"/>
    <w:rsid w:val="00CA040E"/>
    <w:rsid w:val="00CA0E23"/>
    <w:rsid w:val="00CA2FDE"/>
    <w:rsid w:val="00CA33EC"/>
    <w:rsid w:val="00CA429C"/>
    <w:rsid w:val="00CA62FA"/>
    <w:rsid w:val="00CA6A71"/>
    <w:rsid w:val="00CA6A9D"/>
    <w:rsid w:val="00CA6D27"/>
    <w:rsid w:val="00CB0403"/>
    <w:rsid w:val="00CB3324"/>
    <w:rsid w:val="00CB4711"/>
    <w:rsid w:val="00CB5012"/>
    <w:rsid w:val="00CB659D"/>
    <w:rsid w:val="00CB66E1"/>
    <w:rsid w:val="00CB6BAF"/>
    <w:rsid w:val="00CB7A06"/>
    <w:rsid w:val="00CB7AFB"/>
    <w:rsid w:val="00CB7BA4"/>
    <w:rsid w:val="00CC01F0"/>
    <w:rsid w:val="00CC0401"/>
    <w:rsid w:val="00CC05AD"/>
    <w:rsid w:val="00CC08C3"/>
    <w:rsid w:val="00CC0F7B"/>
    <w:rsid w:val="00CC117F"/>
    <w:rsid w:val="00CC1226"/>
    <w:rsid w:val="00CC132C"/>
    <w:rsid w:val="00CC160E"/>
    <w:rsid w:val="00CC1E34"/>
    <w:rsid w:val="00CC2514"/>
    <w:rsid w:val="00CC3062"/>
    <w:rsid w:val="00CC409E"/>
    <w:rsid w:val="00CC42CC"/>
    <w:rsid w:val="00CC44AA"/>
    <w:rsid w:val="00CC6A77"/>
    <w:rsid w:val="00CD0F2D"/>
    <w:rsid w:val="00CD1568"/>
    <w:rsid w:val="00CD1666"/>
    <w:rsid w:val="00CD3FA4"/>
    <w:rsid w:val="00CD48CE"/>
    <w:rsid w:val="00CD51C0"/>
    <w:rsid w:val="00CD53FC"/>
    <w:rsid w:val="00CD54C9"/>
    <w:rsid w:val="00CD54FB"/>
    <w:rsid w:val="00CD5F48"/>
    <w:rsid w:val="00CD6895"/>
    <w:rsid w:val="00CD6AB1"/>
    <w:rsid w:val="00CD7BE9"/>
    <w:rsid w:val="00CD7C3C"/>
    <w:rsid w:val="00CE0083"/>
    <w:rsid w:val="00CE0435"/>
    <w:rsid w:val="00CE2188"/>
    <w:rsid w:val="00CE272B"/>
    <w:rsid w:val="00CE3301"/>
    <w:rsid w:val="00CE52B3"/>
    <w:rsid w:val="00CE5419"/>
    <w:rsid w:val="00CE56DF"/>
    <w:rsid w:val="00CE5C4D"/>
    <w:rsid w:val="00CE62AE"/>
    <w:rsid w:val="00CE7A90"/>
    <w:rsid w:val="00CF0525"/>
    <w:rsid w:val="00CF216E"/>
    <w:rsid w:val="00CF2E35"/>
    <w:rsid w:val="00CF3461"/>
    <w:rsid w:val="00CF3A8A"/>
    <w:rsid w:val="00CF5D12"/>
    <w:rsid w:val="00CF6585"/>
    <w:rsid w:val="00CF6DD3"/>
    <w:rsid w:val="00CF767D"/>
    <w:rsid w:val="00D011A2"/>
    <w:rsid w:val="00D01708"/>
    <w:rsid w:val="00D01D38"/>
    <w:rsid w:val="00D01DDB"/>
    <w:rsid w:val="00D03B5C"/>
    <w:rsid w:val="00D054C3"/>
    <w:rsid w:val="00D05FF5"/>
    <w:rsid w:val="00D06CB1"/>
    <w:rsid w:val="00D10025"/>
    <w:rsid w:val="00D13759"/>
    <w:rsid w:val="00D142DF"/>
    <w:rsid w:val="00D159C4"/>
    <w:rsid w:val="00D15E55"/>
    <w:rsid w:val="00D170FC"/>
    <w:rsid w:val="00D17144"/>
    <w:rsid w:val="00D178A8"/>
    <w:rsid w:val="00D20206"/>
    <w:rsid w:val="00D210AE"/>
    <w:rsid w:val="00D219F4"/>
    <w:rsid w:val="00D21CEF"/>
    <w:rsid w:val="00D227C1"/>
    <w:rsid w:val="00D2582C"/>
    <w:rsid w:val="00D25ADF"/>
    <w:rsid w:val="00D25D7B"/>
    <w:rsid w:val="00D27748"/>
    <w:rsid w:val="00D27B87"/>
    <w:rsid w:val="00D27C1F"/>
    <w:rsid w:val="00D33006"/>
    <w:rsid w:val="00D343C2"/>
    <w:rsid w:val="00D34A15"/>
    <w:rsid w:val="00D34A62"/>
    <w:rsid w:val="00D34BF2"/>
    <w:rsid w:val="00D34FD8"/>
    <w:rsid w:val="00D35103"/>
    <w:rsid w:val="00D36967"/>
    <w:rsid w:val="00D36FC4"/>
    <w:rsid w:val="00D40395"/>
    <w:rsid w:val="00D40489"/>
    <w:rsid w:val="00D405E5"/>
    <w:rsid w:val="00D40CED"/>
    <w:rsid w:val="00D40D21"/>
    <w:rsid w:val="00D41195"/>
    <w:rsid w:val="00D41DA1"/>
    <w:rsid w:val="00D43A03"/>
    <w:rsid w:val="00D4445C"/>
    <w:rsid w:val="00D44877"/>
    <w:rsid w:val="00D44AA1"/>
    <w:rsid w:val="00D46187"/>
    <w:rsid w:val="00D46FD6"/>
    <w:rsid w:val="00D47103"/>
    <w:rsid w:val="00D4713C"/>
    <w:rsid w:val="00D518D7"/>
    <w:rsid w:val="00D521CD"/>
    <w:rsid w:val="00D52869"/>
    <w:rsid w:val="00D52FA8"/>
    <w:rsid w:val="00D53B11"/>
    <w:rsid w:val="00D54540"/>
    <w:rsid w:val="00D54F33"/>
    <w:rsid w:val="00D5555D"/>
    <w:rsid w:val="00D5583E"/>
    <w:rsid w:val="00D559C5"/>
    <w:rsid w:val="00D55B08"/>
    <w:rsid w:val="00D55CAF"/>
    <w:rsid w:val="00D56991"/>
    <w:rsid w:val="00D5737C"/>
    <w:rsid w:val="00D57852"/>
    <w:rsid w:val="00D57A20"/>
    <w:rsid w:val="00D6175C"/>
    <w:rsid w:val="00D629F2"/>
    <w:rsid w:val="00D62D08"/>
    <w:rsid w:val="00D6396A"/>
    <w:rsid w:val="00D64344"/>
    <w:rsid w:val="00D64536"/>
    <w:rsid w:val="00D649BC"/>
    <w:rsid w:val="00D662A0"/>
    <w:rsid w:val="00D669AA"/>
    <w:rsid w:val="00D67131"/>
    <w:rsid w:val="00D67F13"/>
    <w:rsid w:val="00D71641"/>
    <w:rsid w:val="00D71A33"/>
    <w:rsid w:val="00D73771"/>
    <w:rsid w:val="00D739A9"/>
    <w:rsid w:val="00D73AEC"/>
    <w:rsid w:val="00D7474C"/>
    <w:rsid w:val="00D74C69"/>
    <w:rsid w:val="00D751F3"/>
    <w:rsid w:val="00D75E24"/>
    <w:rsid w:val="00D75FED"/>
    <w:rsid w:val="00D8242C"/>
    <w:rsid w:val="00D83644"/>
    <w:rsid w:val="00D86C38"/>
    <w:rsid w:val="00D86E9C"/>
    <w:rsid w:val="00D872DE"/>
    <w:rsid w:val="00D90B3D"/>
    <w:rsid w:val="00D91DAA"/>
    <w:rsid w:val="00D92359"/>
    <w:rsid w:val="00D9235C"/>
    <w:rsid w:val="00D92DBB"/>
    <w:rsid w:val="00D92E98"/>
    <w:rsid w:val="00D931AC"/>
    <w:rsid w:val="00D93A8F"/>
    <w:rsid w:val="00D9428D"/>
    <w:rsid w:val="00D9448E"/>
    <w:rsid w:val="00D95D4A"/>
    <w:rsid w:val="00D96E48"/>
    <w:rsid w:val="00D972B1"/>
    <w:rsid w:val="00D97734"/>
    <w:rsid w:val="00D97F80"/>
    <w:rsid w:val="00DA01A3"/>
    <w:rsid w:val="00DA05CA"/>
    <w:rsid w:val="00DA0AC5"/>
    <w:rsid w:val="00DA34A9"/>
    <w:rsid w:val="00DA4515"/>
    <w:rsid w:val="00DA5729"/>
    <w:rsid w:val="00DA5FDA"/>
    <w:rsid w:val="00DA67EF"/>
    <w:rsid w:val="00DA701D"/>
    <w:rsid w:val="00DA7AFB"/>
    <w:rsid w:val="00DB2E6B"/>
    <w:rsid w:val="00DB3323"/>
    <w:rsid w:val="00DB3494"/>
    <w:rsid w:val="00DB4490"/>
    <w:rsid w:val="00DB469E"/>
    <w:rsid w:val="00DB4B7D"/>
    <w:rsid w:val="00DB5B9E"/>
    <w:rsid w:val="00DB74AD"/>
    <w:rsid w:val="00DB77A3"/>
    <w:rsid w:val="00DC0193"/>
    <w:rsid w:val="00DC0AE9"/>
    <w:rsid w:val="00DC219D"/>
    <w:rsid w:val="00DC257B"/>
    <w:rsid w:val="00DC2AA9"/>
    <w:rsid w:val="00DC330D"/>
    <w:rsid w:val="00DC3B12"/>
    <w:rsid w:val="00DC3D39"/>
    <w:rsid w:val="00DC4C41"/>
    <w:rsid w:val="00DC5A64"/>
    <w:rsid w:val="00DC645C"/>
    <w:rsid w:val="00DC67B0"/>
    <w:rsid w:val="00DD0318"/>
    <w:rsid w:val="00DD0B87"/>
    <w:rsid w:val="00DD2224"/>
    <w:rsid w:val="00DD2706"/>
    <w:rsid w:val="00DD3074"/>
    <w:rsid w:val="00DD30AA"/>
    <w:rsid w:val="00DD3565"/>
    <w:rsid w:val="00DD36E6"/>
    <w:rsid w:val="00DD37AC"/>
    <w:rsid w:val="00DD4609"/>
    <w:rsid w:val="00DD7B6D"/>
    <w:rsid w:val="00DE08D6"/>
    <w:rsid w:val="00DE18C3"/>
    <w:rsid w:val="00DE27E9"/>
    <w:rsid w:val="00DE3356"/>
    <w:rsid w:val="00DE62A1"/>
    <w:rsid w:val="00DE64C0"/>
    <w:rsid w:val="00DE7BB3"/>
    <w:rsid w:val="00DF02A7"/>
    <w:rsid w:val="00DF1E8F"/>
    <w:rsid w:val="00DF3470"/>
    <w:rsid w:val="00DF3FBD"/>
    <w:rsid w:val="00DF5230"/>
    <w:rsid w:val="00DF6C7E"/>
    <w:rsid w:val="00DF78A4"/>
    <w:rsid w:val="00DF7A9A"/>
    <w:rsid w:val="00E00929"/>
    <w:rsid w:val="00E0134D"/>
    <w:rsid w:val="00E013D5"/>
    <w:rsid w:val="00E016B7"/>
    <w:rsid w:val="00E0570F"/>
    <w:rsid w:val="00E07D47"/>
    <w:rsid w:val="00E109A5"/>
    <w:rsid w:val="00E10FF2"/>
    <w:rsid w:val="00E1246F"/>
    <w:rsid w:val="00E13118"/>
    <w:rsid w:val="00E13C91"/>
    <w:rsid w:val="00E13EBD"/>
    <w:rsid w:val="00E15D52"/>
    <w:rsid w:val="00E16FFE"/>
    <w:rsid w:val="00E17C9F"/>
    <w:rsid w:val="00E202F4"/>
    <w:rsid w:val="00E205BA"/>
    <w:rsid w:val="00E20EC7"/>
    <w:rsid w:val="00E210FE"/>
    <w:rsid w:val="00E22D88"/>
    <w:rsid w:val="00E253EA"/>
    <w:rsid w:val="00E278F2"/>
    <w:rsid w:val="00E301A5"/>
    <w:rsid w:val="00E318B9"/>
    <w:rsid w:val="00E335B9"/>
    <w:rsid w:val="00E34102"/>
    <w:rsid w:val="00E3614C"/>
    <w:rsid w:val="00E371C8"/>
    <w:rsid w:val="00E37DB8"/>
    <w:rsid w:val="00E40A6C"/>
    <w:rsid w:val="00E40BF5"/>
    <w:rsid w:val="00E41689"/>
    <w:rsid w:val="00E419FC"/>
    <w:rsid w:val="00E432F5"/>
    <w:rsid w:val="00E43C2E"/>
    <w:rsid w:val="00E44E50"/>
    <w:rsid w:val="00E45366"/>
    <w:rsid w:val="00E45E52"/>
    <w:rsid w:val="00E50714"/>
    <w:rsid w:val="00E50EC7"/>
    <w:rsid w:val="00E511A0"/>
    <w:rsid w:val="00E52EB1"/>
    <w:rsid w:val="00E53DD6"/>
    <w:rsid w:val="00E54DD0"/>
    <w:rsid w:val="00E54EED"/>
    <w:rsid w:val="00E55DF2"/>
    <w:rsid w:val="00E56819"/>
    <w:rsid w:val="00E570E8"/>
    <w:rsid w:val="00E5753C"/>
    <w:rsid w:val="00E6020C"/>
    <w:rsid w:val="00E6063A"/>
    <w:rsid w:val="00E61B65"/>
    <w:rsid w:val="00E61CB0"/>
    <w:rsid w:val="00E64CC5"/>
    <w:rsid w:val="00E65978"/>
    <w:rsid w:val="00E65B69"/>
    <w:rsid w:val="00E65B84"/>
    <w:rsid w:val="00E65F33"/>
    <w:rsid w:val="00E66949"/>
    <w:rsid w:val="00E673B7"/>
    <w:rsid w:val="00E67BFC"/>
    <w:rsid w:val="00E749F0"/>
    <w:rsid w:val="00E74BE9"/>
    <w:rsid w:val="00E7517C"/>
    <w:rsid w:val="00E75715"/>
    <w:rsid w:val="00E76BE8"/>
    <w:rsid w:val="00E77050"/>
    <w:rsid w:val="00E80A63"/>
    <w:rsid w:val="00E81770"/>
    <w:rsid w:val="00E82596"/>
    <w:rsid w:val="00E83175"/>
    <w:rsid w:val="00E833E7"/>
    <w:rsid w:val="00E83452"/>
    <w:rsid w:val="00E84160"/>
    <w:rsid w:val="00E931FC"/>
    <w:rsid w:val="00E939A9"/>
    <w:rsid w:val="00E93E1A"/>
    <w:rsid w:val="00E94590"/>
    <w:rsid w:val="00E94DD4"/>
    <w:rsid w:val="00E96A30"/>
    <w:rsid w:val="00EA014C"/>
    <w:rsid w:val="00EA01AB"/>
    <w:rsid w:val="00EA0226"/>
    <w:rsid w:val="00EA287A"/>
    <w:rsid w:val="00EA2C69"/>
    <w:rsid w:val="00EA2C7B"/>
    <w:rsid w:val="00EA330F"/>
    <w:rsid w:val="00EA3913"/>
    <w:rsid w:val="00EA3ADE"/>
    <w:rsid w:val="00EA42A0"/>
    <w:rsid w:val="00EA492C"/>
    <w:rsid w:val="00EA546F"/>
    <w:rsid w:val="00EA74B1"/>
    <w:rsid w:val="00EA755F"/>
    <w:rsid w:val="00EA767B"/>
    <w:rsid w:val="00EB0C22"/>
    <w:rsid w:val="00EB1405"/>
    <w:rsid w:val="00EB2A2E"/>
    <w:rsid w:val="00EB2A90"/>
    <w:rsid w:val="00EB2CEA"/>
    <w:rsid w:val="00EB39C6"/>
    <w:rsid w:val="00EB4577"/>
    <w:rsid w:val="00EB4672"/>
    <w:rsid w:val="00EB524A"/>
    <w:rsid w:val="00EB5823"/>
    <w:rsid w:val="00EB7C38"/>
    <w:rsid w:val="00EB7F12"/>
    <w:rsid w:val="00EC14D3"/>
    <w:rsid w:val="00EC192C"/>
    <w:rsid w:val="00EC1D0C"/>
    <w:rsid w:val="00EC3048"/>
    <w:rsid w:val="00EC4084"/>
    <w:rsid w:val="00EC445C"/>
    <w:rsid w:val="00EC6C95"/>
    <w:rsid w:val="00EC78B4"/>
    <w:rsid w:val="00ED29BC"/>
    <w:rsid w:val="00ED2ECA"/>
    <w:rsid w:val="00ED3065"/>
    <w:rsid w:val="00ED34D4"/>
    <w:rsid w:val="00ED45F2"/>
    <w:rsid w:val="00ED6BCA"/>
    <w:rsid w:val="00ED76D5"/>
    <w:rsid w:val="00EE0020"/>
    <w:rsid w:val="00EE0128"/>
    <w:rsid w:val="00EE0CF4"/>
    <w:rsid w:val="00EE1B7B"/>
    <w:rsid w:val="00EE1C8F"/>
    <w:rsid w:val="00EE1C9E"/>
    <w:rsid w:val="00EE5866"/>
    <w:rsid w:val="00EE6A80"/>
    <w:rsid w:val="00EE7305"/>
    <w:rsid w:val="00EE75AF"/>
    <w:rsid w:val="00EE7A56"/>
    <w:rsid w:val="00EE7C93"/>
    <w:rsid w:val="00EF1A1D"/>
    <w:rsid w:val="00EF278B"/>
    <w:rsid w:val="00EF2E52"/>
    <w:rsid w:val="00EF315D"/>
    <w:rsid w:val="00EF3B15"/>
    <w:rsid w:val="00EF3DDD"/>
    <w:rsid w:val="00EF45E5"/>
    <w:rsid w:val="00EF4832"/>
    <w:rsid w:val="00EF4BC6"/>
    <w:rsid w:val="00EF58F3"/>
    <w:rsid w:val="00EF5B89"/>
    <w:rsid w:val="00EF6574"/>
    <w:rsid w:val="00EF69A0"/>
    <w:rsid w:val="00EF78D5"/>
    <w:rsid w:val="00EF79CD"/>
    <w:rsid w:val="00EF7A8A"/>
    <w:rsid w:val="00EF7BD5"/>
    <w:rsid w:val="00EF7CD8"/>
    <w:rsid w:val="00EF7FF3"/>
    <w:rsid w:val="00F00DF5"/>
    <w:rsid w:val="00F02A70"/>
    <w:rsid w:val="00F0373B"/>
    <w:rsid w:val="00F03A3A"/>
    <w:rsid w:val="00F044D3"/>
    <w:rsid w:val="00F066BF"/>
    <w:rsid w:val="00F06AC5"/>
    <w:rsid w:val="00F071CA"/>
    <w:rsid w:val="00F072F7"/>
    <w:rsid w:val="00F07A13"/>
    <w:rsid w:val="00F10006"/>
    <w:rsid w:val="00F10C04"/>
    <w:rsid w:val="00F10FEA"/>
    <w:rsid w:val="00F11255"/>
    <w:rsid w:val="00F11498"/>
    <w:rsid w:val="00F11C72"/>
    <w:rsid w:val="00F12740"/>
    <w:rsid w:val="00F13894"/>
    <w:rsid w:val="00F1455B"/>
    <w:rsid w:val="00F156B4"/>
    <w:rsid w:val="00F15772"/>
    <w:rsid w:val="00F166D9"/>
    <w:rsid w:val="00F1728C"/>
    <w:rsid w:val="00F20A29"/>
    <w:rsid w:val="00F2131E"/>
    <w:rsid w:val="00F22371"/>
    <w:rsid w:val="00F22381"/>
    <w:rsid w:val="00F224EA"/>
    <w:rsid w:val="00F24F51"/>
    <w:rsid w:val="00F276D3"/>
    <w:rsid w:val="00F27C98"/>
    <w:rsid w:val="00F27DFA"/>
    <w:rsid w:val="00F304F9"/>
    <w:rsid w:val="00F30643"/>
    <w:rsid w:val="00F30D06"/>
    <w:rsid w:val="00F314EE"/>
    <w:rsid w:val="00F33841"/>
    <w:rsid w:val="00F348C4"/>
    <w:rsid w:val="00F350AD"/>
    <w:rsid w:val="00F35983"/>
    <w:rsid w:val="00F36FF2"/>
    <w:rsid w:val="00F37C6F"/>
    <w:rsid w:val="00F41228"/>
    <w:rsid w:val="00F413EE"/>
    <w:rsid w:val="00F42492"/>
    <w:rsid w:val="00F42493"/>
    <w:rsid w:val="00F42848"/>
    <w:rsid w:val="00F42969"/>
    <w:rsid w:val="00F44E85"/>
    <w:rsid w:val="00F4543B"/>
    <w:rsid w:val="00F457A3"/>
    <w:rsid w:val="00F46053"/>
    <w:rsid w:val="00F46CDD"/>
    <w:rsid w:val="00F470B1"/>
    <w:rsid w:val="00F470C9"/>
    <w:rsid w:val="00F506B7"/>
    <w:rsid w:val="00F51F69"/>
    <w:rsid w:val="00F56D0D"/>
    <w:rsid w:val="00F5748F"/>
    <w:rsid w:val="00F6425E"/>
    <w:rsid w:val="00F651C3"/>
    <w:rsid w:val="00F66195"/>
    <w:rsid w:val="00F666E0"/>
    <w:rsid w:val="00F704DB"/>
    <w:rsid w:val="00F70596"/>
    <w:rsid w:val="00F7068F"/>
    <w:rsid w:val="00F70C36"/>
    <w:rsid w:val="00F718F7"/>
    <w:rsid w:val="00F72C69"/>
    <w:rsid w:val="00F752FE"/>
    <w:rsid w:val="00F76037"/>
    <w:rsid w:val="00F769C7"/>
    <w:rsid w:val="00F76AC6"/>
    <w:rsid w:val="00F77160"/>
    <w:rsid w:val="00F800F8"/>
    <w:rsid w:val="00F82570"/>
    <w:rsid w:val="00F84DCA"/>
    <w:rsid w:val="00F85394"/>
    <w:rsid w:val="00F8567E"/>
    <w:rsid w:val="00F861D8"/>
    <w:rsid w:val="00F862CB"/>
    <w:rsid w:val="00F86878"/>
    <w:rsid w:val="00F86D96"/>
    <w:rsid w:val="00F86F98"/>
    <w:rsid w:val="00F87C8A"/>
    <w:rsid w:val="00F87FD6"/>
    <w:rsid w:val="00F90F89"/>
    <w:rsid w:val="00F90F96"/>
    <w:rsid w:val="00F912B5"/>
    <w:rsid w:val="00F916D0"/>
    <w:rsid w:val="00F9277A"/>
    <w:rsid w:val="00F92BED"/>
    <w:rsid w:val="00F940DD"/>
    <w:rsid w:val="00F94CAF"/>
    <w:rsid w:val="00F952FE"/>
    <w:rsid w:val="00F95D1F"/>
    <w:rsid w:val="00F967D5"/>
    <w:rsid w:val="00F96850"/>
    <w:rsid w:val="00F97A01"/>
    <w:rsid w:val="00F97BC5"/>
    <w:rsid w:val="00FA0FE2"/>
    <w:rsid w:val="00FA145B"/>
    <w:rsid w:val="00FA324C"/>
    <w:rsid w:val="00FA3D0D"/>
    <w:rsid w:val="00FA605D"/>
    <w:rsid w:val="00FA6364"/>
    <w:rsid w:val="00FA7453"/>
    <w:rsid w:val="00FB12F1"/>
    <w:rsid w:val="00FB16B3"/>
    <w:rsid w:val="00FB1F12"/>
    <w:rsid w:val="00FB35AC"/>
    <w:rsid w:val="00FB36DC"/>
    <w:rsid w:val="00FB475F"/>
    <w:rsid w:val="00FB4761"/>
    <w:rsid w:val="00FB54FA"/>
    <w:rsid w:val="00FB5F41"/>
    <w:rsid w:val="00FB6303"/>
    <w:rsid w:val="00FB65E5"/>
    <w:rsid w:val="00FB7A2A"/>
    <w:rsid w:val="00FC0646"/>
    <w:rsid w:val="00FC1B31"/>
    <w:rsid w:val="00FC244C"/>
    <w:rsid w:val="00FC2A5D"/>
    <w:rsid w:val="00FC30C6"/>
    <w:rsid w:val="00FC39F7"/>
    <w:rsid w:val="00FC3A2C"/>
    <w:rsid w:val="00FC5F40"/>
    <w:rsid w:val="00FC63C7"/>
    <w:rsid w:val="00FC6802"/>
    <w:rsid w:val="00FC7146"/>
    <w:rsid w:val="00FC76A2"/>
    <w:rsid w:val="00FC7B90"/>
    <w:rsid w:val="00FD03CB"/>
    <w:rsid w:val="00FD11ED"/>
    <w:rsid w:val="00FD1414"/>
    <w:rsid w:val="00FD33A0"/>
    <w:rsid w:val="00FD3DFA"/>
    <w:rsid w:val="00FD40B4"/>
    <w:rsid w:val="00FD4BAB"/>
    <w:rsid w:val="00FD5F9B"/>
    <w:rsid w:val="00FE01CD"/>
    <w:rsid w:val="00FE0A29"/>
    <w:rsid w:val="00FE1923"/>
    <w:rsid w:val="00FE1B44"/>
    <w:rsid w:val="00FE4758"/>
    <w:rsid w:val="00FE5296"/>
    <w:rsid w:val="00FE58CE"/>
    <w:rsid w:val="00FE62AB"/>
    <w:rsid w:val="00FE67E0"/>
    <w:rsid w:val="00FF2BE2"/>
    <w:rsid w:val="00FF33F6"/>
    <w:rsid w:val="00FF4901"/>
    <w:rsid w:val="00FF4D46"/>
    <w:rsid w:val="00FF6B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74B"/>
    <w:pPr>
      <w:jc w:val="both"/>
    </w:pPr>
    <w:rPr>
      <w:sz w:val="24"/>
      <w:lang w:eastAsia="en-AU"/>
    </w:rPr>
  </w:style>
  <w:style w:type="paragraph" w:styleId="Heading1">
    <w:name w:val="heading 1"/>
    <w:basedOn w:val="Normal"/>
    <w:next w:val="Normal"/>
    <w:link w:val="Heading1Char"/>
    <w:qFormat/>
    <w:rsid w:val="00141FBF"/>
    <w:pPr>
      <w:keepNext/>
      <w:jc w:val="left"/>
      <w:outlineLvl w:val="0"/>
    </w:pPr>
    <w:rPr>
      <w:rFonts w:ascii="Times New Roman Bold" w:hAnsi="Times New Roman Bold"/>
      <w:b/>
      <w:kern w:val="28"/>
      <w:szCs w:val="24"/>
    </w:rPr>
  </w:style>
  <w:style w:type="paragraph" w:styleId="Heading2">
    <w:name w:val="heading 2"/>
    <w:basedOn w:val="Normal"/>
    <w:next w:val="Normal"/>
    <w:link w:val="Heading2Char"/>
    <w:qFormat/>
    <w:rsid w:val="00141FBF"/>
    <w:pPr>
      <w:keepNext/>
      <w:outlineLvl w:val="1"/>
    </w:pPr>
    <w:rPr>
      <w:b/>
      <w:i/>
      <w:szCs w:val="24"/>
    </w:rPr>
  </w:style>
  <w:style w:type="paragraph" w:styleId="Heading3">
    <w:name w:val="heading 3"/>
    <w:basedOn w:val="Normal"/>
    <w:next w:val="Normal"/>
    <w:link w:val="Heading3Char"/>
    <w:qFormat/>
    <w:rsid w:val="007E474B"/>
    <w:pPr>
      <w:keepNext/>
      <w:outlineLvl w:val="2"/>
    </w:pPr>
    <w:rPr>
      <w:i/>
    </w:rPr>
  </w:style>
  <w:style w:type="paragraph" w:styleId="Heading4">
    <w:name w:val="heading 4"/>
    <w:basedOn w:val="Normal"/>
    <w:next w:val="Normal"/>
    <w:qFormat/>
    <w:rsid w:val="00141FBF"/>
    <w:pPr>
      <w:keepNext/>
      <w:outlineLvl w:val="3"/>
    </w:pPr>
    <w:rPr>
      <w:bCs/>
      <w:szCs w:val="28"/>
    </w:rPr>
  </w:style>
  <w:style w:type="paragraph" w:styleId="Heading5">
    <w:name w:val="heading 5"/>
    <w:basedOn w:val="Normal"/>
    <w:next w:val="Normal"/>
    <w:rsid w:val="00725975"/>
    <w:pPr>
      <w:spacing w:before="240" w:after="60"/>
      <w:outlineLvl w:val="4"/>
    </w:pPr>
    <w:rPr>
      <w:b/>
      <w:bCs/>
      <w:i/>
      <w:iCs/>
      <w:sz w:val="26"/>
      <w:szCs w:val="26"/>
    </w:rPr>
  </w:style>
  <w:style w:type="paragraph" w:styleId="Heading6">
    <w:name w:val="heading 6"/>
    <w:basedOn w:val="Normal"/>
    <w:next w:val="Normal"/>
    <w:rsid w:val="00725975"/>
    <w:pPr>
      <w:spacing w:before="240" w:after="60"/>
      <w:outlineLvl w:val="5"/>
    </w:pPr>
    <w:rPr>
      <w:b/>
      <w:bCs/>
      <w:sz w:val="22"/>
      <w:szCs w:val="22"/>
    </w:rPr>
  </w:style>
  <w:style w:type="paragraph" w:styleId="Heading7">
    <w:name w:val="heading 7"/>
    <w:basedOn w:val="Normal"/>
    <w:next w:val="Normal"/>
    <w:rsid w:val="00725975"/>
    <w:pPr>
      <w:spacing w:before="240" w:after="60"/>
      <w:outlineLvl w:val="6"/>
    </w:pPr>
    <w:rPr>
      <w:szCs w:val="24"/>
    </w:rPr>
  </w:style>
  <w:style w:type="paragraph" w:styleId="Heading8">
    <w:name w:val="heading 8"/>
    <w:basedOn w:val="Normal"/>
    <w:next w:val="Normal"/>
    <w:rsid w:val="00725975"/>
    <w:pPr>
      <w:spacing w:before="240" w:after="60"/>
      <w:outlineLvl w:val="7"/>
    </w:pPr>
    <w:rPr>
      <w:i/>
      <w:iCs/>
      <w:szCs w:val="24"/>
    </w:rPr>
  </w:style>
  <w:style w:type="paragraph" w:styleId="Heading9">
    <w:name w:val="heading 9"/>
    <w:basedOn w:val="Normal"/>
    <w:next w:val="Normal"/>
    <w:rsid w:val="007259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344"/>
    <w:rPr>
      <w:color w:val="0000FF" w:themeColor="hyperlink"/>
      <w:u w:val="single"/>
    </w:rPr>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paragraph" w:styleId="FootnoteText">
    <w:name w:val="footnote text"/>
    <w:basedOn w:val="Normal"/>
    <w:link w:val="FootnoteTextChar"/>
    <w:semiHidden/>
    <w:rsid w:val="00725975"/>
    <w:pPr>
      <w:jc w:val="left"/>
    </w:pPr>
    <w:rPr>
      <w:rFonts w:eastAsia="MS Mincho"/>
      <w:sz w:val="18"/>
      <w:szCs w:val="18"/>
      <w:lang w:eastAsia="ja-JP"/>
    </w:rPr>
  </w:style>
  <w:style w:type="character" w:styleId="FootnoteReference">
    <w:name w:val="footnote reference"/>
    <w:basedOn w:val="DefaultParagraphFont"/>
    <w:semiHidden/>
    <w:rsid w:val="00725975"/>
    <w:rPr>
      <w:rFonts w:ascii="Times New Roman" w:hAnsi="Times New Roman"/>
      <w:sz w:val="18"/>
      <w:szCs w:val="18"/>
      <w:vertAlign w:val="superscript"/>
    </w:rPr>
  </w:style>
  <w:style w:type="paragraph" w:styleId="ListBullet">
    <w:name w:val="List Bullet"/>
    <w:basedOn w:val="Normal"/>
    <w:rsid w:val="00725975"/>
    <w:pPr>
      <w:spacing w:after="240"/>
      <w:jc w:val="left"/>
    </w:pPr>
    <w:rPr>
      <w:rFonts w:ascii="Arial" w:hAnsi="Arial"/>
      <w:lang w:eastAsia="en-US"/>
    </w:rPr>
  </w:style>
  <w:style w:type="table" w:styleId="TableGrid">
    <w:name w:val="Table Grid"/>
    <w:basedOn w:val="TableNormal"/>
    <w:uiPriority w:val="59"/>
    <w:rsid w:val="00725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autoRedefine/>
    <w:rsid w:val="00725975"/>
    <w:pPr>
      <w:ind w:left="720" w:right="746"/>
    </w:pPr>
    <w:rPr>
      <w:sz w:val="22"/>
      <w:szCs w:val="24"/>
    </w:rPr>
  </w:style>
  <w:style w:type="paragraph" w:styleId="Header">
    <w:name w:val="header"/>
    <w:basedOn w:val="Normal"/>
    <w:rsid w:val="00725975"/>
    <w:pPr>
      <w:tabs>
        <w:tab w:val="center" w:pos="4153"/>
        <w:tab w:val="right" w:pos="8306"/>
      </w:tabs>
    </w:pPr>
  </w:style>
  <w:style w:type="character" w:styleId="Strong">
    <w:name w:val="Strong"/>
    <w:basedOn w:val="DefaultParagraphFont"/>
    <w:qFormat/>
    <w:rsid w:val="00725975"/>
    <w:rPr>
      <w:b/>
      <w:bCs/>
    </w:r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03164B"/>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link w:val="CommentTextChar"/>
    <w:semiHidden/>
    <w:rsid w:val="00725975"/>
  </w:style>
  <w:style w:type="paragraph" w:styleId="CommentSubject">
    <w:name w:val="annotation subject"/>
    <w:basedOn w:val="CommentText"/>
    <w:next w:val="CommentText"/>
    <w:semiHidden/>
    <w:rsid w:val="000E3A50"/>
    <w:rPr>
      <w:b/>
      <w:bCs/>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Bullet">
    <w:name w:val="Bullet"/>
    <w:basedOn w:val="Normal"/>
    <w:rsid w:val="00311DBB"/>
    <w:pPr>
      <w:spacing w:after="140"/>
    </w:pPr>
  </w:style>
  <w:style w:type="paragraph" w:customStyle="1" w:styleId="Chapter1">
    <w:name w:val="Chapter 1"/>
    <w:link w:val="Chapter1Char1"/>
    <w:rsid w:val="006F02AD"/>
    <w:pPr>
      <w:numPr>
        <w:numId w:val="2"/>
      </w:numPr>
      <w:jc w:val="both"/>
    </w:pPr>
    <w:rPr>
      <w:sz w:val="24"/>
      <w:lang w:eastAsia="en-AU"/>
    </w:rPr>
  </w:style>
  <w:style w:type="paragraph" w:customStyle="1" w:styleId="Chapter10">
    <w:name w:val="Chapter 10"/>
    <w:basedOn w:val="Normal"/>
    <w:rsid w:val="00141FBF"/>
    <w:pPr>
      <w:numPr>
        <w:numId w:val="3"/>
      </w:numPr>
      <w:tabs>
        <w:tab w:val="clear" w:pos="567"/>
        <w:tab w:val="num" w:pos="851"/>
      </w:tabs>
      <w:ind w:left="851" w:hanging="851"/>
    </w:pPr>
    <w:rPr>
      <w:szCs w:val="24"/>
      <w:lang w:val="en-AU"/>
    </w:rPr>
  </w:style>
  <w:style w:type="paragraph" w:customStyle="1" w:styleId="Chapter2">
    <w:name w:val="Chapter 2"/>
    <w:basedOn w:val="Chapter1"/>
    <w:link w:val="Chapter2Char"/>
    <w:rsid w:val="00C34E8B"/>
    <w:pPr>
      <w:numPr>
        <w:numId w:val="4"/>
      </w:numPr>
    </w:pPr>
    <w:rPr>
      <w:snapToGrid w:val="0"/>
      <w:lang w:eastAsia="en-US"/>
    </w:rPr>
  </w:style>
  <w:style w:type="paragraph" w:customStyle="1" w:styleId="Chapter3">
    <w:name w:val="Chapter 3"/>
    <w:basedOn w:val="Chapter2"/>
    <w:link w:val="Chapter3Char1"/>
    <w:rsid w:val="00725975"/>
    <w:pPr>
      <w:numPr>
        <w:numId w:val="5"/>
      </w:numPr>
    </w:pPr>
  </w:style>
  <w:style w:type="paragraph" w:customStyle="1" w:styleId="Chapter4">
    <w:name w:val="Chapter 4"/>
    <w:basedOn w:val="Chapter1"/>
    <w:rsid w:val="00CD5F48"/>
    <w:pPr>
      <w:numPr>
        <w:numId w:val="10"/>
      </w:numPr>
    </w:pPr>
  </w:style>
  <w:style w:type="paragraph" w:customStyle="1" w:styleId="Chapter5">
    <w:name w:val="Chapter 5"/>
    <w:basedOn w:val="Chapter1"/>
    <w:link w:val="Chapter5Char"/>
    <w:rsid w:val="00725975"/>
    <w:pPr>
      <w:numPr>
        <w:numId w:val="6"/>
      </w:numPr>
    </w:pPr>
  </w:style>
  <w:style w:type="paragraph" w:customStyle="1" w:styleId="Chapter6">
    <w:name w:val="Chapter 6"/>
    <w:basedOn w:val="Normal"/>
    <w:link w:val="Chapter6Char"/>
    <w:rsid w:val="00725975"/>
    <w:pPr>
      <w:numPr>
        <w:numId w:val="7"/>
      </w:numPr>
    </w:pPr>
  </w:style>
  <w:style w:type="paragraph" w:customStyle="1" w:styleId="Indentbullet">
    <w:name w:val="Indent bullet"/>
    <w:basedOn w:val="Normal"/>
    <w:rsid w:val="00725975"/>
    <w:pPr>
      <w:numPr>
        <w:numId w:val="8"/>
      </w:numPr>
      <w:tabs>
        <w:tab w:val="clear" w:pos="567"/>
        <w:tab w:val="num" w:pos="851"/>
      </w:tabs>
      <w:ind w:left="851" w:hanging="851"/>
    </w:p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basedOn w:val="Chapter5"/>
    <w:qFormat/>
    <w:rsid w:val="00725975"/>
    <w:pPr>
      <w:numPr>
        <w:numId w:val="0"/>
      </w:numPr>
      <w:ind w:left="1276" w:right="515"/>
    </w:pPr>
    <w:rPr>
      <w:sz w:val="22"/>
      <w:szCs w:val="22"/>
    </w:rPr>
  </w:style>
  <w:style w:type="paragraph" w:styleId="TOC1">
    <w:name w:val="toc 1"/>
    <w:basedOn w:val="Normal"/>
    <w:next w:val="Normal"/>
    <w:autoRedefine/>
    <w:uiPriority w:val="39"/>
    <w:rsid w:val="00183E66"/>
    <w:pPr>
      <w:tabs>
        <w:tab w:val="left" w:pos="1701"/>
        <w:tab w:val="right" w:pos="8364"/>
      </w:tabs>
      <w:spacing w:before="240" w:after="240"/>
      <w:ind w:left="1701" w:right="90" w:hanging="1701"/>
      <w:jc w:val="left"/>
    </w:pPr>
    <w:rPr>
      <w:rFonts w:ascii="Times New Roman Bold" w:hAnsi="Times New Roman Bold"/>
      <w:b/>
      <w:szCs w:val="24"/>
    </w:rPr>
  </w:style>
  <w:style w:type="paragraph" w:styleId="TOC2">
    <w:name w:val="toc 2"/>
    <w:basedOn w:val="Normal"/>
    <w:next w:val="Normal"/>
    <w:autoRedefine/>
    <w:uiPriority w:val="39"/>
    <w:rsid w:val="00141FBF"/>
    <w:pPr>
      <w:tabs>
        <w:tab w:val="left" w:pos="1701"/>
        <w:tab w:val="right" w:pos="8301"/>
      </w:tabs>
      <w:spacing w:before="40" w:after="40"/>
      <w:ind w:left="1701"/>
      <w:jc w:val="left"/>
    </w:pPr>
    <w:rPr>
      <w:sz w:val="22"/>
      <w:szCs w:val="24"/>
    </w:rPr>
  </w:style>
  <w:style w:type="paragraph" w:styleId="TOC3">
    <w:name w:val="toc 3"/>
    <w:basedOn w:val="Normal"/>
    <w:next w:val="Normal"/>
    <w:autoRedefine/>
    <w:uiPriority w:val="39"/>
    <w:rsid w:val="00725975"/>
    <w:pPr>
      <w:tabs>
        <w:tab w:val="right" w:pos="8302"/>
      </w:tabs>
      <w:spacing w:before="20" w:after="20"/>
      <w:ind w:left="1701"/>
    </w:pPr>
    <w:rPr>
      <w:noProof/>
      <w:sz w:val="20"/>
      <w:szCs w:val="22"/>
    </w:rPr>
  </w:style>
  <w:style w:type="numbering" w:customStyle="1" w:styleId="StyleBulletedWingdingssymbol">
    <w:name w:val="Style Bulleted Wingdings (symbol)"/>
    <w:basedOn w:val="NoList"/>
    <w:rsid w:val="00311DBB"/>
    <w:pPr>
      <w:numPr>
        <w:numId w:val="9"/>
      </w:numPr>
    </w:pPr>
  </w:style>
  <w:style w:type="paragraph" w:customStyle="1" w:styleId="Bullets">
    <w:name w:val="Bullets"/>
    <w:basedOn w:val="Bullet"/>
    <w:link w:val="BulletsChar"/>
    <w:rsid w:val="008840A1"/>
    <w:pPr>
      <w:numPr>
        <w:numId w:val="1"/>
      </w:numPr>
      <w:tabs>
        <w:tab w:val="clear" w:pos="567"/>
        <w:tab w:val="left" w:pos="1418"/>
      </w:tabs>
    </w:p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6F02AD"/>
    <w:rPr>
      <w:sz w:val="24"/>
      <w:lang w:eastAsia="en-AU"/>
    </w:rPr>
  </w:style>
  <w:style w:type="character" w:customStyle="1" w:styleId="Chapter2Char">
    <w:name w:val="Chapter 2 Char"/>
    <w:basedOn w:val="Chapter1Char1"/>
    <w:link w:val="Chapter2"/>
    <w:rsid w:val="00C34E8B"/>
    <w:rPr>
      <w:snapToGrid w:val="0"/>
      <w:sz w:val="24"/>
      <w:lang w:eastAsia="en-US"/>
    </w:rPr>
  </w:style>
  <w:style w:type="character" w:customStyle="1" w:styleId="Chapter3Char1">
    <w:name w:val="Chapter 3 Char1"/>
    <w:basedOn w:val="Chapter2Char"/>
    <w:link w:val="Chapter3"/>
    <w:rsid w:val="0067287E"/>
    <w:rPr>
      <w:snapToGrid w:val="0"/>
      <w:sz w:val="24"/>
      <w:lang w:eastAsia="en-US"/>
    </w:rPr>
  </w:style>
  <w:style w:type="character" w:customStyle="1" w:styleId="Chapter5Char">
    <w:name w:val="Chapter 5 Char"/>
    <w:basedOn w:val="Chapter1Char1"/>
    <w:link w:val="Chapter5"/>
    <w:rsid w:val="00B45404"/>
    <w:rPr>
      <w:sz w:val="24"/>
      <w:lang w:eastAsia="en-AU"/>
    </w:rPr>
  </w:style>
  <w:style w:type="character" w:customStyle="1" w:styleId="Chapter6Char">
    <w:name w:val="Chapter 6 Char"/>
    <w:basedOn w:val="DefaultParagraphFont"/>
    <w:link w:val="Chapter6"/>
    <w:rsid w:val="00B45404"/>
    <w:rPr>
      <w:sz w:val="24"/>
      <w:lang w:eastAsia="en-AU"/>
    </w:rPr>
  </w:style>
  <w:style w:type="character" w:customStyle="1" w:styleId="Heading1Char">
    <w:name w:val="Heading 1 Char"/>
    <w:basedOn w:val="DefaultParagraphFont"/>
    <w:link w:val="Heading1"/>
    <w:rsid w:val="00141FBF"/>
    <w:rPr>
      <w:rFonts w:ascii="Times New Roman Bold" w:hAnsi="Times New Roman Bold"/>
      <w:b/>
      <w:kern w:val="28"/>
      <w:sz w:val="24"/>
      <w:szCs w:val="24"/>
      <w:lang w:eastAsia="en-AU"/>
    </w:rPr>
  </w:style>
  <w:style w:type="character" w:customStyle="1" w:styleId="Heading2Char">
    <w:name w:val="Heading 2 Char"/>
    <w:basedOn w:val="DefaultParagraphFont"/>
    <w:link w:val="Heading2"/>
    <w:rsid w:val="00141FBF"/>
    <w:rPr>
      <w:b/>
      <w:i/>
      <w:sz w:val="24"/>
      <w:szCs w:val="24"/>
      <w:lang w:eastAsia="en-AU"/>
    </w:rPr>
  </w:style>
  <w:style w:type="paragraph" w:customStyle="1" w:styleId="Chapterheading">
    <w:name w:val="Chapter heading"/>
    <w:basedOn w:val="Normal"/>
    <w:rsid w:val="00D10025"/>
    <w:pPr>
      <w:jc w:val="center"/>
    </w:pPr>
    <w:rPr>
      <w:rFonts w:ascii="Times New Roman Bold" w:hAnsi="Times New Roman Bold"/>
      <w:b/>
      <w:bCs/>
      <w:caps/>
      <w:sz w:val="28"/>
      <w:szCs w:val="28"/>
    </w:rPr>
  </w:style>
  <w:style w:type="character" w:customStyle="1" w:styleId="BulletsChar">
    <w:name w:val="Bullets Char"/>
    <w:basedOn w:val="DefaultParagraphFont"/>
    <w:link w:val="Bullets"/>
    <w:rsid w:val="000E764D"/>
    <w:rPr>
      <w:sz w:val="24"/>
      <w:lang w:eastAsia="en-AU"/>
    </w:rPr>
  </w:style>
  <w:style w:type="character" w:customStyle="1" w:styleId="Heading3Char">
    <w:name w:val="Heading 3 Char"/>
    <w:basedOn w:val="DefaultParagraphFont"/>
    <w:link w:val="Heading3"/>
    <w:rsid w:val="007E474B"/>
    <w:rPr>
      <w:i/>
      <w:sz w:val="24"/>
      <w:lang w:eastAsia="en-AU"/>
    </w:rPr>
  </w:style>
  <w:style w:type="character" w:styleId="FollowedHyperlink">
    <w:name w:val="FollowedHyperlink"/>
    <w:basedOn w:val="DefaultParagraphFont"/>
    <w:uiPriority w:val="99"/>
    <w:semiHidden/>
    <w:unhideWhenUsed/>
    <w:rsid w:val="00B37208"/>
    <w:rPr>
      <w:color w:val="800080" w:themeColor="followedHyperlink"/>
      <w:u w:val="single"/>
    </w:rPr>
  </w:style>
  <w:style w:type="paragraph" w:styleId="ListParagraph">
    <w:name w:val="List Paragraph"/>
    <w:basedOn w:val="Normal"/>
    <w:uiPriority w:val="34"/>
    <w:qFormat/>
    <w:rsid w:val="00E64CC5"/>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Revision">
    <w:name w:val="Revision"/>
    <w:hidden/>
    <w:uiPriority w:val="99"/>
    <w:semiHidden/>
    <w:rsid w:val="00F20A29"/>
    <w:rPr>
      <w:sz w:val="24"/>
      <w:lang w:val="en-GB" w:eastAsia="en-AU"/>
    </w:rPr>
  </w:style>
  <w:style w:type="character" w:customStyle="1" w:styleId="CommentTextChar">
    <w:name w:val="Comment Text Char"/>
    <w:basedOn w:val="DefaultParagraphFont"/>
    <w:link w:val="CommentText"/>
    <w:semiHidden/>
    <w:rsid w:val="00DE62A1"/>
    <w:rPr>
      <w:sz w:val="24"/>
      <w:lang w:val="en-GB" w:eastAsia="en-AU"/>
    </w:rPr>
  </w:style>
  <w:style w:type="character" w:customStyle="1" w:styleId="FootnoteTextChar">
    <w:name w:val="Footnote Text Char"/>
    <w:basedOn w:val="DefaultParagraphFont"/>
    <w:link w:val="FootnoteText"/>
    <w:semiHidden/>
    <w:rsid w:val="0077285A"/>
    <w:rPr>
      <w:rFonts w:eastAsia="MS Mincho"/>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74B"/>
    <w:pPr>
      <w:jc w:val="both"/>
    </w:pPr>
    <w:rPr>
      <w:sz w:val="24"/>
      <w:lang w:eastAsia="en-AU"/>
    </w:rPr>
  </w:style>
  <w:style w:type="paragraph" w:styleId="Heading1">
    <w:name w:val="heading 1"/>
    <w:basedOn w:val="Normal"/>
    <w:next w:val="Normal"/>
    <w:link w:val="Heading1Char"/>
    <w:qFormat/>
    <w:rsid w:val="00141FBF"/>
    <w:pPr>
      <w:keepNext/>
      <w:jc w:val="left"/>
      <w:outlineLvl w:val="0"/>
    </w:pPr>
    <w:rPr>
      <w:rFonts w:ascii="Times New Roman Bold" w:hAnsi="Times New Roman Bold"/>
      <w:b/>
      <w:kern w:val="28"/>
      <w:szCs w:val="24"/>
    </w:rPr>
  </w:style>
  <w:style w:type="paragraph" w:styleId="Heading2">
    <w:name w:val="heading 2"/>
    <w:basedOn w:val="Normal"/>
    <w:next w:val="Normal"/>
    <w:link w:val="Heading2Char"/>
    <w:qFormat/>
    <w:rsid w:val="00141FBF"/>
    <w:pPr>
      <w:keepNext/>
      <w:outlineLvl w:val="1"/>
    </w:pPr>
    <w:rPr>
      <w:b/>
      <w:i/>
      <w:szCs w:val="24"/>
    </w:rPr>
  </w:style>
  <w:style w:type="paragraph" w:styleId="Heading3">
    <w:name w:val="heading 3"/>
    <w:basedOn w:val="Normal"/>
    <w:next w:val="Normal"/>
    <w:link w:val="Heading3Char"/>
    <w:qFormat/>
    <w:rsid w:val="007E474B"/>
    <w:pPr>
      <w:keepNext/>
      <w:outlineLvl w:val="2"/>
    </w:pPr>
    <w:rPr>
      <w:i/>
    </w:rPr>
  </w:style>
  <w:style w:type="paragraph" w:styleId="Heading4">
    <w:name w:val="heading 4"/>
    <w:basedOn w:val="Normal"/>
    <w:next w:val="Normal"/>
    <w:qFormat/>
    <w:rsid w:val="00141FBF"/>
    <w:pPr>
      <w:keepNext/>
      <w:outlineLvl w:val="3"/>
    </w:pPr>
    <w:rPr>
      <w:bCs/>
      <w:szCs w:val="28"/>
    </w:rPr>
  </w:style>
  <w:style w:type="paragraph" w:styleId="Heading5">
    <w:name w:val="heading 5"/>
    <w:basedOn w:val="Normal"/>
    <w:next w:val="Normal"/>
    <w:rsid w:val="00725975"/>
    <w:pPr>
      <w:spacing w:before="240" w:after="60"/>
      <w:outlineLvl w:val="4"/>
    </w:pPr>
    <w:rPr>
      <w:b/>
      <w:bCs/>
      <w:i/>
      <w:iCs/>
      <w:sz w:val="26"/>
      <w:szCs w:val="26"/>
    </w:rPr>
  </w:style>
  <w:style w:type="paragraph" w:styleId="Heading6">
    <w:name w:val="heading 6"/>
    <w:basedOn w:val="Normal"/>
    <w:next w:val="Normal"/>
    <w:rsid w:val="00725975"/>
    <w:pPr>
      <w:spacing w:before="240" w:after="60"/>
      <w:outlineLvl w:val="5"/>
    </w:pPr>
    <w:rPr>
      <w:b/>
      <w:bCs/>
      <w:sz w:val="22"/>
      <w:szCs w:val="22"/>
    </w:rPr>
  </w:style>
  <w:style w:type="paragraph" w:styleId="Heading7">
    <w:name w:val="heading 7"/>
    <w:basedOn w:val="Normal"/>
    <w:next w:val="Normal"/>
    <w:rsid w:val="00725975"/>
    <w:pPr>
      <w:spacing w:before="240" w:after="60"/>
      <w:outlineLvl w:val="6"/>
    </w:pPr>
    <w:rPr>
      <w:szCs w:val="24"/>
    </w:rPr>
  </w:style>
  <w:style w:type="paragraph" w:styleId="Heading8">
    <w:name w:val="heading 8"/>
    <w:basedOn w:val="Normal"/>
    <w:next w:val="Normal"/>
    <w:rsid w:val="00725975"/>
    <w:pPr>
      <w:spacing w:before="240" w:after="60"/>
      <w:outlineLvl w:val="7"/>
    </w:pPr>
    <w:rPr>
      <w:i/>
      <w:iCs/>
      <w:szCs w:val="24"/>
    </w:rPr>
  </w:style>
  <w:style w:type="paragraph" w:styleId="Heading9">
    <w:name w:val="heading 9"/>
    <w:basedOn w:val="Normal"/>
    <w:next w:val="Normal"/>
    <w:rsid w:val="007259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344"/>
    <w:rPr>
      <w:color w:val="0000FF" w:themeColor="hyperlink"/>
      <w:u w:val="single"/>
    </w:rPr>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paragraph" w:styleId="FootnoteText">
    <w:name w:val="footnote text"/>
    <w:basedOn w:val="Normal"/>
    <w:link w:val="FootnoteTextChar"/>
    <w:semiHidden/>
    <w:rsid w:val="00725975"/>
    <w:pPr>
      <w:jc w:val="left"/>
    </w:pPr>
    <w:rPr>
      <w:rFonts w:eastAsia="MS Mincho"/>
      <w:sz w:val="18"/>
      <w:szCs w:val="18"/>
      <w:lang w:eastAsia="ja-JP"/>
    </w:rPr>
  </w:style>
  <w:style w:type="character" w:styleId="FootnoteReference">
    <w:name w:val="footnote reference"/>
    <w:basedOn w:val="DefaultParagraphFont"/>
    <w:semiHidden/>
    <w:rsid w:val="00725975"/>
    <w:rPr>
      <w:rFonts w:ascii="Times New Roman" w:hAnsi="Times New Roman"/>
      <w:sz w:val="18"/>
      <w:szCs w:val="18"/>
      <w:vertAlign w:val="superscript"/>
    </w:rPr>
  </w:style>
  <w:style w:type="paragraph" w:styleId="ListBullet">
    <w:name w:val="List Bullet"/>
    <w:basedOn w:val="Normal"/>
    <w:rsid w:val="00725975"/>
    <w:pPr>
      <w:spacing w:after="240"/>
      <w:jc w:val="left"/>
    </w:pPr>
    <w:rPr>
      <w:rFonts w:ascii="Arial" w:hAnsi="Arial"/>
      <w:lang w:eastAsia="en-US"/>
    </w:rPr>
  </w:style>
  <w:style w:type="table" w:styleId="TableGrid">
    <w:name w:val="Table Grid"/>
    <w:basedOn w:val="TableNormal"/>
    <w:uiPriority w:val="59"/>
    <w:rsid w:val="00725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autoRedefine/>
    <w:rsid w:val="00725975"/>
    <w:pPr>
      <w:ind w:left="720" w:right="746"/>
    </w:pPr>
    <w:rPr>
      <w:sz w:val="22"/>
      <w:szCs w:val="24"/>
    </w:rPr>
  </w:style>
  <w:style w:type="paragraph" w:styleId="Header">
    <w:name w:val="header"/>
    <w:basedOn w:val="Normal"/>
    <w:rsid w:val="00725975"/>
    <w:pPr>
      <w:tabs>
        <w:tab w:val="center" w:pos="4153"/>
        <w:tab w:val="right" w:pos="8306"/>
      </w:tabs>
    </w:pPr>
  </w:style>
  <w:style w:type="character" w:styleId="Strong">
    <w:name w:val="Strong"/>
    <w:basedOn w:val="DefaultParagraphFont"/>
    <w:qFormat/>
    <w:rsid w:val="00725975"/>
    <w:rPr>
      <w:b/>
      <w:bCs/>
    </w:r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03164B"/>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link w:val="CommentTextChar"/>
    <w:semiHidden/>
    <w:rsid w:val="00725975"/>
  </w:style>
  <w:style w:type="paragraph" w:styleId="CommentSubject">
    <w:name w:val="annotation subject"/>
    <w:basedOn w:val="CommentText"/>
    <w:next w:val="CommentText"/>
    <w:semiHidden/>
    <w:rsid w:val="000E3A50"/>
    <w:rPr>
      <w:b/>
      <w:bCs/>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Bullet">
    <w:name w:val="Bullet"/>
    <w:basedOn w:val="Normal"/>
    <w:rsid w:val="00311DBB"/>
    <w:pPr>
      <w:spacing w:after="140"/>
    </w:pPr>
  </w:style>
  <w:style w:type="paragraph" w:customStyle="1" w:styleId="Chapter1">
    <w:name w:val="Chapter 1"/>
    <w:link w:val="Chapter1Char1"/>
    <w:rsid w:val="006F02AD"/>
    <w:pPr>
      <w:numPr>
        <w:numId w:val="2"/>
      </w:numPr>
      <w:jc w:val="both"/>
    </w:pPr>
    <w:rPr>
      <w:sz w:val="24"/>
      <w:lang w:eastAsia="en-AU"/>
    </w:rPr>
  </w:style>
  <w:style w:type="paragraph" w:customStyle="1" w:styleId="Chapter10">
    <w:name w:val="Chapter 10"/>
    <w:basedOn w:val="Normal"/>
    <w:rsid w:val="00141FBF"/>
    <w:pPr>
      <w:numPr>
        <w:numId w:val="3"/>
      </w:numPr>
      <w:tabs>
        <w:tab w:val="clear" w:pos="567"/>
        <w:tab w:val="num" w:pos="851"/>
      </w:tabs>
      <w:ind w:left="851" w:hanging="851"/>
    </w:pPr>
    <w:rPr>
      <w:szCs w:val="24"/>
      <w:lang w:val="en-AU"/>
    </w:rPr>
  </w:style>
  <w:style w:type="paragraph" w:customStyle="1" w:styleId="Chapter2">
    <w:name w:val="Chapter 2"/>
    <w:basedOn w:val="Chapter1"/>
    <w:link w:val="Chapter2Char"/>
    <w:rsid w:val="00C34E8B"/>
    <w:pPr>
      <w:numPr>
        <w:numId w:val="4"/>
      </w:numPr>
    </w:pPr>
    <w:rPr>
      <w:snapToGrid w:val="0"/>
      <w:lang w:eastAsia="en-US"/>
    </w:rPr>
  </w:style>
  <w:style w:type="paragraph" w:customStyle="1" w:styleId="Chapter3">
    <w:name w:val="Chapter 3"/>
    <w:basedOn w:val="Chapter2"/>
    <w:link w:val="Chapter3Char1"/>
    <w:rsid w:val="00725975"/>
    <w:pPr>
      <w:numPr>
        <w:numId w:val="5"/>
      </w:numPr>
    </w:pPr>
  </w:style>
  <w:style w:type="paragraph" w:customStyle="1" w:styleId="Chapter4">
    <w:name w:val="Chapter 4"/>
    <w:basedOn w:val="Chapter1"/>
    <w:rsid w:val="00CD5F48"/>
    <w:pPr>
      <w:numPr>
        <w:numId w:val="10"/>
      </w:numPr>
    </w:pPr>
  </w:style>
  <w:style w:type="paragraph" w:customStyle="1" w:styleId="Chapter5">
    <w:name w:val="Chapter 5"/>
    <w:basedOn w:val="Chapter1"/>
    <w:link w:val="Chapter5Char"/>
    <w:rsid w:val="00725975"/>
    <w:pPr>
      <w:numPr>
        <w:numId w:val="6"/>
      </w:numPr>
    </w:pPr>
  </w:style>
  <w:style w:type="paragraph" w:customStyle="1" w:styleId="Chapter6">
    <w:name w:val="Chapter 6"/>
    <w:basedOn w:val="Normal"/>
    <w:link w:val="Chapter6Char"/>
    <w:rsid w:val="00725975"/>
    <w:pPr>
      <w:numPr>
        <w:numId w:val="7"/>
      </w:numPr>
    </w:pPr>
  </w:style>
  <w:style w:type="paragraph" w:customStyle="1" w:styleId="Indentbullet">
    <w:name w:val="Indent bullet"/>
    <w:basedOn w:val="Normal"/>
    <w:rsid w:val="00725975"/>
    <w:pPr>
      <w:numPr>
        <w:numId w:val="8"/>
      </w:numPr>
      <w:tabs>
        <w:tab w:val="clear" w:pos="567"/>
        <w:tab w:val="num" w:pos="851"/>
      </w:tabs>
      <w:ind w:left="851" w:hanging="851"/>
    </w:p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basedOn w:val="Chapter5"/>
    <w:qFormat/>
    <w:rsid w:val="00725975"/>
    <w:pPr>
      <w:numPr>
        <w:numId w:val="0"/>
      </w:numPr>
      <w:ind w:left="1276" w:right="515"/>
    </w:pPr>
    <w:rPr>
      <w:sz w:val="22"/>
      <w:szCs w:val="22"/>
    </w:rPr>
  </w:style>
  <w:style w:type="paragraph" w:styleId="TOC1">
    <w:name w:val="toc 1"/>
    <w:basedOn w:val="Normal"/>
    <w:next w:val="Normal"/>
    <w:autoRedefine/>
    <w:uiPriority w:val="39"/>
    <w:rsid w:val="00183E66"/>
    <w:pPr>
      <w:tabs>
        <w:tab w:val="left" w:pos="1701"/>
        <w:tab w:val="right" w:pos="8364"/>
      </w:tabs>
      <w:spacing w:before="240" w:after="240"/>
      <w:ind w:left="1701" w:right="90" w:hanging="1701"/>
      <w:jc w:val="left"/>
    </w:pPr>
    <w:rPr>
      <w:rFonts w:ascii="Times New Roman Bold" w:hAnsi="Times New Roman Bold"/>
      <w:b/>
      <w:szCs w:val="24"/>
    </w:rPr>
  </w:style>
  <w:style w:type="paragraph" w:styleId="TOC2">
    <w:name w:val="toc 2"/>
    <w:basedOn w:val="Normal"/>
    <w:next w:val="Normal"/>
    <w:autoRedefine/>
    <w:uiPriority w:val="39"/>
    <w:rsid w:val="00141FBF"/>
    <w:pPr>
      <w:tabs>
        <w:tab w:val="left" w:pos="1701"/>
        <w:tab w:val="right" w:pos="8301"/>
      </w:tabs>
      <w:spacing w:before="40" w:after="40"/>
      <w:ind w:left="1701"/>
      <w:jc w:val="left"/>
    </w:pPr>
    <w:rPr>
      <w:sz w:val="22"/>
      <w:szCs w:val="24"/>
    </w:rPr>
  </w:style>
  <w:style w:type="paragraph" w:styleId="TOC3">
    <w:name w:val="toc 3"/>
    <w:basedOn w:val="Normal"/>
    <w:next w:val="Normal"/>
    <w:autoRedefine/>
    <w:uiPriority w:val="39"/>
    <w:rsid w:val="00725975"/>
    <w:pPr>
      <w:tabs>
        <w:tab w:val="right" w:pos="8302"/>
      </w:tabs>
      <w:spacing w:before="20" w:after="20"/>
      <w:ind w:left="1701"/>
    </w:pPr>
    <w:rPr>
      <w:noProof/>
      <w:sz w:val="20"/>
      <w:szCs w:val="22"/>
    </w:rPr>
  </w:style>
  <w:style w:type="numbering" w:customStyle="1" w:styleId="StyleBulletedWingdingssymbol">
    <w:name w:val="Style Bulleted Wingdings (symbol)"/>
    <w:basedOn w:val="NoList"/>
    <w:rsid w:val="00311DBB"/>
    <w:pPr>
      <w:numPr>
        <w:numId w:val="9"/>
      </w:numPr>
    </w:pPr>
  </w:style>
  <w:style w:type="paragraph" w:customStyle="1" w:styleId="Bullets">
    <w:name w:val="Bullets"/>
    <w:basedOn w:val="Bullet"/>
    <w:link w:val="BulletsChar"/>
    <w:rsid w:val="008840A1"/>
    <w:pPr>
      <w:numPr>
        <w:numId w:val="1"/>
      </w:numPr>
      <w:tabs>
        <w:tab w:val="clear" w:pos="567"/>
        <w:tab w:val="left" w:pos="1418"/>
      </w:tabs>
    </w:p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6F02AD"/>
    <w:rPr>
      <w:sz w:val="24"/>
      <w:lang w:eastAsia="en-AU"/>
    </w:rPr>
  </w:style>
  <w:style w:type="character" w:customStyle="1" w:styleId="Chapter2Char">
    <w:name w:val="Chapter 2 Char"/>
    <w:basedOn w:val="Chapter1Char1"/>
    <w:link w:val="Chapter2"/>
    <w:rsid w:val="00C34E8B"/>
    <w:rPr>
      <w:snapToGrid w:val="0"/>
      <w:sz w:val="24"/>
      <w:lang w:eastAsia="en-US"/>
    </w:rPr>
  </w:style>
  <w:style w:type="character" w:customStyle="1" w:styleId="Chapter3Char1">
    <w:name w:val="Chapter 3 Char1"/>
    <w:basedOn w:val="Chapter2Char"/>
    <w:link w:val="Chapter3"/>
    <w:rsid w:val="0067287E"/>
    <w:rPr>
      <w:snapToGrid w:val="0"/>
      <w:sz w:val="24"/>
      <w:lang w:eastAsia="en-US"/>
    </w:rPr>
  </w:style>
  <w:style w:type="character" w:customStyle="1" w:styleId="Chapter5Char">
    <w:name w:val="Chapter 5 Char"/>
    <w:basedOn w:val="Chapter1Char1"/>
    <w:link w:val="Chapter5"/>
    <w:rsid w:val="00B45404"/>
    <w:rPr>
      <w:sz w:val="24"/>
      <w:lang w:eastAsia="en-AU"/>
    </w:rPr>
  </w:style>
  <w:style w:type="character" w:customStyle="1" w:styleId="Chapter6Char">
    <w:name w:val="Chapter 6 Char"/>
    <w:basedOn w:val="DefaultParagraphFont"/>
    <w:link w:val="Chapter6"/>
    <w:rsid w:val="00B45404"/>
    <w:rPr>
      <w:sz w:val="24"/>
      <w:lang w:eastAsia="en-AU"/>
    </w:rPr>
  </w:style>
  <w:style w:type="character" w:customStyle="1" w:styleId="Heading1Char">
    <w:name w:val="Heading 1 Char"/>
    <w:basedOn w:val="DefaultParagraphFont"/>
    <w:link w:val="Heading1"/>
    <w:rsid w:val="00141FBF"/>
    <w:rPr>
      <w:rFonts w:ascii="Times New Roman Bold" w:hAnsi="Times New Roman Bold"/>
      <w:b/>
      <w:kern w:val="28"/>
      <w:sz w:val="24"/>
      <w:szCs w:val="24"/>
      <w:lang w:eastAsia="en-AU"/>
    </w:rPr>
  </w:style>
  <w:style w:type="character" w:customStyle="1" w:styleId="Heading2Char">
    <w:name w:val="Heading 2 Char"/>
    <w:basedOn w:val="DefaultParagraphFont"/>
    <w:link w:val="Heading2"/>
    <w:rsid w:val="00141FBF"/>
    <w:rPr>
      <w:b/>
      <w:i/>
      <w:sz w:val="24"/>
      <w:szCs w:val="24"/>
      <w:lang w:eastAsia="en-AU"/>
    </w:rPr>
  </w:style>
  <w:style w:type="paragraph" w:customStyle="1" w:styleId="Chapterheading">
    <w:name w:val="Chapter heading"/>
    <w:basedOn w:val="Normal"/>
    <w:rsid w:val="00D10025"/>
    <w:pPr>
      <w:jc w:val="center"/>
    </w:pPr>
    <w:rPr>
      <w:rFonts w:ascii="Times New Roman Bold" w:hAnsi="Times New Roman Bold"/>
      <w:b/>
      <w:bCs/>
      <w:caps/>
      <w:sz w:val="28"/>
      <w:szCs w:val="28"/>
    </w:rPr>
  </w:style>
  <w:style w:type="character" w:customStyle="1" w:styleId="BulletsChar">
    <w:name w:val="Bullets Char"/>
    <w:basedOn w:val="DefaultParagraphFont"/>
    <w:link w:val="Bullets"/>
    <w:rsid w:val="000E764D"/>
    <w:rPr>
      <w:sz w:val="24"/>
      <w:lang w:eastAsia="en-AU"/>
    </w:rPr>
  </w:style>
  <w:style w:type="character" w:customStyle="1" w:styleId="Heading3Char">
    <w:name w:val="Heading 3 Char"/>
    <w:basedOn w:val="DefaultParagraphFont"/>
    <w:link w:val="Heading3"/>
    <w:rsid w:val="007E474B"/>
    <w:rPr>
      <w:i/>
      <w:sz w:val="24"/>
      <w:lang w:eastAsia="en-AU"/>
    </w:rPr>
  </w:style>
  <w:style w:type="character" w:styleId="FollowedHyperlink">
    <w:name w:val="FollowedHyperlink"/>
    <w:basedOn w:val="DefaultParagraphFont"/>
    <w:uiPriority w:val="99"/>
    <w:semiHidden/>
    <w:unhideWhenUsed/>
    <w:rsid w:val="00B37208"/>
    <w:rPr>
      <w:color w:val="800080" w:themeColor="followedHyperlink"/>
      <w:u w:val="single"/>
    </w:rPr>
  </w:style>
  <w:style w:type="paragraph" w:styleId="ListParagraph">
    <w:name w:val="List Paragraph"/>
    <w:basedOn w:val="Normal"/>
    <w:uiPriority w:val="34"/>
    <w:qFormat/>
    <w:rsid w:val="00E64CC5"/>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Revision">
    <w:name w:val="Revision"/>
    <w:hidden/>
    <w:uiPriority w:val="99"/>
    <w:semiHidden/>
    <w:rsid w:val="00F20A29"/>
    <w:rPr>
      <w:sz w:val="24"/>
      <w:lang w:val="en-GB" w:eastAsia="en-AU"/>
    </w:rPr>
  </w:style>
  <w:style w:type="character" w:customStyle="1" w:styleId="CommentTextChar">
    <w:name w:val="Comment Text Char"/>
    <w:basedOn w:val="DefaultParagraphFont"/>
    <w:link w:val="CommentText"/>
    <w:semiHidden/>
    <w:rsid w:val="00DE62A1"/>
    <w:rPr>
      <w:sz w:val="24"/>
      <w:lang w:val="en-GB" w:eastAsia="en-AU"/>
    </w:rPr>
  </w:style>
  <w:style w:type="character" w:customStyle="1" w:styleId="FootnoteTextChar">
    <w:name w:val="Footnote Text Char"/>
    <w:basedOn w:val="DefaultParagraphFont"/>
    <w:link w:val="FootnoteText"/>
    <w:semiHidden/>
    <w:rsid w:val="0077285A"/>
    <w:rPr>
      <w:rFonts w:eastAsia="MS Mincho"/>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5887">
      <w:bodyDiv w:val="1"/>
      <w:marLeft w:val="0"/>
      <w:marRight w:val="0"/>
      <w:marTop w:val="0"/>
      <w:marBottom w:val="0"/>
      <w:divBdr>
        <w:top w:val="none" w:sz="0" w:space="0" w:color="auto"/>
        <w:left w:val="none" w:sz="0" w:space="0" w:color="auto"/>
        <w:bottom w:val="none" w:sz="0" w:space="0" w:color="auto"/>
        <w:right w:val="none" w:sz="0" w:space="0" w:color="auto"/>
      </w:divBdr>
    </w:div>
    <w:div w:id="492138164">
      <w:bodyDiv w:val="1"/>
      <w:marLeft w:val="0"/>
      <w:marRight w:val="0"/>
      <w:marTop w:val="0"/>
      <w:marBottom w:val="0"/>
      <w:divBdr>
        <w:top w:val="none" w:sz="0" w:space="0" w:color="auto"/>
        <w:left w:val="none" w:sz="0" w:space="0" w:color="auto"/>
        <w:bottom w:val="none" w:sz="0" w:space="0" w:color="auto"/>
        <w:right w:val="none" w:sz="0" w:space="0" w:color="auto"/>
      </w:divBdr>
    </w:div>
    <w:div w:id="684941955">
      <w:bodyDiv w:val="1"/>
      <w:marLeft w:val="0"/>
      <w:marRight w:val="0"/>
      <w:marTop w:val="0"/>
      <w:marBottom w:val="0"/>
      <w:divBdr>
        <w:top w:val="none" w:sz="0" w:space="0" w:color="auto"/>
        <w:left w:val="none" w:sz="0" w:space="0" w:color="auto"/>
        <w:bottom w:val="none" w:sz="0" w:space="0" w:color="auto"/>
        <w:right w:val="none" w:sz="0" w:space="0" w:color="auto"/>
      </w:divBdr>
    </w:div>
    <w:div w:id="692731002">
      <w:bodyDiv w:val="1"/>
      <w:marLeft w:val="0"/>
      <w:marRight w:val="0"/>
      <w:marTop w:val="0"/>
      <w:marBottom w:val="0"/>
      <w:divBdr>
        <w:top w:val="none" w:sz="0" w:space="0" w:color="auto"/>
        <w:left w:val="none" w:sz="0" w:space="0" w:color="auto"/>
        <w:bottom w:val="none" w:sz="0" w:space="0" w:color="auto"/>
        <w:right w:val="none" w:sz="0" w:space="0" w:color="auto"/>
      </w:divBdr>
      <w:divsChild>
        <w:div w:id="853306720">
          <w:marLeft w:val="0"/>
          <w:marRight w:val="0"/>
          <w:marTop w:val="0"/>
          <w:marBottom w:val="0"/>
          <w:divBdr>
            <w:top w:val="none" w:sz="0" w:space="0" w:color="auto"/>
            <w:left w:val="none" w:sz="0" w:space="0" w:color="auto"/>
            <w:bottom w:val="none" w:sz="0" w:space="0" w:color="auto"/>
            <w:right w:val="none" w:sz="0" w:space="0" w:color="auto"/>
          </w:divBdr>
          <w:divsChild>
            <w:div w:id="1254976557">
              <w:marLeft w:val="0"/>
              <w:marRight w:val="0"/>
              <w:marTop w:val="0"/>
              <w:marBottom w:val="0"/>
              <w:divBdr>
                <w:top w:val="none" w:sz="0" w:space="0" w:color="auto"/>
                <w:left w:val="none" w:sz="0" w:space="0" w:color="auto"/>
                <w:bottom w:val="none" w:sz="0" w:space="0" w:color="auto"/>
                <w:right w:val="none" w:sz="0" w:space="0" w:color="auto"/>
              </w:divBdr>
              <w:divsChild>
                <w:div w:id="364449735">
                  <w:marLeft w:val="0"/>
                  <w:marRight w:val="0"/>
                  <w:marTop w:val="0"/>
                  <w:marBottom w:val="0"/>
                  <w:divBdr>
                    <w:top w:val="none" w:sz="0" w:space="0" w:color="auto"/>
                    <w:left w:val="none" w:sz="0" w:space="0" w:color="auto"/>
                    <w:bottom w:val="none" w:sz="0" w:space="0" w:color="auto"/>
                    <w:right w:val="none" w:sz="0" w:space="0" w:color="auto"/>
                  </w:divBdr>
                  <w:divsChild>
                    <w:div w:id="604505636">
                      <w:marLeft w:val="0"/>
                      <w:marRight w:val="0"/>
                      <w:marTop w:val="0"/>
                      <w:marBottom w:val="0"/>
                      <w:divBdr>
                        <w:top w:val="none" w:sz="0" w:space="0" w:color="auto"/>
                        <w:left w:val="none" w:sz="0" w:space="0" w:color="auto"/>
                        <w:bottom w:val="none" w:sz="0" w:space="0" w:color="auto"/>
                        <w:right w:val="none" w:sz="0" w:space="0" w:color="auto"/>
                      </w:divBdr>
                      <w:divsChild>
                        <w:div w:id="858927549">
                          <w:marLeft w:val="0"/>
                          <w:marRight w:val="150"/>
                          <w:marTop w:val="0"/>
                          <w:marBottom w:val="0"/>
                          <w:divBdr>
                            <w:top w:val="none" w:sz="0" w:space="0" w:color="auto"/>
                            <w:left w:val="none" w:sz="0" w:space="0" w:color="auto"/>
                            <w:bottom w:val="none" w:sz="0" w:space="0" w:color="auto"/>
                            <w:right w:val="none" w:sz="0" w:space="0" w:color="auto"/>
                          </w:divBdr>
                          <w:divsChild>
                            <w:div w:id="1485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372961">
      <w:bodyDiv w:val="1"/>
      <w:marLeft w:val="0"/>
      <w:marRight w:val="0"/>
      <w:marTop w:val="0"/>
      <w:marBottom w:val="0"/>
      <w:divBdr>
        <w:top w:val="none" w:sz="0" w:space="0" w:color="auto"/>
        <w:left w:val="none" w:sz="0" w:space="0" w:color="auto"/>
        <w:bottom w:val="none" w:sz="0" w:space="0" w:color="auto"/>
        <w:right w:val="none" w:sz="0" w:space="0" w:color="auto"/>
      </w:divBdr>
    </w:div>
    <w:div w:id="1093553952">
      <w:bodyDiv w:val="1"/>
      <w:marLeft w:val="0"/>
      <w:marRight w:val="0"/>
      <w:marTop w:val="0"/>
      <w:marBottom w:val="0"/>
      <w:divBdr>
        <w:top w:val="none" w:sz="0" w:space="0" w:color="auto"/>
        <w:left w:val="none" w:sz="0" w:space="0" w:color="auto"/>
        <w:bottom w:val="none" w:sz="0" w:space="0" w:color="auto"/>
        <w:right w:val="none" w:sz="0" w:space="0" w:color="auto"/>
      </w:divBdr>
    </w:div>
    <w:div w:id="1610888824">
      <w:bodyDiv w:val="1"/>
      <w:marLeft w:val="0"/>
      <w:marRight w:val="0"/>
      <w:marTop w:val="0"/>
      <w:marBottom w:val="0"/>
      <w:divBdr>
        <w:top w:val="none" w:sz="0" w:space="0" w:color="auto"/>
        <w:left w:val="none" w:sz="0" w:space="0" w:color="auto"/>
        <w:bottom w:val="none" w:sz="0" w:space="0" w:color="auto"/>
        <w:right w:val="none" w:sz="0" w:space="0" w:color="auto"/>
      </w:divBdr>
    </w:div>
    <w:div w:id="1642267703">
      <w:bodyDiv w:val="1"/>
      <w:marLeft w:val="0"/>
      <w:marRight w:val="0"/>
      <w:marTop w:val="0"/>
      <w:marBottom w:val="0"/>
      <w:divBdr>
        <w:top w:val="none" w:sz="0" w:space="0" w:color="auto"/>
        <w:left w:val="none" w:sz="0" w:space="0" w:color="auto"/>
        <w:bottom w:val="none" w:sz="0" w:space="0" w:color="auto"/>
        <w:right w:val="none" w:sz="0" w:space="0" w:color="auto"/>
      </w:divBdr>
    </w:div>
    <w:div w:id="1717200048">
      <w:bodyDiv w:val="1"/>
      <w:marLeft w:val="0"/>
      <w:marRight w:val="0"/>
      <w:marTop w:val="0"/>
      <w:marBottom w:val="0"/>
      <w:divBdr>
        <w:top w:val="none" w:sz="0" w:space="0" w:color="auto"/>
        <w:left w:val="none" w:sz="0" w:space="0" w:color="auto"/>
        <w:bottom w:val="none" w:sz="0" w:space="0" w:color="auto"/>
        <w:right w:val="none" w:sz="0" w:space="0" w:color="auto"/>
      </w:divBdr>
    </w:div>
    <w:div w:id="1844394679">
      <w:bodyDiv w:val="1"/>
      <w:marLeft w:val="0"/>
      <w:marRight w:val="0"/>
      <w:marTop w:val="0"/>
      <w:marBottom w:val="0"/>
      <w:divBdr>
        <w:top w:val="none" w:sz="0" w:space="0" w:color="auto"/>
        <w:left w:val="none" w:sz="0" w:space="0" w:color="auto"/>
        <w:bottom w:val="none" w:sz="0" w:space="0" w:color="auto"/>
        <w:right w:val="none" w:sz="0" w:space="0" w:color="auto"/>
      </w:divBdr>
    </w:div>
    <w:div w:id="1916549204">
      <w:bodyDiv w:val="1"/>
      <w:marLeft w:val="0"/>
      <w:marRight w:val="0"/>
      <w:marTop w:val="0"/>
      <w:marBottom w:val="0"/>
      <w:divBdr>
        <w:top w:val="none" w:sz="0" w:space="0" w:color="auto"/>
        <w:left w:val="none" w:sz="0" w:space="0" w:color="auto"/>
        <w:bottom w:val="none" w:sz="0" w:space="0" w:color="auto"/>
        <w:right w:val="none" w:sz="0" w:space="0" w:color="auto"/>
      </w:divBdr>
    </w:div>
    <w:div w:id="1922181047">
      <w:bodyDiv w:val="1"/>
      <w:marLeft w:val="0"/>
      <w:marRight w:val="0"/>
      <w:marTop w:val="0"/>
      <w:marBottom w:val="0"/>
      <w:divBdr>
        <w:top w:val="none" w:sz="0" w:space="0" w:color="auto"/>
        <w:left w:val="none" w:sz="0" w:space="0" w:color="auto"/>
        <w:bottom w:val="none" w:sz="0" w:space="0" w:color="auto"/>
        <w:right w:val="none" w:sz="0" w:space="0" w:color="auto"/>
      </w:divBdr>
    </w:div>
    <w:div w:id="1969779276">
      <w:bodyDiv w:val="1"/>
      <w:marLeft w:val="0"/>
      <w:marRight w:val="0"/>
      <w:marTop w:val="0"/>
      <w:marBottom w:val="0"/>
      <w:divBdr>
        <w:top w:val="none" w:sz="0" w:space="0" w:color="auto"/>
        <w:left w:val="none" w:sz="0" w:space="0" w:color="auto"/>
        <w:bottom w:val="none" w:sz="0" w:space="0" w:color="auto"/>
        <w:right w:val="none" w:sz="0" w:space="0" w:color="auto"/>
      </w:divBdr>
    </w:div>
    <w:div w:id="20380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parlinfo.aph.gov.au/parlInfo/search/display/display.w3p;query=Id%3A%22legislation%2Fbillhome%2Fr5581%22"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49C10-66B2-412D-9454-B11E53FC4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13432</Words>
  <Characters>76565</Characters>
  <Application>Microsoft Office Word</Application>
  <DocSecurity>0</DocSecurity>
  <Lines>1867</Lines>
  <Paragraphs>545</Paragraphs>
  <ScaleCrop>false</ScaleCrop>
  <HeadingPairs>
    <vt:vector size="2" baseType="variant">
      <vt:variant>
        <vt:lpstr>Title</vt:lpstr>
      </vt:variant>
      <vt:variant>
        <vt:i4>1</vt:i4>
      </vt:variant>
    </vt:vector>
  </HeadingPairs>
  <TitlesOfParts>
    <vt:vector size="1" baseType="lpstr">
      <vt:lpstr>Implementing the global standard on automatic exchange of tax information – an officials’ issues paper</vt:lpstr>
    </vt:vector>
  </TitlesOfParts>
  <Manager/>
  <Company>Inland Revenue</Company>
  <LinksUpToDate>false</LinksUpToDate>
  <CharactersWithSpaces>89452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the global standard on automatic exchange of tax information – an officials’ issues paper</dc:title>
  <dc:creator>Policy and Strategy</dc:creator>
  <dc:description>Published February 2016</dc:description>
  <cp:lastModifiedBy>Wendy Watkin</cp:lastModifiedBy>
  <cp:revision>2</cp:revision>
  <dcterms:created xsi:type="dcterms:W3CDTF">2016-02-16T22:51:00Z</dcterms:created>
  <dcterms:modified xsi:type="dcterms:W3CDTF">2016-02-16T22:53:00Z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