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D8" w:rsidRPr="00A170F9" w:rsidRDefault="00B2351D" w:rsidP="002F7CE1">
      <w:pPr>
        <w:rPr>
          <w:szCs w:val="24"/>
        </w:rPr>
      </w:pPr>
      <w:bookmarkStart w:id="0" w:name="_GoBack"/>
      <w:bookmarkEnd w:id="0"/>
      <w:r w:rsidRPr="00A170F9">
        <w:rPr>
          <w:szCs w:val="24"/>
        </w:rPr>
        <w:t xml:space="preserve">November </w:t>
      </w:r>
      <w:r w:rsidR="005A3CD8" w:rsidRPr="00A170F9">
        <w:rPr>
          <w:szCs w:val="24"/>
        </w:rPr>
        <w:t>201</w:t>
      </w:r>
      <w:r w:rsidR="00160FF1" w:rsidRPr="00A170F9">
        <w:rPr>
          <w:szCs w:val="24"/>
        </w:rPr>
        <w:t>5</w:t>
      </w:r>
    </w:p>
    <w:p w:rsidR="005A3CD8" w:rsidRPr="00A170F9" w:rsidRDefault="005A3CD8" w:rsidP="005A3CD8">
      <w:pPr>
        <w:autoSpaceDE w:val="0"/>
        <w:autoSpaceDN w:val="0"/>
        <w:adjustRightInd w:val="0"/>
        <w:rPr>
          <w:iCs/>
          <w:sz w:val="28"/>
          <w:szCs w:val="28"/>
        </w:rPr>
      </w:pPr>
    </w:p>
    <w:p w:rsidR="005A3CD8" w:rsidRPr="00A170F9" w:rsidRDefault="005A3CD8" w:rsidP="005A3CD8">
      <w:pPr>
        <w:autoSpaceDE w:val="0"/>
        <w:autoSpaceDN w:val="0"/>
        <w:adjustRightInd w:val="0"/>
        <w:rPr>
          <w:iCs/>
          <w:sz w:val="28"/>
          <w:szCs w:val="28"/>
        </w:rPr>
      </w:pPr>
    </w:p>
    <w:p w:rsidR="005A3CD8" w:rsidRPr="00A170F9" w:rsidRDefault="003110C5" w:rsidP="005A3CD8">
      <w:pPr>
        <w:autoSpaceDE w:val="0"/>
        <w:autoSpaceDN w:val="0"/>
        <w:adjustRightInd w:val="0"/>
        <w:rPr>
          <w:i/>
          <w:iCs/>
          <w:sz w:val="28"/>
          <w:szCs w:val="28"/>
        </w:rPr>
      </w:pPr>
      <w:r w:rsidRPr="00A170F9">
        <w:rPr>
          <w:i/>
          <w:iCs/>
          <w:sz w:val="28"/>
          <w:szCs w:val="28"/>
        </w:rPr>
        <w:t>A special report from</w:t>
      </w:r>
    </w:p>
    <w:p w:rsidR="005A3CD8" w:rsidRPr="00A170F9" w:rsidRDefault="005A3CD8" w:rsidP="005A3CD8">
      <w:pPr>
        <w:rPr>
          <w:sz w:val="28"/>
          <w:szCs w:val="28"/>
        </w:rPr>
      </w:pPr>
      <w:r w:rsidRPr="00A170F9">
        <w:rPr>
          <w:sz w:val="28"/>
          <w:szCs w:val="28"/>
        </w:rPr>
        <w:t>Policy and Strategy, Inland Revenue</w:t>
      </w:r>
    </w:p>
    <w:p w:rsidR="005A3CD8" w:rsidRPr="00A170F9" w:rsidRDefault="005A3CD8" w:rsidP="005A3CD8">
      <w:pPr>
        <w:rPr>
          <w:sz w:val="28"/>
          <w:szCs w:val="28"/>
        </w:rPr>
      </w:pPr>
    </w:p>
    <w:p w:rsidR="005A3CD8" w:rsidRPr="00A170F9" w:rsidRDefault="005A3CD8" w:rsidP="005A3CD8">
      <w:pPr>
        <w:rPr>
          <w:sz w:val="28"/>
          <w:szCs w:val="28"/>
        </w:rPr>
      </w:pPr>
    </w:p>
    <w:p w:rsidR="005A3CD8" w:rsidRPr="00A170F9" w:rsidRDefault="004F423F" w:rsidP="007B23D5">
      <w:pPr>
        <w:pStyle w:val="Title-Specialreport"/>
      </w:pPr>
      <w:r w:rsidRPr="00A170F9">
        <w:t>Bright-line test for residential land</w:t>
      </w:r>
    </w:p>
    <w:p w:rsidR="005A3CD8" w:rsidRPr="00A170F9" w:rsidRDefault="005A3CD8" w:rsidP="005A3CD8">
      <w:pPr>
        <w:rPr>
          <w:szCs w:val="24"/>
        </w:rPr>
      </w:pPr>
    </w:p>
    <w:p w:rsidR="00AB085C" w:rsidRPr="00A170F9" w:rsidRDefault="00AB085C" w:rsidP="00AB085C"/>
    <w:p w:rsidR="005746B7" w:rsidRPr="00A170F9" w:rsidRDefault="000509C9" w:rsidP="005A3CD8">
      <w:pPr>
        <w:rPr>
          <w:szCs w:val="24"/>
        </w:rPr>
      </w:pPr>
      <w:r w:rsidRPr="00A170F9">
        <w:rPr>
          <w:szCs w:val="24"/>
        </w:rPr>
        <w:t xml:space="preserve">This special report provides </w:t>
      </w:r>
      <w:r w:rsidR="00160FF1" w:rsidRPr="00A170F9">
        <w:rPr>
          <w:szCs w:val="24"/>
        </w:rPr>
        <w:t xml:space="preserve">information on changes </w:t>
      </w:r>
      <w:r w:rsidR="00C6650C" w:rsidRPr="00A170F9">
        <w:rPr>
          <w:szCs w:val="24"/>
        </w:rPr>
        <w:t>contained</w:t>
      </w:r>
      <w:r w:rsidR="00160FF1" w:rsidRPr="00A170F9">
        <w:rPr>
          <w:szCs w:val="24"/>
        </w:rPr>
        <w:t xml:space="preserve"> in the </w:t>
      </w:r>
      <w:r w:rsidR="002874AD" w:rsidRPr="00A170F9">
        <w:rPr>
          <w:szCs w:val="24"/>
        </w:rPr>
        <w:t>Taxation (Bright-line Test for Residential Land) Act 2015.</w:t>
      </w:r>
    </w:p>
    <w:p w:rsidR="005746B7" w:rsidRPr="00A170F9" w:rsidRDefault="005746B7" w:rsidP="005A3CD8">
      <w:pPr>
        <w:rPr>
          <w:szCs w:val="24"/>
        </w:rPr>
      </w:pPr>
    </w:p>
    <w:p w:rsidR="007739A4" w:rsidRPr="00A170F9" w:rsidRDefault="004F423F" w:rsidP="005A3CD8">
      <w:pPr>
        <w:rPr>
          <w:szCs w:val="24"/>
        </w:rPr>
      </w:pPr>
      <w:r w:rsidRPr="00A170F9">
        <w:rPr>
          <w:szCs w:val="24"/>
        </w:rPr>
        <w:t>The bright-line test will require income tax to be paid on any gains from residential property that is disposed of within two years of acquisition, subject to some exceptions.</w:t>
      </w:r>
    </w:p>
    <w:p w:rsidR="007739A4" w:rsidRPr="00A170F9" w:rsidRDefault="007739A4" w:rsidP="005A3CD8">
      <w:pPr>
        <w:rPr>
          <w:szCs w:val="24"/>
        </w:rPr>
      </w:pPr>
    </w:p>
    <w:p w:rsidR="005746B7" w:rsidRPr="00A170F9" w:rsidRDefault="004F423F" w:rsidP="005A3CD8">
      <w:pPr>
        <w:rPr>
          <w:szCs w:val="24"/>
        </w:rPr>
      </w:pPr>
      <w:r w:rsidRPr="00A170F9">
        <w:rPr>
          <w:szCs w:val="24"/>
        </w:rPr>
        <w:t>A remedial amendment will also mean that non-active trusts may be excused from filing returns.</w:t>
      </w:r>
    </w:p>
    <w:p w:rsidR="005746B7" w:rsidRPr="00A170F9" w:rsidRDefault="005746B7" w:rsidP="005A3CD8">
      <w:pPr>
        <w:rPr>
          <w:szCs w:val="24"/>
        </w:rPr>
      </w:pPr>
    </w:p>
    <w:p w:rsidR="00A10436" w:rsidRPr="00A170F9" w:rsidRDefault="000509C9" w:rsidP="005A3CD8">
      <w:pPr>
        <w:rPr>
          <w:szCs w:val="24"/>
        </w:rPr>
      </w:pPr>
      <w:r w:rsidRPr="00A170F9">
        <w:rPr>
          <w:szCs w:val="24"/>
        </w:rPr>
        <w:t xml:space="preserve">Information in this special report precedes coverage of the new legislation that will be published in </w:t>
      </w:r>
      <w:r w:rsidR="000F4DED" w:rsidRPr="00A170F9">
        <w:rPr>
          <w:szCs w:val="24"/>
        </w:rPr>
        <w:t xml:space="preserve">a </w:t>
      </w:r>
      <w:r w:rsidR="007E04FF" w:rsidRPr="00A170F9">
        <w:rPr>
          <w:szCs w:val="24"/>
        </w:rPr>
        <w:t>future</w:t>
      </w:r>
      <w:r w:rsidRPr="00A170F9">
        <w:rPr>
          <w:szCs w:val="24"/>
        </w:rPr>
        <w:t xml:space="preserve"> edition of the </w:t>
      </w:r>
      <w:r w:rsidRPr="00A170F9">
        <w:rPr>
          <w:i/>
          <w:szCs w:val="24"/>
        </w:rPr>
        <w:t>Tax Information Bulletin</w:t>
      </w:r>
      <w:r w:rsidRPr="00A170F9">
        <w:rPr>
          <w:szCs w:val="24"/>
        </w:rPr>
        <w:t>.</w:t>
      </w:r>
    </w:p>
    <w:p w:rsidR="00A10436" w:rsidRPr="00A170F9" w:rsidRDefault="00A10436" w:rsidP="005A3CD8">
      <w:pPr>
        <w:rPr>
          <w:szCs w:val="24"/>
        </w:rPr>
      </w:pPr>
    </w:p>
    <w:p w:rsidR="00F64C06" w:rsidRPr="00A170F9" w:rsidRDefault="00F64C06" w:rsidP="005A3CD8"/>
    <w:p w:rsidR="00BC71CE" w:rsidRPr="00A170F9" w:rsidRDefault="00BC71CE" w:rsidP="00C2713F">
      <w:pPr>
        <w:pStyle w:val="Heading1"/>
      </w:pPr>
      <w:bookmarkStart w:id="1" w:name="_Toc381807317"/>
      <w:r w:rsidRPr="00A170F9">
        <w:t>Background</w:t>
      </w:r>
      <w:bookmarkEnd w:id="1"/>
    </w:p>
    <w:p w:rsidR="004679A9" w:rsidRPr="00A170F9" w:rsidRDefault="004679A9" w:rsidP="005A3CD8">
      <w:pPr>
        <w:tabs>
          <w:tab w:val="left" w:pos="567"/>
        </w:tabs>
        <w:rPr>
          <w:szCs w:val="24"/>
        </w:rPr>
      </w:pPr>
    </w:p>
    <w:p w:rsidR="006F2866" w:rsidRPr="00A170F9" w:rsidRDefault="0086591D" w:rsidP="006F2866">
      <w:pPr>
        <w:rPr>
          <w:color w:val="000000"/>
          <w:szCs w:val="24"/>
        </w:rPr>
      </w:pPr>
      <w:r w:rsidRPr="00A170F9">
        <w:rPr>
          <w:color w:val="000000"/>
          <w:szCs w:val="24"/>
        </w:rPr>
        <w:t>As part of Budget 2015, t</w:t>
      </w:r>
      <w:r w:rsidR="004F423F" w:rsidRPr="00A170F9">
        <w:rPr>
          <w:color w:val="000000"/>
          <w:szCs w:val="24"/>
        </w:rPr>
        <w:t>he Government announced plans to introduce a new land sale rule to supplement</w:t>
      </w:r>
      <w:r w:rsidR="00344033" w:rsidRPr="00A170F9">
        <w:rPr>
          <w:color w:val="000000"/>
          <w:szCs w:val="24"/>
        </w:rPr>
        <w:t xml:space="preserve"> the</w:t>
      </w:r>
      <w:r w:rsidR="004F423F" w:rsidRPr="00A170F9">
        <w:rPr>
          <w:color w:val="000000"/>
          <w:szCs w:val="24"/>
        </w:rPr>
        <w:t xml:space="preserve"> “intention test” in the current land sale rules. </w:t>
      </w:r>
      <w:r w:rsidR="009965D5" w:rsidRPr="00A170F9">
        <w:rPr>
          <w:color w:val="000000"/>
          <w:szCs w:val="24"/>
        </w:rPr>
        <w:t xml:space="preserve"> </w:t>
      </w:r>
      <w:r w:rsidRPr="00A170F9">
        <w:rPr>
          <w:color w:val="000000"/>
          <w:szCs w:val="24"/>
        </w:rPr>
        <w:t xml:space="preserve">Under </w:t>
      </w:r>
      <w:r w:rsidR="00F7600B" w:rsidRPr="00A170F9">
        <w:rPr>
          <w:color w:val="000000"/>
          <w:szCs w:val="24"/>
        </w:rPr>
        <w:t>those</w:t>
      </w:r>
      <w:r w:rsidRPr="00A170F9">
        <w:rPr>
          <w:color w:val="000000"/>
          <w:szCs w:val="24"/>
        </w:rPr>
        <w:t xml:space="preserve"> rules, g</w:t>
      </w:r>
      <w:r w:rsidR="004F423F" w:rsidRPr="00A170F9">
        <w:rPr>
          <w:color w:val="000000"/>
          <w:szCs w:val="24"/>
        </w:rPr>
        <w:t xml:space="preserve">ains from the sale of land </w:t>
      </w:r>
      <w:r w:rsidRPr="00A170F9">
        <w:rPr>
          <w:color w:val="000000"/>
          <w:szCs w:val="24"/>
        </w:rPr>
        <w:t xml:space="preserve">are </w:t>
      </w:r>
      <w:r w:rsidR="004F423F" w:rsidRPr="00A170F9">
        <w:rPr>
          <w:color w:val="000000"/>
          <w:szCs w:val="24"/>
        </w:rPr>
        <w:t>taxable when bought with an intention or purpose of resale</w:t>
      </w:r>
      <w:r w:rsidR="00AF1E5B" w:rsidRPr="00A170F9">
        <w:rPr>
          <w:color w:val="000000"/>
          <w:szCs w:val="24"/>
        </w:rPr>
        <w:t xml:space="preserve"> and the taxpayer is required to r</w:t>
      </w:r>
      <w:r w:rsidR="005C2FF2" w:rsidRPr="00A170F9">
        <w:rPr>
          <w:color w:val="000000"/>
          <w:szCs w:val="24"/>
        </w:rPr>
        <w:t>eturn</w:t>
      </w:r>
      <w:r w:rsidR="00AF1E5B" w:rsidRPr="00A170F9">
        <w:rPr>
          <w:color w:val="000000"/>
          <w:szCs w:val="24"/>
        </w:rPr>
        <w:t xml:space="preserve"> any gain as income</w:t>
      </w:r>
      <w:r w:rsidRPr="00A170F9">
        <w:rPr>
          <w:color w:val="000000"/>
          <w:szCs w:val="24"/>
        </w:rPr>
        <w:t>.</w:t>
      </w:r>
    </w:p>
    <w:p w:rsidR="004F423F" w:rsidRPr="00A170F9" w:rsidRDefault="004F423F" w:rsidP="006F2866">
      <w:pPr>
        <w:rPr>
          <w:color w:val="000000"/>
          <w:szCs w:val="24"/>
        </w:rPr>
      </w:pPr>
    </w:p>
    <w:p w:rsidR="004F423F" w:rsidRPr="00A170F9" w:rsidRDefault="0086591D" w:rsidP="006F2866">
      <w:pPr>
        <w:rPr>
          <w:color w:val="000000"/>
          <w:szCs w:val="24"/>
        </w:rPr>
      </w:pPr>
      <w:r w:rsidRPr="00A170F9">
        <w:rPr>
          <w:color w:val="000000"/>
          <w:szCs w:val="24"/>
        </w:rPr>
        <w:t>However, t</w:t>
      </w:r>
      <w:r w:rsidR="004F423F" w:rsidRPr="00A170F9">
        <w:rPr>
          <w:color w:val="000000"/>
          <w:szCs w:val="24"/>
        </w:rPr>
        <w:t>his intention test is difficult to enforce due to its subjectivity.</w:t>
      </w:r>
      <w:r w:rsidR="009965D5" w:rsidRPr="00A170F9">
        <w:rPr>
          <w:color w:val="000000"/>
          <w:szCs w:val="24"/>
        </w:rPr>
        <w:t xml:space="preserve"> </w:t>
      </w:r>
      <w:r w:rsidR="004F423F" w:rsidRPr="00A170F9">
        <w:rPr>
          <w:color w:val="000000"/>
          <w:szCs w:val="24"/>
        </w:rPr>
        <w:t xml:space="preserve"> The bright-line test </w:t>
      </w:r>
      <w:r w:rsidR="008505DE" w:rsidRPr="00A170F9">
        <w:rPr>
          <w:color w:val="000000"/>
          <w:szCs w:val="24"/>
        </w:rPr>
        <w:t>instead creates</w:t>
      </w:r>
      <w:r w:rsidR="00344033" w:rsidRPr="00A170F9">
        <w:rPr>
          <w:color w:val="000000"/>
          <w:szCs w:val="24"/>
        </w:rPr>
        <w:t xml:space="preserve"> an</w:t>
      </w:r>
      <w:r w:rsidR="004F423F" w:rsidRPr="00A170F9">
        <w:rPr>
          <w:color w:val="000000"/>
          <w:szCs w:val="24"/>
        </w:rPr>
        <w:t xml:space="preserve"> easy</w:t>
      </w:r>
      <w:r w:rsidR="00442181" w:rsidRPr="00A170F9">
        <w:rPr>
          <w:color w:val="000000"/>
          <w:szCs w:val="24"/>
        </w:rPr>
        <w:t>-</w:t>
      </w:r>
      <w:r w:rsidR="004F423F" w:rsidRPr="00A170F9">
        <w:rPr>
          <w:color w:val="000000"/>
          <w:szCs w:val="24"/>
        </w:rPr>
        <w:t>to</w:t>
      </w:r>
      <w:r w:rsidR="00442181" w:rsidRPr="00A170F9">
        <w:rPr>
          <w:color w:val="000000"/>
          <w:szCs w:val="24"/>
        </w:rPr>
        <w:t>-</w:t>
      </w:r>
      <w:r w:rsidR="004F423F" w:rsidRPr="00A170F9">
        <w:rPr>
          <w:color w:val="000000"/>
          <w:szCs w:val="24"/>
        </w:rPr>
        <w:t>enforce, objective test.</w:t>
      </w:r>
    </w:p>
    <w:p w:rsidR="004F423F" w:rsidRPr="00A170F9" w:rsidRDefault="004F423F" w:rsidP="006F2866">
      <w:pPr>
        <w:rPr>
          <w:color w:val="000000"/>
          <w:szCs w:val="24"/>
        </w:rPr>
      </w:pPr>
    </w:p>
    <w:p w:rsidR="004F423F" w:rsidRPr="00A170F9" w:rsidRDefault="004F423F" w:rsidP="006F2866">
      <w:pPr>
        <w:rPr>
          <w:color w:val="000000"/>
          <w:szCs w:val="24"/>
        </w:rPr>
      </w:pPr>
      <w:r w:rsidRPr="00A170F9">
        <w:rPr>
          <w:color w:val="000000"/>
          <w:szCs w:val="24"/>
        </w:rPr>
        <w:t xml:space="preserve">The bright-line test </w:t>
      </w:r>
      <w:r w:rsidR="00303265" w:rsidRPr="00A170F9">
        <w:rPr>
          <w:color w:val="000000"/>
          <w:szCs w:val="24"/>
        </w:rPr>
        <w:t>is</w:t>
      </w:r>
      <w:r w:rsidRPr="00A170F9">
        <w:rPr>
          <w:color w:val="000000"/>
          <w:szCs w:val="24"/>
        </w:rPr>
        <w:t xml:space="preserve"> the second </w:t>
      </w:r>
      <w:r w:rsidR="002874AD" w:rsidRPr="00A170F9">
        <w:rPr>
          <w:color w:val="000000"/>
          <w:szCs w:val="24"/>
        </w:rPr>
        <w:t xml:space="preserve">of three stages of </w:t>
      </w:r>
      <w:r w:rsidR="00C65B49" w:rsidRPr="00A170F9">
        <w:rPr>
          <w:color w:val="000000"/>
          <w:szCs w:val="24"/>
        </w:rPr>
        <w:t xml:space="preserve">the </w:t>
      </w:r>
      <w:r w:rsidR="00303265" w:rsidRPr="00A170F9">
        <w:rPr>
          <w:color w:val="000000"/>
          <w:szCs w:val="24"/>
        </w:rPr>
        <w:t xml:space="preserve">Government’s </w:t>
      </w:r>
      <w:r w:rsidR="00C65B49" w:rsidRPr="00A170F9">
        <w:rPr>
          <w:color w:val="000000"/>
          <w:szCs w:val="24"/>
        </w:rPr>
        <w:t>reform</w:t>
      </w:r>
      <w:r w:rsidR="002874AD" w:rsidRPr="00A170F9">
        <w:rPr>
          <w:color w:val="000000"/>
          <w:szCs w:val="24"/>
        </w:rPr>
        <w:t xml:space="preserve"> package to </w:t>
      </w:r>
      <w:r w:rsidR="00303265" w:rsidRPr="00A170F9">
        <w:rPr>
          <w:color w:val="000000"/>
          <w:szCs w:val="24"/>
        </w:rPr>
        <w:t xml:space="preserve">tighten the property investment rules </w:t>
      </w:r>
      <w:r w:rsidR="002874AD" w:rsidRPr="00A170F9">
        <w:rPr>
          <w:color w:val="000000"/>
          <w:szCs w:val="24"/>
        </w:rPr>
        <w:t>announced as part of Budget 2015.</w:t>
      </w:r>
    </w:p>
    <w:p w:rsidR="004F423F" w:rsidRPr="00A170F9" w:rsidRDefault="004F423F" w:rsidP="006F2866">
      <w:pPr>
        <w:rPr>
          <w:color w:val="000000"/>
          <w:szCs w:val="24"/>
        </w:rPr>
      </w:pPr>
    </w:p>
    <w:p w:rsidR="004F423F" w:rsidRPr="00A170F9" w:rsidRDefault="004F423F" w:rsidP="006F2866">
      <w:pPr>
        <w:rPr>
          <w:color w:val="000000"/>
          <w:szCs w:val="24"/>
        </w:rPr>
      </w:pPr>
      <w:r w:rsidRPr="00A170F9">
        <w:rPr>
          <w:color w:val="000000"/>
          <w:szCs w:val="24"/>
        </w:rPr>
        <w:t>The first stage</w:t>
      </w:r>
      <w:r w:rsidR="00762483" w:rsidRPr="00A170F9">
        <w:rPr>
          <w:color w:val="000000"/>
          <w:szCs w:val="24"/>
        </w:rPr>
        <w:t xml:space="preserve"> –</w:t>
      </w:r>
      <w:r w:rsidRPr="00A170F9">
        <w:rPr>
          <w:color w:val="000000"/>
          <w:szCs w:val="24"/>
        </w:rPr>
        <w:t xml:space="preserve"> new information requirements for land transfers and offshore persons</w:t>
      </w:r>
      <w:r w:rsidR="00762483" w:rsidRPr="00A170F9">
        <w:rPr>
          <w:color w:val="000000"/>
          <w:szCs w:val="24"/>
        </w:rPr>
        <w:t xml:space="preserve"> – </w:t>
      </w:r>
      <w:r w:rsidRPr="00A170F9">
        <w:rPr>
          <w:color w:val="000000"/>
          <w:szCs w:val="24"/>
        </w:rPr>
        <w:t>came into force on 1 October 2015</w:t>
      </w:r>
      <w:r w:rsidR="00442181" w:rsidRPr="00A170F9">
        <w:rPr>
          <w:color w:val="000000"/>
          <w:szCs w:val="24"/>
        </w:rPr>
        <w:t xml:space="preserve">. </w:t>
      </w:r>
      <w:r w:rsidR="00FE6C25" w:rsidRPr="00A170F9">
        <w:rPr>
          <w:color w:val="000000"/>
          <w:szCs w:val="24"/>
        </w:rPr>
        <w:t xml:space="preserve"> F</w:t>
      </w:r>
      <w:r w:rsidRPr="00A170F9">
        <w:rPr>
          <w:color w:val="000000"/>
          <w:szCs w:val="24"/>
        </w:rPr>
        <w:t xml:space="preserve">urther information on these requirements can be found in </w:t>
      </w:r>
      <w:r w:rsidR="002874AD" w:rsidRPr="00A170F9">
        <w:rPr>
          <w:color w:val="000000"/>
          <w:szCs w:val="24"/>
        </w:rPr>
        <w:t>t</w:t>
      </w:r>
      <w:r w:rsidRPr="00A170F9">
        <w:rPr>
          <w:color w:val="000000"/>
          <w:szCs w:val="24"/>
        </w:rPr>
        <w:t xml:space="preserve">he special report </w:t>
      </w:r>
      <w:r w:rsidRPr="00A170F9">
        <w:rPr>
          <w:i/>
          <w:color w:val="000000"/>
          <w:szCs w:val="24"/>
        </w:rPr>
        <w:t>New information requirements to improve tax compliance in the property investment sector</w:t>
      </w:r>
      <w:r w:rsidRPr="00A170F9">
        <w:rPr>
          <w:color w:val="000000"/>
          <w:szCs w:val="24"/>
        </w:rPr>
        <w:t xml:space="preserve"> available at </w:t>
      </w:r>
      <w:hyperlink r:id="rId9" w:history="1">
        <w:r w:rsidRPr="00A170F9">
          <w:rPr>
            <w:rStyle w:val="Hyperlink"/>
            <w:szCs w:val="24"/>
          </w:rPr>
          <w:t>www.taxpolicy.ird.govt.nz</w:t>
        </w:r>
      </w:hyperlink>
      <w:r w:rsidRPr="00A170F9">
        <w:rPr>
          <w:color w:val="000000"/>
          <w:szCs w:val="24"/>
        </w:rPr>
        <w:t>.</w:t>
      </w:r>
    </w:p>
    <w:p w:rsidR="004F423F" w:rsidRPr="00A170F9" w:rsidRDefault="004F423F" w:rsidP="006F2866">
      <w:pPr>
        <w:rPr>
          <w:color w:val="000000"/>
          <w:szCs w:val="24"/>
        </w:rPr>
      </w:pPr>
    </w:p>
    <w:p w:rsidR="004F423F" w:rsidRPr="00A170F9" w:rsidRDefault="004F423F" w:rsidP="006F2866">
      <w:pPr>
        <w:rPr>
          <w:color w:val="000000"/>
          <w:szCs w:val="24"/>
        </w:rPr>
      </w:pPr>
      <w:r w:rsidRPr="00A170F9">
        <w:rPr>
          <w:color w:val="000000"/>
          <w:szCs w:val="24"/>
        </w:rPr>
        <w:t>The third stage</w:t>
      </w:r>
      <w:r w:rsidR="00DF0E12" w:rsidRPr="00A170F9">
        <w:rPr>
          <w:color w:val="000000"/>
          <w:szCs w:val="24"/>
        </w:rPr>
        <w:t xml:space="preserve"> –</w:t>
      </w:r>
      <w:r w:rsidRPr="00A170F9">
        <w:rPr>
          <w:color w:val="000000"/>
          <w:szCs w:val="24"/>
        </w:rPr>
        <w:t xml:space="preserve"> a withholding tax for offshore persons selling </w:t>
      </w:r>
      <w:r w:rsidR="00DF0E12" w:rsidRPr="00A170F9">
        <w:rPr>
          <w:color w:val="000000"/>
          <w:szCs w:val="24"/>
        </w:rPr>
        <w:t xml:space="preserve">New Zealand </w:t>
      </w:r>
      <w:r w:rsidRPr="00A170F9">
        <w:rPr>
          <w:color w:val="000000"/>
          <w:szCs w:val="24"/>
        </w:rPr>
        <w:t>residential property</w:t>
      </w:r>
      <w:r w:rsidR="004A0A24" w:rsidRPr="00A170F9">
        <w:rPr>
          <w:color w:val="000000"/>
          <w:szCs w:val="24"/>
        </w:rPr>
        <w:t xml:space="preserve"> – was introduced </w:t>
      </w:r>
      <w:r w:rsidR="0055096B" w:rsidRPr="00A170F9">
        <w:rPr>
          <w:color w:val="000000"/>
          <w:szCs w:val="24"/>
        </w:rPr>
        <w:t xml:space="preserve">on </w:t>
      </w:r>
      <w:r w:rsidR="00711E1C" w:rsidRPr="00A170F9">
        <w:rPr>
          <w:color w:val="000000"/>
          <w:szCs w:val="24"/>
        </w:rPr>
        <w:t xml:space="preserve">16 November 2015 </w:t>
      </w:r>
      <w:r w:rsidR="004A0A24" w:rsidRPr="00A170F9">
        <w:rPr>
          <w:color w:val="000000"/>
          <w:szCs w:val="24"/>
        </w:rPr>
        <w:t>in the Taxation (Residential Land Withholding Tax, GST on Online Service</w:t>
      </w:r>
      <w:r w:rsidR="009A6CF4" w:rsidRPr="00A170F9">
        <w:rPr>
          <w:color w:val="000000"/>
          <w:szCs w:val="24"/>
        </w:rPr>
        <w:t>s</w:t>
      </w:r>
      <w:r w:rsidR="004A0A24" w:rsidRPr="00A170F9">
        <w:rPr>
          <w:color w:val="000000"/>
          <w:szCs w:val="24"/>
        </w:rPr>
        <w:t>, and Student Loans) Bill, foll</w:t>
      </w:r>
      <w:r w:rsidR="009A6CF4" w:rsidRPr="00A170F9">
        <w:rPr>
          <w:color w:val="000000"/>
          <w:szCs w:val="24"/>
        </w:rPr>
        <w:t>o</w:t>
      </w:r>
      <w:r w:rsidR="004A0A24" w:rsidRPr="00A170F9">
        <w:rPr>
          <w:color w:val="000000"/>
          <w:szCs w:val="24"/>
        </w:rPr>
        <w:t>w</w:t>
      </w:r>
      <w:r w:rsidR="009A6CF4" w:rsidRPr="00A170F9">
        <w:rPr>
          <w:color w:val="000000"/>
          <w:szCs w:val="24"/>
        </w:rPr>
        <w:t>i</w:t>
      </w:r>
      <w:r w:rsidR="004A0A24" w:rsidRPr="00A170F9">
        <w:rPr>
          <w:color w:val="000000"/>
          <w:szCs w:val="24"/>
        </w:rPr>
        <w:t>ng consultation in</w:t>
      </w:r>
      <w:r w:rsidRPr="00A170F9">
        <w:rPr>
          <w:color w:val="000000"/>
          <w:szCs w:val="24"/>
        </w:rPr>
        <w:t xml:space="preserve"> August 2015.</w:t>
      </w:r>
    </w:p>
    <w:p w:rsidR="00C20EE1" w:rsidRPr="00A170F9" w:rsidRDefault="00C20EE1" w:rsidP="00C20EE1">
      <w:pPr>
        <w:tabs>
          <w:tab w:val="left" w:pos="567"/>
        </w:tabs>
        <w:rPr>
          <w:szCs w:val="24"/>
        </w:rPr>
      </w:pPr>
    </w:p>
    <w:p w:rsidR="00187D01" w:rsidRPr="00A170F9" w:rsidRDefault="007739A4" w:rsidP="00EB6A4F">
      <w:pPr>
        <w:pStyle w:val="Heading1"/>
      </w:pPr>
      <w:bookmarkStart w:id="2" w:name="_Toc381807318"/>
      <w:r w:rsidRPr="00A170F9">
        <w:br w:type="page"/>
      </w:r>
      <w:r w:rsidR="00187D01" w:rsidRPr="00A170F9">
        <w:lastRenderedPageBreak/>
        <w:t>Key features</w:t>
      </w:r>
    </w:p>
    <w:p w:rsidR="00187D01" w:rsidRPr="00A170F9" w:rsidRDefault="00187D01" w:rsidP="00187D01"/>
    <w:p w:rsidR="007B0F53" w:rsidRPr="00A170F9" w:rsidRDefault="007B0F53" w:rsidP="007B0F53">
      <w:pPr>
        <w:pStyle w:val="Bullets"/>
      </w:pPr>
      <w:r w:rsidRPr="00A170F9">
        <w:t>The gains from the disposal of residential land acquired and disposed of within two years will be taxable, subject to some exceptions.</w:t>
      </w:r>
    </w:p>
    <w:p w:rsidR="007B0F53" w:rsidRPr="00A170F9" w:rsidRDefault="008B6DCA" w:rsidP="007B0F53">
      <w:pPr>
        <w:pStyle w:val="Bullets"/>
      </w:pPr>
      <w:r w:rsidRPr="00A170F9">
        <w:t>The two year bright-line period</w:t>
      </w:r>
      <w:r w:rsidR="00C65B49" w:rsidRPr="00A170F9">
        <w:t xml:space="preserve"> generally</w:t>
      </w:r>
      <w:r w:rsidRPr="00A170F9">
        <w:t xml:space="preserve"> starts at the point a person has title for the property transferred to them and ends at the time the person enters into a contract to sell the property. </w:t>
      </w:r>
      <w:r w:rsidR="009965D5" w:rsidRPr="00A170F9">
        <w:t xml:space="preserve"> </w:t>
      </w:r>
      <w:r w:rsidRPr="00A170F9">
        <w:t>For sales “off the plan” the two</w:t>
      </w:r>
      <w:r w:rsidR="00FE6C25" w:rsidRPr="00A170F9">
        <w:t>-</w:t>
      </w:r>
      <w:r w:rsidRPr="00A170F9">
        <w:t>year</w:t>
      </w:r>
      <w:r w:rsidR="00FE6C25" w:rsidRPr="00A170F9">
        <w:t xml:space="preserve"> </w:t>
      </w:r>
      <w:r w:rsidRPr="00A170F9">
        <w:t>period runs from the date the person enters into a contract to buy the property to the time when a person enters into a contract to sell the property</w:t>
      </w:r>
      <w:r w:rsidR="00FF7803" w:rsidRPr="00A170F9">
        <w:t>.</w:t>
      </w:r>
    </w:p>
    <w:p w:rsidR="008B6DCA" w:rsidRPr="00A170F9" w:rsidRDefault="008B6DCA" w:rsidP="007B0F53">
      <w:pPr>
        <w:pStyle w:val="Bullets"/>
      </w:pPr>
      <w:r w:rsidRPr="00A170F9">
        <w:t xml:space="preserve">The bright-line test applies </w:t>
      </w:r>
      <w:r w:rsidR="005C2FF2" w:rsidRPr="00A170F9">
        <w:t xml:space="preserve">only </w:t>
      </w:r>
      <w:r w:rsidRPr="00A170F9">
        <w:t xml:space="preserve">to residential land. </w:t>
      </w:r>
      <w:r w:rsidR="009965D5" w:rsidRPr="00A170F9">
        <w:t xml:space="preserve"> </w:t>
      </w:r>
      <w:r w:rsidRPr="00A170F9">
        <w:t>Residential land includes land</w:t>
      </w:r>
      <w:r w:rsidR="00C65B49" w:rsidRPr="00A170F9">
        <w:t xml:space="preserve"> that has a dwelling on it, land</w:t>
      </w:r>
      <w:r w:rsidRPr="00A170F9">
        <w:t xml:space="preserve"> where the owner has an arrangement to build a dwelling on it, as well as bare land that can have a dwelling erected on it under the relevant district plan. </w:t>
      </w:r>
      <w:r w:rsidR="009965D5" w:rsidRPr="00A170F9">
        <w:t xml:space="preserve"> </w:t>
      </w:r>
      <w:r w:rsidRPr="00A170F9">
        <w:t>Residential land does not include business premises or farmland.</w:t>
      </w:r>
    </w:p>
    <w:p w:rsidR="008B6DCA" w:rsidRPr="00A170F9" w:rsidRDefault="008B6DCA" w:rsidP="008B6DCA">
      <w:pPr>
        <w:pStyle w:val="Bullets"/>
      </w:pPr>
      <w:r w:rsidRPr="00A170F9">
        <w:t xml:space="preserve">The bright-line test does not apply to a person’s main home. </w:t>
      </w:r>
      <w:r w:rsidR="009965D5" w:rsidRPr="00A170F9">
        <w:t xml:space="preserve"> </w:t>
      </w:r>
      <w:r w:rsidRPr="00A170F9">
        <w:t xml:space="preserve">A person can only have one main home. </w:t>
      </w:r>
      <w:r w:rsidR="009965D5" w:rsidRPr="00A170F9">
        <w:t xml:space="preserve"> </w:t>
      </w:r>
      <w:r w:rsidRPr="00A170F9">
        <w:t>Where a person has more than one home, their main home is the one</w:t>
      </w:r>
      <w:r w:rsidR="005C2FF2" w:rsidRPr="00A170F9">
        <w:t xml:space="preserve"> with which the person has the </w:t>
      </w:r>
      <w:r w:rsidRPr="00A170F9">
        <w:t>greatest connection.</w:t>
      </w:r>
    </w:p>
    <w:p w:rsidR="008B6DCA" w:rsidRPr="00A170F9" w:rsidRDefault="008B6DCA" w:rsidP="008B6DCA">
      <w:pPr>
        <w:pStyle w:val="Bullets"/>
      </w:pPr>
      <w:r w:rsidRPr="00A170F9">
        <w:t xml:space="preserve">The main home </w:t>
      </w:r>
      <w:r w:rsidR="008E6098">
        <w:t>exception</w:t>
      </w:r>
      <w:r w:rsidRPr="00A170F9">
        <w:t xml:space="preserve"> is generally available to properties held in trust. </w:t>
      </w:r>
      <w:r w:rsidR="009965D5" w:rsidRPr="00A170F9">
        <w:t xml:space="preserve"> </w:t>
      </w:r>
      <w:r w:rsidR="00D80DC4" w:rsidRPr="00A170F9">
        <w:t>There are additional requirements</w:t>
      </w:r>
      <w:r w:rsidRPr="00A170F9">
        <w:t xml:space="preserve"> to ensure that people cannot use the main home </w:t>
      </w:r>
      <w:r w:rsidR="008E6098">
        <w:t>exception</w:t>
      </w:r>
      <w:r w:rsidRPr="00A170F9">
        <w:t xml:space="preserve"> for multiple properties through the use of trusts.</w:t>
      </w:r>
    </w:p>
    <w:p w:rsidR="008B6DCA" w:rsidRPr="00A170F9" w:rsidRDefault="008B6DCA" w:rsidP="008B6DCA">
      <w:pPr>
        <w:pStyle w:val="Bullets"/>
      </w:pPr>
      <w:r w:rsidRPr="00A170F9">
        <w:t>The bright-line test does not apply to property acquired through an inheritance.</w:t>
      </w:r>
      <w:r w:rsidR="009965D5" w:rsidRPr="00A170F9">
        <w:t xml:space="preserve"> </w:t>
      </w:r>
      <w:r w:rsidRPr="00A170F9">
        <w:t xml:space="preserve"> There is rollover relief for property transferred as a result of a relationship property agreement.</w:t>
      </w:r>
      <w:r w:rsidR="00711E1C" w:rsidRPr="00A170F9">
        <w:t xml:space="preserve"> </w:t>
      </w:r>
      <w:r w:rsidR="009965D5" w:rsidRPr="00A170F9">
        <w:t xml:space="preserve"> </w:t>
      </w:r>
      <w:r w:rsidR="00711E1C" w:rsidRPr="00A170F9">
        <w:t xml:space="preserve">This means that </w:t>
      </w:r>
      <w:r w:rsidR="00CE20BE" w:rsidRPr="00A170F9">
        <w:t>any potential tax liability</w:t>
      </w:r>
      <w:r w:rsidR="00711E1C" w:rsidRPr="00A170F9">
        <w:t xml:space="preserve"> </w:t>
      </w:r>
      <w:r w:rsidR="00B56CBE" w:rsidRPr="00A170F9">
        <w:t>will be deferred until a subsequent sale.</w:t>
      </w:r>
    </w:p>
    <w:p w:rsidR="008B6DCA" w:rsidRPr="00A170F9" w:rsidRDefault="008B6DCA" w:rsidP="008B6DCA">
      <w:pPr>
        <w:pStyle w:val="Bullets"/>
      </w:pPr>
      <w:r w:rsidRPr="00A170F9">
        <w:t>Taxpayers will be allowed deductions for property subject to the bright-line test according to ordinary tax rules.</w:t>
      </w:r>
    </w:p>
    <w:p w:rsidR="008B6DCA" w:rsidRPr="00A170F9" w:rsidRDefault="008B6DCA" w:rsidP="008B6DCA">
      <w:pPr>
        <w:pStyle w:val="Bullets"/>
      </w:pPr>
      <w:r w:rsidRPr="00A170F9">
        <w:t>Losses arising from the bright-line test</w:t>
      </w:r>
      <w:r w:rsidR="00344033" w:rsidRPr="00A170F9">
        <w:t xml:space="preserve"> will be ring-fenced so that they</w:t>
      </w:r>
      <w:r w:rsidRPr="00A170F9">
        <w:t xml:space="preserve"> </w:t>
      </w:r>
      <w:r w:rsidR="00D7562C" w:rsidRPr="00A170F9">
        <w:t>may only be used to offset taxable gains from other land sales</w:t>
      </w:r>
      <w:r w:rsidRPr="00A170F9">
        <w:t>.</w:t>
      </w:r>
    </w:p>
    <w:p w:rsidR="007B0F53" w:rsidRPr="00A170F9" w:rsidRDefault="008B6DCA" w:rsidP="000D1F56">
      <w:pPr>
        <w:pStyle w:val="Bullets"/>
        <w:spacing w:after="0"/>
      </w:pPr>
      <w:r w:rsidRPr="00A170F9">
        <w:t>There are specific anti-avoidance rules, to counter companies and trusts being used to circumvent the bright-line test.</w:t>
      </w:r>
      <w:bookmarkStart w:id="3" w:name="_Toc381807319"/>
      <w:bookmarkEnd w:id="2"/>
    </w:p>
    <w:p w:rsidR="00465821" w:rsidRPr="00A170F9" w:rsidRDefault="00465821" w:rsidP="000D1F56">
      <w:pPr>
        <w:pStyle w:val="Bullets"/>
        <w:numPr>
          <w:ilvl w:val="0"/>
          <w:numId w:val="0"/>
        </w:numPr>
        <w:spacing w:after="0"/>
      </w:pPr>
    </w:p>
    <w:p w:rsidR="00634114" w:rsidRPr="00A170F9" w:rsidRDefault="00634114" w:rsidP="000D1F56">
      <w:pPr>
        <w:pStyle w:val="Bullets"/>
        <w:numPr>
          <w:ilvl w:val="0"/>
          <w:numId w:val="0"/>
        </w:numPr>
        <w:spacing w:after="0"/>
      </w:pPr>
    </w:p>
    <w:p w:rsidR="00C53E3A" w:rsidRPr="00A170F9" w:rsidRDefault="00C53E3A" w:rsidP="00EB6A4F">
      <w:pPr>
        <w:pStyle w:val="Heading1"/>
      </w:pPr>
      <w:r w:rsidRPr="00A170F9">
        <w:t xml:space="preserve">Application </w:t>
      </w:r>
      <w:r w:rsidR="00754603" w:rsidRPr="00A170F9">
        <w:t>d</w:t>
      </w:r>
      <w:r w:rsidRPr="00A170F9">
        <w:t>ate</w:t>
      </w:r>
      <w:bookmarkEnd w:id="3"/>
    </w:p>
    <w:p w:rsidR="004679A9" w:rsidRPr="00A170F9" w:rsidRDefault="004679A9" w:rsidP="005A3CD8"/>
    <w:p w:rsidR="008B6DCA" w:rsidRPr="00A170F9" w:rsidRDefault="008B6DCA" w:rsidP="005A3CD8">
      <w:r w:rsidRPr="00A170F9">
        <w:t xml:space="preserve">The bright-line test </w:t>
      </w:r>
      <w:r w:rsidR="00325B5C" w:rsidRPr="00A170F9">
        <w:t xml:space="preserve">came </w:t>
      </w:r>
      <w:r w:rsidRPr="00A170F9">
        <w:t>into force on 1 October 2015.</w:t>
      </w:r>
    </w:p>
    <w:p w:rsidR="008B6DCA" w:rsidRPr="00A170F9" w:rsidRDefault="008B6DCA" w:rsidP="005A3CD8"/>
    <w:p w:rsidR="0056280C" w:rsidRPr="00A170F9" w:rsidRDefault="008B6DCA" w:rsidP="0056280C">
      <w:r w:rsidRPr="00A170F9">
        <w:t>The bright-line test will only apply to a</w:t>
      </w:r>
      <w:r w:rsidR="00D80DC4" w:rsidRPr="00A170F9">
        <w:t xml:space="preserve"> person’s</w:t>
      </w:r>
      <w:r w:rsidRPr="00A170F9">
        <w:t xml:space="preserve"> disposal of land if the</w:t>
      </w:r>
      <w:r w:rsidR="00D80DC4" w:rsidRPr="00A170F9">
        <w:t xml:space="preserve"> person acquire</w:t>
      </w:r>
      <w:r w:rsidR="00DB5D5F" w:rsidRPr="00A170F9">
        <w:t>s</w:t>
      </w:r>
      <w:r w:rsidR="00D80DC4" w:rsidRPr="00A170F9">
        <w:t xml:space="preserve"> their</w:t>
      </w:r>
      <w:r w:rsidRPr="00A170F9">
        <w:t xml:space="preserve"> “first interest” in the land on or after 1 October 2015. </w:t>
      </w:r>
      <w:r w:rsidR="009965D5" w:rsidRPr="00A170F9">
        <w:t xml:space="preserve"> </w:t>
      </w:r>
      <w:r w:rsidR="002A6C92" w:rsidRPr="00A170F9">
        <w:t xml:space="preserve">The date a person acquires their “first interest” is the same date as when they acquire land for the purposes of section CB 15B. </w:t>
      </w:r>
      <w:r w:rsidR="009965D5" w:rsidRPr="00A170F9">
        <w:t xml:space="preserve"> </w:t>
      </w:r>
      <w:r w:rsidR="002A6C92" w:rsidRPr="00A170F9">
        <w:t>As a result, guidance on section CB 15B can be used to assist in determining when a person’s “first interest” in land was acquired.</w:t>
      </w:r>
    </w:p>
    <w:p w:rsidR="0056280C" w:rsidRPr="00A170F9" w:rsidRDefault="0056280C" w:rsidP="0056280C"/>
    <w:p w:rsidR="000D1F56" w:rsidRPr="00A170F9" w:rsidRDefault="0056280C" w:rsidP="00634114">
      <w:r w:rsidRPr="00A170F9">
        <w:t xml:space="preserve">Where there is a standard acquisition of land, the date </w:t>
      </w:r>
      <w:r w:rsidR="002A6C92" w:rsidRPr="00A170F9">
        <w:t>a person acquires their</w:t>
      </w:r>
      <w:r w:rsidRPr="00A170F9">
        <w:t xml:space="preserve"> “first interest” will</w:t>
      </w:r>
      <w:r w:rsidR="002A6C92" w:rsidRPr="00A170F9">
        <w:t xml:space="preserve"> generally</w:t>
      </w:r>
      <w:r w:rsidRPr="00A170F9">
        <w:t xml:space="preserve"> be the date of entry into an agreement to purchase the land. </w:t>
      </w:r>
      <w:r w:rsidR="009965D5" w:rsidRPr="00A170F9">
        <w:t xml:space="preserve"> </w:t>
      </w:r>
      <w:r w:rsidRPr="00A170F9">
        <w:t>This means the bright-line test will only apply to the sale of land if the agreement for purchase of the land was entered into on or after 1 October 2015.</w:t>
      </w:r>
      <w:r w:rsidR="000D1F56" w:rsidRPr="00A170F9">
        <w:br w:type="page"/>
      </w:r>
    </w:p>
    <w:p w:rsidR="002C7D0E" w:rsidRPr="00A170F9" w:rsidRDefault="002C7D0E" w:rsidP="000D1F56">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Example</w:t>
      </w:r>
      <w:r w:rsidR="000D1F56" w:rsidRPr="00A170F9">
        <w:rPr>
          <w:b/>
          <w:sz w:val="20"/>
          <w:szCs w:val="20"/>
        </w:rPr>
        <w:t>: A</w:t>
      </w:r>
      <w:r w:rsidRPr="00A170F9">
        <w:rPr>
          <w:b/>
          <w:sz w:val="20"/>
          <w:szCs w:val="20"/>
        </w:rPr>
        <w:t>pplication date</w:t>
      </w:r>
    </w:p>
    <w:p w:rsidR="000B31B8" w:rsidRPr="00A170F9" w:rsidRDefault="000B31B8" w:rsidP="000D1F56">
      <w:pPr>
        <w:pBdr>
          <w:top w:val="single" w:sz="4" w:space="10" w:color="auto"/>
          <w:left w:val="single" w:sz="4" w:space="10" w:color="auto"/>
          <w:bottom w:val="single" w:sz="4" w:space="10" w:color="auto"/>
          <w:right w:val="single" w:sz="4" w:space="10" w:color="auto"/>
        </w:pBdr>
        <w:rPr>
          <w:sz w:val="20"/>
          <w:szCs w:val="20"/>
        </w:rPr>
      </w:pPr>
    </w:p>
    <w:p w:rsidR="002C7D0E" w:rsidRPr="00A170F9" w:rsidRDefault="000B31B8" w:rsidP="000B31B8">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01C14E34" wp14:editId="6FE1C7C7">
            <wp:extent cx="5181600" cy="9239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923925"/>
                    </a:xfrm>
                    <a:prstGeom prst="rect">
                      <a:avLst/>
                    </a:prstGeom>
                    <a:noFill/>
                    <a:ln>
                      <a:noFill/>
                    </a:ln>
                  </pic:spPr>
                </pic:pic>
              </a:graphicData>
            </a:graphic>
          </wp:inline>
        </w:drawing>
      </w:r>
    </w:p>
    <w:p w:rsidR="000B31B8" w:rsidRPr="00A170F9" w:rsidRDefault="000B31B8" w:rsidP="000D1F56">
      <w:pPr>
        <w:pBdr>
          <w:top w:val="single" w:sz="4" w:space="10" w:color="auto"/>
          <w:left w:val="single" w:sz="4" w:space="10" w:color="auto"/>
          <w:bottom w:val="single" w:sz="4" w:space="10" w:color="auto"/>
          <w:right w:val="single" w:sz="4" w:space="10" w:color="auto"/>
        </w:pBdr>
        <w:rPr>
          <w:sz w:val="20"/>
          <w:szCs w:val="20"/>
        </w:rPr>
      </w:pPr>
    </w:p>
    <w:p w:rsidR="002C7D0E" w:rsidRPr="00A170F9" w:rsidRDefault="002C7D0E" w:rsidP="000D1F56">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sale by Dave is not subject to the bright-line test. </w:t>
      </w:r>
      <w:r w:rsidR="009965D5" w:rsidRPr="00A170F9">
        <w:rPr>
          <w:sz w:val="20"/>
          <w:szCs w:val="20"/>
        </w:rPr>
        <w:t xml:space="preserve"> </w:t>
      </w:r>
      <w:r w:rsidRPr="00A170F9">
        <w:rPr>
          <w:sz w:val="20"/>
          <w:szCs w:val="20"/>
        </w:rPr>
        <w:t xml:space="preserve">This is because Dave acquired his “first interest” in the land when he entered into an agreement to purchase the land on 2 June 2015. </w:t>
      </w:r>
      <w:r w:rsidR="009965D5" w:rsidRPr="00A170F9">
        <w:rPr>
          <w:sz w:val="20"/>
          <w:szCs w:val="20"/>
        </w:rPr>
        <w:t xml:space="preserve"> </w:t>
      </w:r>
      <w:r w:rsidRPr="00A170F9">
        <w:rPr>
          <w:sz w:val="20"/>
          <w:szCs w:val="20"/>
        </w:rPr>
        <w:t>As this is prior to 1 October 2015, the bright-line test does not apply.</w:t>
      </w:r>
    </w:p>
    <w:p w:rsidR="002C7D0E" w:rsidRPr="00A170F9" w:rsidRDefault="002C7D0E" w:rsidP="0056280C"/>
    <w:p w:rsidR="0056280C" w:rsidRPr="00A170F9" w:rsidRDefault="0056280C" w:rsidP="0056280C"/>
    <w:p w:rsidR="001D70A5" w:rsidRPr="00A170F9" w:rsidRDefault="0056280C" w:rsidP="005A3CD8">
      <w:r w:rsidRPr="00A170F9">
        <w:t xml:space="preserve">For non-standard sales of land, the date of “first interest” may </w:t>
      </w:r>
      <w:r w:rsidR="00325B5C" w:rsidRPr="00A170F9">
        <w:t>be different for different circumstances</w:t>
      </w:r>
      <w:r w:rsidRPr="00A170F9">
        <w:t xml:space="preserve">. </w:t>
      </w:r>
      <w:r w:rsidR="009965D5" w:rsidRPr="00A170F9">
        <w:t xml:space="preserve"> </w:t>
      </w:r>
      <w:r w:rsidRPr="00A170F9">
        <w:t>For example, for a gift, the date of “first interest” will usually be the date of registration of title.</w:t>
      </w:r>
    </w:p>
    <w:p w:rsidR="002A6C92" w:rsidRPr="00A170F9" w:rsidRDefault="002A6C92" w:rsidP="005A3CD8"/>
    <w:p w:rsidR="009E1474" w:rsidRPr="00A170F9" w:rsidRDefault="009E1474" w:rsidP="009E1474">
      <w:bookmarkStart w:id="4" w:name="_Toc381807320"/>
      <w:r w:rsidRPr="00A170F9">
        <w:t xml:space="preserve">The amendments for the non-active trust filing exception, definition of “land”, and clarifying </w:t>
      </w:r>
      <w:r w:rsidR="005C2FF2" w:rsidRPr="00A170F9">
        <w:t xml:space="preserve">the </w:t>
      </w:r>
      <w:r w:rsidRPr="00A170F9">
        <w:t>treatment of land transferred under a resident’s restricted amalgamation c</w:t>
      </w:r>
      <w:r w:rsidR="00325B5C" w:rsidRPr="00A170F9">
        <w:t>a</w:t>
      </w:r>
      <w:r w:rsidRPr="00A170F9">
        <w:t>me into force on 1 October 2015.</w:t>
      </w:r>
    </w:p>
    <w:p w:rsidR="009E1474" w:rsidRPr="00A170F9" w:rsidRDefault="009E1474" w:rsidP="009E1474"/>
    <w:p w:rsidR="000D1F56" w:rsidRPr="00A170F9" w:rsidRDefault="000D1F56" w:rsidP="009E1474"/>
    <w:p w:rsidR="00C2713F" w:rsidRPr="00A170F9" w:rsidRDefault="00516396" w:rsidP="00EB6A4F">
      <w:pPr>
        <w:pStyle w:val="Heading1"/>
      </w:pPr>
      <w:bookmarkStart w:id="5" w:name="_Toc381807321"/>
      <w:bookmarkEnd w:id="4"/>
      <w:r w:rsidRPr="00A170F9">
        <w:t>Detailed analysis</w:t>
      </w:r>
    </w:p>
    <w:p w:rsidR="008B7AF0" w:rsidRPr="00A170F9" w:rsidRDefault="008B7AF0" w:rsidP="008B7AF0"/>
    <w:p w:rsidR="00700D9A" w:rsidRPr="00A170F9" w:rsidRDefault="007E04FF" w:rsidP="00700D9A">
      <w:r w:rsidRPr="00A170F9">
        <w:t xml:space="preserve">References are to the </w:t>
      </w:r>
      <w:r w:rsidR="007B63EE" w:rsidRPr="00A170F9">
        <w:t>Income Tax Act 2007 unless stated otherwise</w:t>
      </w:r>
      <w:r w:rsidR="00C56366" w:rsidRPr="00A170F9">
        <w:t>.</w:t>
      </w:r>
    </w:p>
    <w:p w:rsidR="005235CB" w:rsidRPr="00A170F9" w:rsidRDefault="005235CB" w:rsidP="00700D9A"/>
    <w:p w:rsidR="005235CB" w:rsidRPr="00A170F9" w:rsidRDefault="005235CB" w:rsidP="00376839">
      <w:pPr>
        <w:pStyle w:val="Heading2"/>
      </w:pPr>
      <w:r w:rsidRPr="00A170F9">
        <w:t>Two-year time period</w:t>
      </w:r>
    </w:p>
    <w:p w:rsidR="000D1F56" w:rsidRPr="00A170F9" w:rsidRDefault="000D1F56" w:rsidP="00D05403">
      <w:pPr>
        <w:pStyle w:val="Sectionclause"/>
      </w:pPr>
      <w:r w:rsidRPr="00A170F9">
        <w:t>(Section CB</w:t>
      </w:r>
      <w:r w:rsidR="00634114" w:rsidRPr="00A170F9">
        <w:t xml:space="preserve"> </w:t>
      </w:r>
      <w:r w:rsidRPr="00A170F9">
        <w:t>6A)</w:t>
      </w:r>
    </w:p>
    <w:p w:rsidR="000D1F56" w:rsidRPr="00A170F9" w:rsidRDefault="000D1F56" w:rsidP="007B63EE"/>
    <w:p w:rsidR="00700D9A" w:rsidRPr="00A170F9" w:rsidRDefault="00F01CC4" w:rsidP="007B63EE">
      <w:r w:rsidRPr="00A170F9">
        <w:t xml:space="preserve">Under the bright-line test </w:t>
      </w:r>
      <w:r w:rsidR="003B640E" w:rsidRPr="00A170F9">
        <w:t>any gain</w:t>
      </w:r>
      <w:r w:rsidRPr="00A170F9">
        <w:t xml:space="preserve"> a person derives from disposing of residential land is income of the person if </w:t>
      </w:r>
      <w:r w:rsidR="003B640E" w:rsidRPr="00A170F9">
        <w:t xml:space="preserve">the property </w:t>
      </w:r>
      <w:r w:rsidRPr="00A170F9">
        <w:t>is disposed of within two years of acquisition.</w:t>
      </w:r>
    </w:p>
    <w:p w:rsidR="00F01CC4" w:rsidRPr="00A170F9" w:rsidRDefault="00F01CC4" w:rsidP="007B63EE"/>
    <w:p w:rsidR="00F01CC4" w:rsidRPr="00A170F9" w:rsidRDefault="00F01CC4" w:rsidP="007B63EE">
      <w:r w:rsidRPr="00A170F9">
        <w:t>The start and end date for the purposes of this two year period are specifically defined for the purposes of the bright-line test.</w:t>
      </w:r>
      <w:r w:rsidR="009965D5" w:rsidRPr="00A170F9">
        <w:t xml:space="preserve"> </w:t>
      </w:r>
      <w:r w:rsidRPr="00A170F9">
        <w:t xml:space="preserve"> </w:t>
      </w:r>
      <w:r w:rsidR="003B640E" w:rsidRPr="00A170F9">
        <w:t>S</w:t>
      </w:r>
      <w:r w:rsidRPr="00A170F9">
        <w:t>tart and end date</w:t>
      </w:r>
      <w:r w:rsidR="003B640E" w:rsidRPr="00A170F9">
        <w:t>s for different transactions</w:t>
      </w:r>
      <w:r w:rsidRPr="00A170F9">
        <w:t xml:space="preserve"> may differ depending on the nature of the transaction.</w:t>
      </w:r>
    </w:p>
    <w:p w:rsidR="00700D9A" w:rsidRPr="00A170F9" w:rsidRDefault="00700D9A" w:rsidP="00700D9A"/>
    <w:p w:rsidR="00700D9A" w:rsidRPr="00A170F9" w:rsidRDefault="00F01CC4" w:rsidP="009C77BC">
      <w:pPr>
        <w:pStyle w:val="Heading3"/>
      </w:pPr>
      <w:r w:rsidRPr="00A170F9">
        <w:t>Standard sales of land</w:t>
      </w:r>
    </w:p>
    <w:p w:rsidR="000B31B8" w:rsidRPr="00A170F9" w:rsidRDefault="000B31B8" w:rsidP="00EF15BF"/>
    <w:p w:rsidR="00EF15BF" w:rsidRPr="00A170F9" w:rsidRDefault="00EF15BF" w:rsidP="00EF15BF">
      <w:r w:rsidRPr="00A170F9">
        <w:t>There are four steps in the land sale process of re</w:t>
      </w:r>
      <w:r w:rsidR="000B31B8" w:rsidRPr="00A170F9">
        <w:t>levance to the bright-line test</w:t>
      </w:r>
      <w:r w:rsidRPr="00A170F9">
        <w:t>:</w:t>
      </w:r>
    </w:p>
    <w:p w:rsidR="00F01CC4" w:rsidRPr="00A170F9" w:rsidRDefault="00F01CC4" w:rsidP="00F01CC4">
      <w:pPr>
        <w:rPr>
          <w:szCs w:val="24"/>
        </w:rPr>
      </w:pPr>
    </w:p>
    <w:p w:rsidR="000B31B8" w:rsidRPr="00A170F9" w:rsidRDefault="000B31B8" w:rsidP="000B31B8">
      <w:pPr>
        <w:jc w:val="center"/>
      </w:pPr>
      <w:r w:rsidRPr="00A170F9">
        <w:rPr>
          <w:noProof/>
          <w:lang w:eastAsia="en-NZ"/>
        </w:rPr>
        <w:drawing>
          <wp:inline distT="0" distB="0" distL="0" distR="0" wp14:anchorId="43BA018D" wp14:editId="51DA49F9">
            <wp:extent cx="5191125" cy="79057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790575"/>
                    </a:xfrm>
                    <a:prstGeom prst="rect">
                      <a:avLst/>
                    </a:prstGeom>
                    <a:noFill/>
                    <a:ln>
                      <a:noFill/>
                    </a:ln>
                  </pic:spPr>
                </pic:pic>
              </a:graphicData>
            </a:graphic>
          </wp:inline>
        </w:drawing>
      </w:r>
    </w:p>
    <w:p w:rsidR="000D1F56" w:rsidRPr="00A170F9" w:rsidRDefault="000D1F56">
      <w:pPr>
        <w:jc w:val="left"/>
      </w:pPr>
      <w:r w:rsidRPr="00A170F9">
        <w:br w:type="page"/>
      </w:r>
    </w:p>
    <w:p w:rsidR="00F01CC4" w:rsidRPr="00A170F9" w:rsidRDefault="00F01CC4" w:rsidP="00F01CC4">
      <w:r w:rsidRPr="00A170F9">
        <w:lastRenderedPageBreak/>
        <w:t xml:space="preserve">For standard sales of land, the start date for the bright-line period is the date the transfer of the land is registered to the person under the Land Transfer Act 1952. </w:t>
      </w:r>
      <w:r w:rsidR="009965D5" w:rsidRPr="00A170F9">
        <w:t xml:space="preserve"> </w:t>
      </w:r>
      <w:r w:rsidRPr="00A170F9">
        <w:t>The end date is the date that a person enters into an agreement to dispose of the land.</w:t>
      </w:r>
    </w:p>
    <w:p w:rsidR="0021792E" w:rsidRPr="00A170F9" w:rsidRDefault="0021792E" w:rsidP="00F01CC4"/>
    <w:p w:rsidR="0021792E" w:rsidRPr="00A170F9" w:rsidRDefault="0021792E" w:rsidP="00F01CC4">
      <w:r w:rsidRPr="00A170F9">
        <w:t>There are a number of situations when land is acquired and disposed of that do not follow the standard land</w:t>
      </w:r>
      <w:r w:rsidR="00C13571" w:rsidRPr="00A170F9">
        <w:t xml:space="preserve"> </w:t>
      </w:r>
      <w:r w:rsidRPr="00A170F9">
        <w:t xml:space="preserve">sale process. </w:t>
      </w:r>
      <w:r w:rsidR="009965D5" w:rsidRPr="00A170F9">
        <w:t xml:space="preserve"> </w:t>
      </w:r>
      <w:r w:rsidRPr="00A170F9">
        <w:t>For these situations, there are separate rules for when the bright-line period starts and ends.</w:t>
      </w:r>
    </w:p>
    <w:p w:rsidR="0021792E" w:rsidRPr="00A170F9" w:rsidRDefault="0021792E" w:rsidP="00F01CC4"/>
    <w:p w:rsidR="0021792E" w:rsidRPr="00A170F9" w:rsidRDefault="0021792E" w:rsidP="00376839">
      <w:pPr>
        <w:pStyle w:val="Heading3"/>
      </w:pPr>
      <w:r w:rsidRPr="00A170F9">
        <w:t>Start dates</w:t>
      </w:r>
    </w:p>
    <w:p w:rsidR="0021792E" w:rsidRPr="00A170F9" w:rsidRDefault="0021792E" w:rsidP="00F01CC4"/>
    <w:tbl>
      <w:tblPr>
        <w:tblStyle w:val="TableGrid"/>
        <w:tblW w:w="0" w:type="auto"/>
        <w:tblCellMar>
          <w:top w:w="57" w:type="dxa"/>
          <w:bottom w:w="57" w:type="dxa"/>
        </w:tblCellMar>
        <w:tblLook w:val="04A0" w:firstRow="1" w:lastRow="0" w:firstColumn="1" w:lastColumn="0" w:noHBand="0" w:noVBand="1"/>
      </w:tblPr>
      <w:tblGrid>
        <w:gridCol w:w="4621"/>
        <w:gridCol w:w="4621"/>
      </w:tblGrid>
      <w:tr w:rsidR="0021792E" w:rsidRPr="00A170F9" w:rsidTr="004C2030">
        <w:trPr>
          <w:trHeight w:val="284"/>
        </w:trPr>
        <w:tc>
          <w:tcPr>
            <w:tcW w:w="4621" w:type="dxa"/>
          </w:tcPr>
          <w:p w:rsidR="0021792E" w:rsidRPr="00A170F9" w:rsidRDefault="0021792E" w:rsidP="00F01CC4">
            <w:pPr>
              <w:rPr>
                <w:b/>
                <w:sz w:val="20"/>
                <w:szCs w:val="20"/>
              </w:rPr>
            </w:pPr>
            <w:r w:rsidRPr="00A170F9">
              <w:rPr>
                <w:b/>
                <w:sz w:val="20"/>
                <w:szCs w:val="20"/>
              </w:rPr>
              <w:t>Type of acquisition</w:t>
            </w:r>
          </w:p>
        </w:tc>
        <w:tc>
          <w:tcPr>
            <w:tcW w:w="4621" w:type="dxa"/>
          </w:tcPr>
          <w:p w:rsidR="0021792E" w:rsidRPr="00A170F9" w:rsidRDefault="0021792E" w:rsidP="00F01CC4">
            <w:pPr>
              <w:rPr>
                <w:b/>
                <w:sz w:val="20"/>
                <w:szCs w:val="20"/>
              </w:rPr>
            </w:pPr>
            <w:r w:rsidRPr="00A170F9">
              <w:rPr>
                <w:b/>
                <w:sz w:val="20"/>
                <w:szCs w:val="20"/>
              </w:rPr>
              <w:t>Start date of bright-line test</w:t>
            </w:r>
          </w:p>
        </w:tc>
      </w:tr>
      <w:tr w:rsidR="0021792E" w:rsidRPr="00A170F9" w:rsidTr="004C2030">
        <w:trPr>
          <w:trHeight w:val="284"/>
        </w:trPr>
        <w:tc>
          <w:tcPr>
            <w:tcW w:w="4621" w:type="dxa"/>
          </w:tcPr>
          <w:p w:rsidR="0021792E" w:rsidRPr="00A170F9" w:rsidRDefault="0021792E" w:rsidP="00F01CC4">
            <w:pPr>
              <w:rPr>
                <w:sz w:val="20"/>
                <w:szCs w:val="20"/>
              </w:rPr>
            </w:pPr>
            <w:r w:rsidRPr="00A170F9">
              <w:rPr>
                <w:sz w:val="20"/>
                <w:szCs w:val="20"/>
              </w:rPr>
              <w:t>Standard purchase of land</w:t>
            </w:r>
          </w:p>
        </w:tc>
        <w:tc>
          <w:tcPr>
            <w:tcW w:w="4621" w:type="dxa"/>
          </w:tcPr>
          <w:p w:rsidR="0021792E" w:rsidRPr="00A170F9" w:rsidRDefault="0021792E" w:rsidP="00F01CC4">
            <w:pPr>
              <w:rPr>
                <w:sz w:val="20"/>
                <w:szCs w:val="20"/>
              </w:rPr>
            </w:pPr>
            <w:r w:rsidRPr="00A170F9">
              <w:rPr>
                <w:sz w:val="20"/>
                <w:szCs w:val="20"/>
              </w:rPr>
              <w:t>Registration</w:t>
            </w:r>
          </w:p>
        </w:tc>
      </w:tr>
      <w:tr w:rsidR="0021792E" w:rsidRPr="00A170F9" w:rsidTr="004C2030">
        <w:trPr>
          <w:trHeight w:val="284"/>
        </w:trPr>
        <w:tc>
          <w:tcPr>
            <w:tcW w:w="4621" w:type="dxa"/>
          </w:tcPr>
          <w:p w:rsidR="0021792E" w:rsidRPr="00A170F9" w:rsidRDefault="0021792E" w:rsidP="00F01CC4">
            <w:pPr>
              <w:rPr>
                <w:sz w:val="20"/>
                <w:szCs w:val="20"/>
              </w:rPr>
            </w:pPr>
            <w:r w:rsidRPr="00A170F9">
              <w:rPr>
                <w:sz w:val="20"/>
                <w:szCs w:val="20"/>
              </w:rPr>
              <w:t>Sales where there is no registration of title</w:t>
            </w:r>
          </w:p>
        </w:tc>
        <w:tc>
          <w:tcPr>
            <w:tcW w:w="4621" w:type="dxa"/>
          </w:tcPr>
          <w:p w:rsidR="0021792E" w:rsidRPr="00A170F9" w:rsidRDefault="0021792E" w:rsidP="00F01CC4">
            <w:pPr>
              <w:rPr>
                <w:sz w:val="20"/>
                <w:szCs w:val="20"/>
              </w:rPr>
            </w:pPr>
            <w:r w:rsidRPr="00A170F9">
              <w:rPr>
                <w:sz w:val="20"/>
                <w:szCs w:val="20"/>
              </w:rPr>
              <w:t>Latest date property acquired (according to ordinary rules)</w:t>
            </w:r>
          </w:p>
        </w:tc>
      </w:tr>
      <w:tr w:rsidR="00855B90" w:rsidRPr="00A170F9" w:rsidTr="004C2030">
        <w:trPr>
          <w:trHeight w:val="284"/>
        </w:trPr>
        <w:tc>
          <w:tcPr>
            <w:tcW w:w="4621" w:type="dxa"/>
          </w:tcPr>
          <w:p w:rsidR="00855B90" w:rsidRPr="00A170F9" w:rsidRDefault="00855B90" w:rsidP="00C65B49">
            <w:pPr>
              <w:rPr>
                <w:sz w:val="20"/>
                <w:szCs w:val="20"/>
              </w:rPr>
            </w:pPr>
            <w:r w:rsidRPr="00A170F9">
              <w:rPr>
                <w:sz w:val="20"/>
                <w:szCs w:val="20"/>
              </w:rPr>
              <w:t>Sales “off the plan” (</w:t>
            </w:r>
            <w:r w:rsidR="00C65B49" w:rsidRPr="00A170F9">
              <w:rPr>
                <w:sz w:val="20"/>
                <w:szCs w:val="20"/>
              </w:rPr>
              <w:t>as outlined in section below</w:t>
            </w:r>
            <w:r w:rsidRPr="00A170F9">
              <w:rPr>
                <w:sz w:val="20"/>
                <w:szCs w:val="20"/>
              </w:rPr>
              <w:t>)</w:t>
            </w:r>
          </w:p>
        </w:tc>
        <w:tc>
          <w:tcPr>
            <w:tcW w:w="4621" w:type="dxa"/>
          </w:tcPr>
          <w:p w:rsidR="00855B90" w:rsidRPr="00A170F9" w:rsidRDefault="00855B90" w:rsidP="00FC3424">
            <w:pPr>
              <w:rPr>
                <w:sz w:val="20"/>
                <w:szCs w:val="20"/>
              </w:rPr>
            </w:pPr>
            <w:r w:rsidRPr="00A170F9">
              <w:rPr>
                <w:sz w:val="20"/>
                <w:szCs w:val="20"/>
              </w:rPr>
              <w:t>Date of entry into a contract to purchase</w:t>
            </w:r>
          </w:p>
        </w:tc>
      </w:tr>
      <w:tr w:rsidR="00855B90" w:rsidRPr="00A170F9" w:rsidTr="004C2030">
        <w:trPr>
          <w:trHeight w:val="284"/>
        </w:trPr>
        <w:tc>
          <w:tcPr>
            <w:tcW w:w="4621" w:type="dxa"/>
          </w:tcPr>
          <w:p w:rsidR="00855B90" w:rsidRPr="00A170F9" w:rsidRDefault="00855B90" w:rsidP="00F01CC4">
            <w:pPr>
              <w:rPr>
                <w:sz w:val="20"/>
                <w:szCs w:val="20"/>
              </w:rPr>
            </w:pPr>
            <w:r w:rsidRPr="00A170F9">
              <w:rPr>
                <w:sz w:val="20"/>
                <w:szCs w:val="20"/>
              </w:rPr>
              <w:t>Subdivided land</w:t>
            </w:r>
          </w:p>
        </w:tc>
        <w:tc>
          <w:tcPr>
            <w:tcW w:w="4621" w:type="dxa"/>
          </w:tcPr>
          <w:p w:rsidR="00855B90" w:rsidRPr="00A170F9" w:rsidRDefault="00855B90" w:rsidP="00F01CC4">
            <w:pPr>
              <w:rPr>
                <w:sz w:val="20"/>
                <w:szCs w:val="20"/>
              </w:rPr>
            </w:pPr>
            <w:r w:rsidRPr="00A170F9">
              <w:rPr>
                <w:sz w:val="20"/>
                <w:szCs w:val="20"/>
              </w:rPr>
              <w:t>The original date of registration for the undivided land</w:t>
            </w:r>
          </w:p>
        </w:tc>
      </w:tr>
      <w:tr w:rsidR="00855B90" w:rsidRPr="00A170F9" w:rsidTr="004C2030">
        <w:trPr>
          <w:trHeight w:val="284"/>
        </w:trPr>
        <w:tc>
          <w:tcPr>
            <w:tcW w:w="4621" w:type="dxa"/>
          </w:tcPr>
          <w:p w:rsidR="00855B90" w:rsidRPr="00A170F9" w:rsidRDefault="00855B90" w:rsidP="00A120A5">
            <w:pPr>
              <w:rPr>
                <w:sz w:val="20"/>
                <w:szCs w:val="20"/>
              </w:rPr>
            </w:pPr>
            <w:r w:rsidRPr="00A170F9">
              <w:rPr>
                <w:sz w:val="20"/>
                <w:szCs w:val="20"/>
              </w:rPr>
              <w:t>Converting a lease with a perpetual right of renewal into freehold title</w:t>
            </w:r>
          </w:p>
        </w:tc>
        <w:tc>
          <w:tcPr>
            <w:tcW w:w="4621" w:type="dxa"/>
          </w:tcPr>
          <w:p w:rsidR="00855B90" w:rsidRPr="00A170F9" w:rsidRDefault="00855B90" w:rsidP="004C2030">
            <w:pPr>
              <w:rPr>
                <w:sz w:val="20"/>
                <w:szCs w:val="20"/>
              </w:rPr>
            </w:pPr>
            <w:r w:rsidRPr="00A170F9">
              <w:rPr>
                <w:sz w:val="20"/>
                <w:szCs w:val="20"/>
              </w:rPr>
              <w:t>Date the lease with a perpetual right of renewal</w:t>
            </w:r>
            <w:r w:rsidR="004C2030" w:rsidRPr="00A170F9">
              <w:rPr>
                <w:sz w:val="20"/>
                <w:szCs w:val="20"/>
              </w:rPr>
              <w:t xml:space="preserve"> is acquired</w:t>
            </w:r>
          </w:p>
        </w:tc>
      </w:tr>
    </w:tbl>
    <w:p w:rsidR="00855B90" w:rsidRPr="00A170F9" w:rsidRDefault="00855B90" w:rsidP="005746B7"/>
    <w:p w:rsidR="00855B90" w:rsidRPr="00A170F9" w:rsidRDefault="00855B90" w:rsidP="00376839">
      <w:pPr>
        <w:pStyle w:val="Heading4"/>
      </w:pPr>
      <w:r w:rsidRPr="00A170F9">
        <w:t>Sale where there is no registration of title</w:t>
      </w:r>
    </w:p>
    <w:p w:rsidR="00855B90" w:rsidRPr="00A170F9" w:rsidRDefault="00855B90" w:rsidP="005746B7"/>
    <w:p w:rsidR="00855B90" w:rsidRPr="00A170F9" w:rsidRDefault="00FC3424" w:rsidP="005746B7">
      <w:r w:rsidRPr="00A170F9">
        <w:t xml:space="preserve">Where there is registration of title, generally the start date for the bright-line is the date of registration. </w:t>
      </w:r>
      <w:r w:rsidR="009965D5" w:rsidRPr="00A170F9">
        <w:t xml:space="preserve"> </w:t>
      </w:r>
      <w:r w:rsidRPr="00A170F9">
        <w:t>However, there are situations where there is no registration of title.</w:t>
      </w:r>
      <w:r w:rsidR="009965D5" w:rsidRPr="00A170F9">
        <w:t xml:space="preserve"> </w:t>
      </w:r>
      <w:r w:rsidRPr="00A170F9">
        <w:t xml:space="preserve"> In these circumstances</w:t>
      </w:r>
      <w:r w:rsidR="00C65B49" w:rsidRPr="00A170F9">
        <w:t>,</w:t>
      </w:r>
      <w:r w:rsidRPr="00A170F9">
        <w:t xml:space="preserve"> the start date for the bright-line test </w:t>
      </w:r>
      <w:r w:rsidR="00855B90" w:rsidRPr="00A170F9">
        <w:t>is the latest date the person acquired the land under ordinary rules.</w:t>
      </w:r>
    </w:p>
    <w:p w:rsidR="00855B90" w:rsidRPr="00A170F9" w:rsidRDefault="00855B90" w:rsidP="005746B7"/>
    <w:p w:rsidR="00855B90" w:rsidRPr="00A170F9" w:rsidRDefault="00855B90" w:rsidP="005746B7">
      <w:r w:rsidRPr="00A170F9">
        <w:t xml:space="preserve">For a sale of a contract to buy land, this will be the date that a person enters into a contract to purchase the property. </w:t>
      </w:r>
      <w:r w:rsidR="009965D5" w:rsidRPr="00A170F9">
        <w:t xml:space="preserve"> </w:t>
      </w:r>
      <w:r w:rsidRPr="00A170F9">
        <w:t>This means that for</w:t>
      </w:r>
      <w:r w:rsidR="00C65B49" w:rsidRPr="00A170F9">
        <w:t xml:space="preserve"> a sale</w:t>
      </w:r>
      <w:r w:rsidRPr="00A170F9">
        <w:t xml:space="preserve"> of</w:t>
      </w:r>
      <w:r w:rsidR="00C65B49" w:rsidRPr="00A170F9">
        <w:t xml:space="preserve"> a contract</w:t>
      </w:r>
      <w:r w:rsidRPr="00A170F9">
        <w:t xml:space="preserve"> to buy, the bright-line period runs from the date that a person enters into a contract to purchase the land to the date that a person enters into a contract to sell the land.</w:t>
      </w:r>
    </w:p>
    <w:p w:rsidR="00855B90" w:rsidRPr="00A170F9" w:rsidRDefault="00855B90" w:rsidP="005746B7"/>
    <w:p w:rsidR="00855B90" w:rsidRPr="00A170F9" w:rsidRDefault="000B31B8" w:rsidP="000B31B8">
      <w:pPr>
        <w:jc w:val="center"/>
      </w:pPr>
      <w:r w:rsidRPr="00A170F9">
        <w:rPr>
          <w:noProof/>
          <w:lang w:eastAsia="en-NZ"/>
        </w:rPr>
        <w:drawing>
          <wp:inline distT="0" distB="0" distL="0" distR="0" wp14:anchorId="3E54C7CC" wp14:editId="5581BDFE">
            <wp:extent cx="5076825" cy="1228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1228725"/>
                    </a:xfrm>
                    <a:prstGeom prst="rect">
                      <a:avLst/>
                    </a:prstGeom>
                    <a:noFill/>
                    <a:ln>
                      <a:noFill/>
                    </a:ln>
                  </pic:spPr>
                </pic:pic>
              </a:graphicData>
            </a:graphic>
          </wp:inline>
        </w:drawing>
      </w:r>
    </w:p>
    <w:p w:rsidR="00FC3424" w:rsidRPr="00A170F9" w:rsidRDefault="00FC3424" w:rsidP="005746B7"/>
    <w:p w:rsidR="000D1F56" w:rsidRPr="00A170F9" w:rsidRDefault="000D1F56">
      <w:pPr>
        <w:jc w:val="left"/>
        <w:rPr>
          <w:i/>
        </w:rPr>
      </w:pPr>
      <w:r w:rsidRPr="00A170F9">
        <w:rPr>
          <w:i/>
        </w:rPr>
        <w:br w:type="page"/>
      </w:r>
    </w:p>
    <w:p w:rsidR="00FC3424" w:rsidRPr="00A170F9" w:rsidRDefault="00FC3424" w:rsidP="00376839">
      <w:pPr>
        <w:pStyle w:val="Heading4"/>
      </w:pPr>
      <w:r w:rsidRPr="00A170F9">
        <w:lastRenderedPageBreak/>
        <w:t>Earlier start dates than given under standard rules</w:t>
      </w:r>
    </w:p>
    <w:p w:rsidR="00FC3424" w:rsidRPr="00A170F9" w:rsidRDefault="00FC3424" w:rsidP="005746B7"/>
    <w:p w:rsidR="00FC3424" w:rsidRPr="00A170F9" w:rsidRDefault="00FC3424" w:rsidP="005746B7">
      <w:r w:rsidRPr="00A170F9">
        <w:t xml:space="preserve">There are three specific scenarios where a person is entitled to an earlier start date than would be the case under the two rules outlined above. </w:t>
      </w:r>
      <w:r w:rsidR="009965D5" w:rsidRPr="00A170F9">
        <w:t xml:space="preserve"> </w:t>
      </w:r>
      <w:r w:rsidRPr="00A170F9">
        <w:t>These are for:</w:t>
      </w:r>
    </w:p>
    <w:p w:rsidR="00505A37" w:rsidRPr="00A170F9" w:rsidRDefault="00505A37" w:rsidP="005746B7"/>
    <w:p w:rsidR="00FC3424" w:rsidRPr="00A170F9" w:rsidRDefault="00FF7803" w:rsidP="00D05403">
      <w:pPr>
        <w:pStyle w:val="Bullets"/>
      </w:pPr>
      <w:r w:rsidRPr="00A170F9">
        <w:t>s</w:t>
      </w:r>
      <w:r w:rsidR="00FC3424" w:rsidRPr="00A170F9">
        <w:t>ales “off the plan”</w:t>
      </w:r>
      <w:r w:rsidRPr="00A170F9">
        <w:t>;</w:t>
      </w:r>
    </w:p>
    <w:p w:rsidR="00FC3424" w:rsidRPr="00A170F9" w:rsidRDefault="00FF7803" w:rsidP="00D05403">
      <w:pPr>
        <w:pStyle w:val="Bullets"/>
      </w:pPr>
      <w:r w:rsidRPr="00A170F9">
        <w:t>s</w:t>
      </w:r>
      <w:r w:rsidR="00FC3424" w:rsidRPr="00A170F9">
        <w:t>ubdivided land</w:t>
      </w:r>
      <w:r w:rsidRPr="00A170F9">
        <w:t>; and</w:t>
      </w:r>
    </w:p>
    <w:p w:rsidR="00FC3424" w:rsidRPr="00A170F9" w:rsidRDefault="00FF7803" w:rsidP="00D05403">
      <w:pPr>
        <w:pStyle w:val="Bullets"/>
        <w:spacing w:after="0"/>
      </w:pPr>
      <w:r w:rsidRPr="00A170F9">
        <w:t>l</w:t>
      </w:r>
      <w:r w:rsidR="00FC3424" w:rsidRPr="00A170F9">
        <w:t>eases with a perpetual right of renewal converted into freehold title</w:t>
      </w:r>
      <w:r w:rsidRPr="00A170F9">
        <w:t>.</w:t>
      </w:r>
    </w:p>
    <w:p w:rsidR="00FC3424" w:rsidRPr="00A170F9" w:rsidRDefault="00FC3424" w:rsidP="005746B7"/>
    <w:p w:rsidR="00FC3424" w:rsidRPr="00A170F9" w:rsidRDefault="00FC3424" w:rsidP="00376839">
      <w:pPr>
        <w:pStyle w:val="Heading4"/>
      </w:pPr>
      <w:r w:rsidRPr="00A170F9">
        <w:t>Sales “off the plan”</w:t>
      </w:r>
    </w:p>
    <w:p w:rsidR="00FC3424" w:rsidRPr="00A170F9" w:rsidRDefault="00FC3424" w:rsidP="00FC3424"/>
    <w:p w:rsidR="00FC3424" w:rsidRPr="00A170F9" w:rsidRDefault="00FC3424" w:rsidP="00FC3424">
      <w:r w:rsidRPr="00A170F9">
        <w:t>A sale</w:t>
      </w:r>
      <w:r w:rsidR="000D1F56" w:rsidRPr="00A170F9">
        <w:t xml:space="preserve"> </w:t>
      </w:r>
      <w:r w:rsidRPr="00A170F9">
        <w:t xml:space="preserve">“off the plan” </w:t>
      </w:r>
      <w:r w:rsidR="00E06A54" w:rsidRPr="00A170F9">
        <w:t xml:space="preserve">for the bright-line test </w:t>
      </w:r>
      <w:r w:rsidRPr="00A170F9">
        <w:t>is where a person enters into a contract to acquire a parcel of land</w:t>
      </w:r>
      <w:r w:rsidR="00E06A54" w:rsidRPr="00A170F9">
        <w:t xml:space="preserve"> that is</w:t>
      </w:r>
      <w:r w:rsidRPr="00A170F9">
        <w:t xml:space="preserve"> </w:t>
      </w:r>
      <w:r w:rsidR="00A763CD" w:rsidRPr="00A170F9">
        <w:t xml:space="preserve">being developed or subdivided. </w:t>
      </w:r>
      <w:r w:rsidR="00E06A54" w:rsidRPr="00A170F9">
        <w:t xml:space="preserve"> At the time the person enters into the contract, the title for the land they are agreeing to purchase does not yet exist (as the land needs to be subdivided or developed before separate title can be issued). </w:t>
      </w:r>
      <w:r w:rsidR="009965D5" w:rsidRPr="00A170F9">
        <w:t xml:space="preserve"> </w:t>
      </w:r>
      <w:r w:rsidR="00E06A54" w:rsidRPr="00A170F9">
        <w:t>The person is agreeing to acquire registered title in the land once a separate title exists.</w:t>
      </w:r>
    </w:p>
    <w:p w:rsidR="00A763CD" w:rsidRPr="00A170F9" w:rsidRDefault="00A763CD" w:rsidP="00FC3424"/>
    <w:p w:rsidR="00A763CD" w:rsidRPr="00A170F9" w:rsidRDefault="00A763CD" w:rsidP="00FC3424">
      <w:r w:rsidRPr="00A170F9">
        <w:t>In this situation, the person may use an earlier start date tha</w:t>
      </w:r>
      <w:r w:rsidR="004B6C8B" w:rsidRPr="00A170F9">
        <w:t>n</w:t>
      </w:r>
      <w:r w:rsidRPr="00A170F9">
        <w:t xml:space="preserve"> would be the case under the standard rule.</w:t>
      </w:r>
      <w:r w:rsidR="009965D5" w:rsidRPr="00A170F9">
        <w:t xml:space="preserve"> </w:t>
      </w:r>
      <w:r w:rsidRPr="00A170F9">
        <w:t xml:space="preserve"> </w:t>
      </w:r>
      <w:r w:rsidR="00E06A54" w:rsidRPr="00A170F9">
        <w:t>T</w:t>
      </w:r>
      <w:r w:rsidRPr="00A170F9">
        <w:t>he start date</w:t>
      </w:r>
      <w:r w:rsidR="00E06A54" w:rsidRPr="00A170F9">
        <w:t xml:space="preserve"> in this situation</w:t>
      </w:r>
      <w:r w:rsidRPr="00A170F9">
        <w:t xml:space="preserve"> is the date the person enters into an agreement for</w:t>
      </w:r>
      <w:r w:rsidR="00C65B49" w:rsidRPr="00A170F9">
        <w:t xml:space="preserve"> the</w:t>
      </w:r>
      <w:r w:rsidRPr="00A170F9">
        <w:t xml:space="preserve"> sale and purchase of the land.</w:t>
      </w:r>
    </w:p>
    <w:p w:rsidR="00FC3424" w:rsidRPr="00A170F9" w:rsidRDefault="00FC3424" w:rsidP="00FC3424"/>
    <w:p w:rsidR="00FC3424" w:rsidRPr="00A170F9" w:rsidRDefault="00FC3424" w:rsidP="000D1F56">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w:t>
      </w:r>
      <w:r w:rsidR="000D1F56" w:rsidRPr="00A170F9">
        <w:rPr>
          <w:b/>
          <w:sz w:val="20"/>
          <w:szCs w:val="20"/>
        </w:rPr>
        <w:t xml:space="preserve">: </w:t>
      </w:r>
      <w:r w:rsidRPr="00A170F9">
        <w:rPr>
          <w:b/>
          <w:sz w:val="20"/>
          <w:szCs w:val="20"/>
        </w:rPr>
        <w:t>Sale “off the plan</w:t>
      </w:r>
      <w:r w:rsidR="00FF7803" w:rsidRPr="00A170F9">
        <w:rPr>
          <w:b/>
          <w:sz w:val="20"/>
          <w:szCs w:val="20"/>
        </w:rPr>
        <w:t>”</w:t>
      </w:r>
    </w:p>
    <w:p w:rsidR="00FC3424" w:rsidRPr="00A170F9" w:rsidRDefault="00FC3424" w:rsidP="000D1F56">
      <w:pPr>
        <w:pBdr>
          <w:top w:val="single" w:sz="4" w:space="10" w:color="auto"/>
          <w:left w:val="single" w:sz="4" w:space="10" w:color="auto"/>
          <w:bottom w:val="single" w:sz="4" w:space="10" w:color="auto"/>
          <w:right w:val="single" w:sz="4" w:space="10" w:color="auto"/>
        </w:pBdr>
        <w:rPr>
          <w:sz w:val="20"/>
          <w:szCs w:val="20"/>
        </w:rPr>
      </w:pPr>
    </w:p>
    <w:p w:rsidR="000B31B8" w:rsidRPr="00A170F9" w:rsidRDefault="000B31B8" w:rsidP="000B31B8">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6D628DCA" wp14:editId="78E67A63">
            <wp:extent cx="5200650" cy="9429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942975"/>
                    </a:xfrm>
                    <a:prstGeom prst="rect">
                      <a:avLst/>
                    </a:prstGeom>
                    <a:noFill/>
                    <a:ln>
                      <a:noFill/>
                    </a:ln>
                  </pic:spPr>
                </pic:pic>
              </a:graphicData>
            </a:graphic>
          </wp:inline>
        </w:drawing>
      </w:r>
    </w:p>
    <w:p w:rsidR="000B31B8" w:rsidRPr="00A170F9" w:rsidRDefault="000B31B8" w:rsidP="000D1F56">
      <w:pPr>
        <w:pBdr>
          <w:top w:val="single" w:sz="4" w:space="10" w:color="auto"/>
          <w:left w:val="single" w:sz="4" w:space="10" w:color="auto"/>
          <w:bottom w:val="single" w:sz="4" w:space="10" w:color="auto"/>
          <w:right w:val="single" w:sz="4" w:space="10" w:color="auto"/>
        </w:pBdr>
        <w:rPr>
          <w:sz w:val="20"/>
          <w:szCs w:val="20"/>
        </w:rPr>
      </w:pPr>
    </w:p>
    <w:p w:rsidR="00FC3424" w:rsidRPr="00A170F9" w:rsidRDefault="00017D2C" w:rsidP="000D1F56">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Denise</w:t>
      </w:r>
      <w:r w:rsidR="00FC3424" w:rsidRPr="00A170F9">
        <w:rPr>
          <w:sz w:val="20"/>
          <w:szCs w:val="20"/>
        </w:rPr>
        <w:t xml:space="preserve"> is not caught by the bright-line test as the start date for the bright-line is 1 July 2016 (</w:t>
      </w:r>
      <w:r w:rsidR="00C65B49" w:rsidRPr="00A170F9">
        <w:rPr>
          <w:sz w:val="20"/>
          <w:szCs w:val="20"/>
        </w:rPr>
        <w:t xml:space="preserve">the </w:t>
      </w:r>
      <w:r w:rsidR="00FC3424" w:rsidRPr="00A170F9">
        <w:rPr>
          <w:sz w:val="20"/>
          <w:szCs w:val="20"/>
        </w:rPr>
        <w:t>date</w:t>
      </w:r>
      <w:r w:rsidR="00C65B49" w:rsidRPr="00A170F9">
        <w:rPr>
          <w:sz w:val="20"/>
          <w:szCs w:val="20"/>
        </w:rPr>
        <w:t xml:space="preserve"> she</w:t>
      </w:r>
      <w:r w:rsidR="00FC3424" w:rsidRPr="00A170F9">
        <w:rPr>
          <w:sz w:val="20"/>
          <w:szCs w:val="20"/>
        </w:rPr>
        <w:t xml:space="preserve"> enter</w:t>
      </w:r>
      <w:r w:rsidR="00C65B49" w:rsidRPr="00A170F9">
        <w:rPr>
          <w:sz w:val="20"/>
          <w:szCs w:val="20"/>
        </w:rPr>
        <w:t>ed</w:t>
      </w:r>
      <w:r w:rsidR="00FC3424" w:rsidRPr="00A170F9">
        <w:rPr>
          <w:sz w:val="20"/>
          <w:szCs w:val="20"/>
        </w:rPr>
        <w:t xml:space="preserve"> into</w:t>
      </w:r>
      <w:r w:rsidR="00C65B49" w:rsidRPr="00A170F9">
        <w:rPr>
          <w:sz w:val="20"/>
          <w:szCs w:val="20"/>
        </w:rPr>
        <w:t xml:space="preserve"> a</w:t>
      </w:r>
      <w:r w:rsidR="00FC3424" w:rsidRPr="00A170F9">
        <w:rPr>
          <w:sz w:val="20"/>
          <w:szCs w:val="20"/>
        </w:rPr>
        <w:t xml:space="preserve"> contract to purchase “off the plan”) and the end date is 1 March 2019 (</w:t>
      </w:r>
      <w:r w:rsidR="00C65B49" w:rsidRPr="00A170F9">
        <w:rPr>
          <w:sz w:val="20"/>
          <w:szCs w:val="20"/>
        </w:rPr>
        <w:t xml:space="preserve">the </w:t>
      </w:r>
      <w:r w:rsidR="00FC3424" w:rsidRPr="00A170F9">
        <w:rPr>
          <w:sz w:val="20"/>
          <w:szCs w:val="20"/>
        </w:rPr>
        <w:t>date</w:t>
      </w:r>
      <w:r w:rsidR="00C65B49" w:rsidRPr="00A170F9">
        <w:rPr>
          <w:sz w:val="20"/>
          <w:szCs w:val="20"/>
        </w:rPr>
        <w:t xml:space="preserve"> she</w:t>
      </w:r>
      <w:r w:rsidR="00FC3424" w:rsidRPr="00A170F9">
        <w:rPr>
          <w:sz w:val="20"/>
          <w:szCs w:val="20"/>
        </w:rPr>
        <w:t xml:space="preserve"> enter</w:t>
      </w:r>
      <w:r w:rsidR="00C65B49" w:rsidRPr="00A170F9">
        <w:rPr>
          <w:sz w:val="20"/>
          <w:szCs w:val="20"/>
        </w:rPr>
        <w:t>ed into a</w:t>
      </w:r>
      <w:r w:rsidR="00FC3424" w:rsidRPr="00A170F9">
        <w:rPr>
          <w:sz w:val="20"/>
          <w:szCs w:val="20"/>
        </w:rPr>
        <w:t xml:space="preserve"> contract to sell).</w:t>
      </w:r>
    </w:p>
    <w:p w:rsidR="00FC3424" w:rsidRPr="00A170F9" w:rsidRDefault="00FC3424" w:rsidP="00FC3424"/>
    <w:p w:rsidR="00B6165D" w:rsidRPr="00A170F9" w:rsidRDefault="00B6165D">
      <w:pPr>
        <w:jc w:val="left"/>
        <w:rPr>
          <w:i/>
        </w:rPr>
      </w:pPr>
      <w:r w:rsidRPr="00A170F9">
        <w:rPr>
          <w:i/>
        </w:rPr>
        <w:br w:type="page"/>
      </w:r>
    </w:p>
    <w:p w:rsidR="00855B90" w:rsidRPr="00A170F9" w:rsidRDefault="00FC3424" w:rsidP="00376839">
      <w:pPr>
        <w:pStyle w:val="Heading4"/>
      </w:pPr>
      <w:r w:rsidRPr="00A170F9">
        <w:lastRenderedPageBreak/>
        <w:t>Subdivided land</w:t>
      </w:r>
    </w:p>
    <w:p w:rsidR="00FC3424" w:rsidRPr="00A170F9" w:rsidRDefault="00FC3424" w:rsidP="005746B7"/>
    <w:p w:rsidR="00FC3424" w:rsidRPr="00A170F9" w:rsidRDefault="00FC3424" w:rsidP="005746B7">
      <w:r w:rsidRPr="00A170F9">
        <w:t>The start date for the bright-line period when land is subdivided is the date the owner originally acquired the undivided land.</w:t>
      </w:r>
    </w:p>
    <w:p w:rsidR="00DB144E" w:rsidRPr="00A170F9" w:rsidRDefault="00DB144E" w:rsidP="005746B7"/>
    <w:p w:rsidR="00DB144E" w:rsidRPr="00A170F9" w:rsidRDefault="00DB144E"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Subdivision</w:t>
      </w:r>
    </w:p>
    <w:p w:rsidR="00FC3424" w:rsidRPr="00A170F9" w:rsidRDefault="00FC3424" w:rsidP="00B6165D">
      <w:pPr>
        <w:pBdr>
          <w:top w:val="single" w:sz="4" w:space="10" w:color="auto"/>
          <w:left w:val="single" w:sz="4" w:space="10" w:color="auto"/>
          <w:bottom w:val="single" w:sz="4" w:space="10" w:color="auto"/>
          <w:right w:val="single" w:sz="4" w:space="10" w:color="auto"/>
        </w:pBdr>
        <w:rPr>
          <w:sz w:val="20"/>
        </w:rPr>
      </w:pPr>
    </w:p>
    <w:p w:rsidR="000B31B8" w:rsidRPr="00A170F9" w:rsidRDefault="000B31B8" w:rsidP="000B31B8">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3CF2197B" wp14:editId="2EC864B8">
            <wp:extent cx="5448300" cy="942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942975"/>
                    </a:xfrm>
                    <a:prstGeom prst="rect">
                      <a:avLst/>
                    </a:prstGeom>
                    <a:noFill/>
                    <a:ln>
                      <a:noFill/>
                    </a:ln>
                  </pic:spPr>
                </pic:pic>
              </a:graphicData>
            </a:graphic>
          </wp:inline>
        </w:drawing>
      </w:r>
    </w:p>
    <w:p w:rsidR="000B31B8" w:rsidRPr="00A170F9" w:rsidRDefault="000B31B8" w:rsidP="00B6165D">
      <w:pPr>
        <w:pBdr>
          <w:top w:val="single" w:sz="4" w:space="10" w:color="auto"/>
          <w:left w:val="single" w:sz="4" w:space="10" w:color="auto"/>
          <w:bottom w:val="single" w:sz="4" w:space="10" w:color="auto"/>
          <w:right w:val="single" w:sz="4" w:space="10" w:color="auto"/>
        </w:pBdr>
        <w:rPr>
          <w:sz w:val="20"/>
          <w:szCs w:val="20"/>
        </w:rPr>
      </w:pPr>
    </w:p>
    <w:p w:rsidR="00DB144E" w:rsidRPr="00A170F9" w:rsidRDefault="00DB144E"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start date for the bright-line period is 1 May 2016 and the end date is 1 May 2022. </w:t>
      </w:r>
      <w:r w:rsidR="00C97B9B" w:rsidRPr="00A170F9">
        <w:rPr>
          <w:sz w:val="20"/>
          <w:szCs w:val="20"/>
        </w:rPr>
        <w:t xml:space="preserve"> </w:t>
      </w:r>
      <w:r w:rsidRPr="00A170F9">
        <w:rPr>
          <w:sz w:val="20"/>
          <w:szCs w:val="20"/>
        </w:rPr>
        <w:t>As a result, Bob’s sale of the second section to Carla is not covered by the bright-line test.</w:t>
      </w:r>
    </w:p>
    <w:p w:rsidR="00DB144E" w:rsidRPr="00A170F9" w:rsidRDefault="00DB144E" w:rsidP="005746B7"/>
    <w:p w:rsidR="00DB144E" w:rsidRPr="00A170F9" w:rsidRDefault="0060670E" w:rsidP="00376839">
      <w:pPr>
        <w:pStyle w:val="Heading4"/>
      </w:pPr>
      <w:r w:rsidRPr="00A170F9">
        <w:t>Conversion of a lease</w:t>
      </w:r>
      <w:r w:rsidR="00DB144E" w:rsidRPr="00A170F9">
        <w:t xml:space="preserve"> wi</w:t>
      </w:r>
      <w:r w:rsidRPr="00A170F9">
        <w:t>th a perpetual right of renewal into freehold title</w:t>
      </w:r>
    </w:p>
    <w:p w:rsidR="00807C56" w:rsidRPr="00A170F9" w:rsidRDefault="00807C56" w:rsidP="005746B7"/>
    <w:p w:rsidR="00853877" w:rsidRPr="00A170F9" w:rsidRDefault="00A5726C" w:rsidP="005746B7">
      <w:r w:rsidRPr="00A170F9">
        <w:t>W</w:t>
      </w:r>
      <w:r w:rsidR="00853877" w:rsidRPr="00A170F9">
        <w:t>hen a person</w:t>
      </w:r>
      <w:r w:rsidRPr="00A170F9">
        <w:t xml:space="preserve"> has a lease with a perpetual right of renewal which they then convert into freehold land</w:t>
      </w:r>
      <w:r w:rsidR="00BA02A7" w:rsidRPr="00A170F9">
        <w:t>,</w:t>
      </w:r>
      <w:r w:rsidRPr="00A170F9">
        <w:t xml:space="preserve"> </w:t>
      </w:r>
      <w:r w:rsidR="00853877" w:rsidRPr="00A170F9">
        <w:t>the start date for the bright-line</w:t>
      </w:r>
      <w:r w:rsidR="00C65B49" w:rsidRPr="00A170F9">
        <w:t xml:space="preserve"> period</w:t>
      </w:r>
      <w:r w:rsidR="00853877" w:rsidRPr="00A170F9">
        <w:t xml:space="preserve"> is the date the person is granted the lease.</w:t>
      </w:r>
      <w:r w:rsidR="009965D5" w:rsidRPr="00A170F9">
        <w:t xml:space="preserve"> </w:t>
      </w:r>
      <w:r w:rsidR="00807C56" w:rsidRPr="00A170F9">
        <w:t xml:space="preserve"> This is consistent with other tax provisions that treat a lease with a perpetual right of renewal similar to freehold estates.</w:t>
      </w:r>
    </w:p>
    <w:p w:rsidR="00807C56" w:rsidRPr="00A170F9" w:rsidRDefault="00807C56" w:rsidP="005746B7"/>
    <w:p w:rsidR="00807C56" w:rsidRPr="00A170F9" w:rsidRDefault="00807C56"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Lease with perpetual right of renewal</w:t>
      </w:r>
    </w:p>
    <w:p w:rsidR="000B31B8" w:rsidRPr="00A170F9" w:rsidRDefault="000B31B8" w:rsidP="00B6165D">
      <w:pPr>
        <w:pBdr>
          <w:top w:val="single" w:sz="4" w:space="10" w:color="auto"/>
          <w:left w:val="single" w:sz="4" w:space="10" w:color="auto"/>
          <w:bottom w:val="single" w:sz="4" w:space="10" w:color="auto"/>
          <w:right w:val="single" w:sz="4" w:space="10" w:color="auto"/>
        </w:pBdr>
        <w:rPr>
          <w:b/>
          <w:sz w:val="20"/>
        </w:rPr>
      </w:pPr>
    </w:p>
    <w:p w:rsidR="000B31B8" w:rsidRPr="00A170F9" w:rsidRDefault="000B31B8" w:rsidP="000B31B8">
      <w:pPr>
        <w:pBdr>
          <w:top w:val="single" w:sz="4" w:space="10" w:color="auto"/>
          <w:left w:val="single" w:sz="4" w:space="10" w:color="auto"/>
          <w:bottom w:val="single" w:sz="4" w:space="10" w:color="auto"/>
          <w:right w:val="single" w:sz="4" w:space="10" w:color="auto"/>
        </w:pBdr>
        <w:jc w:val="center"/>
        <w:rPr>
          <w:b/>
          <w:sz w:val="20"/>
        </w:rPr>
      </w:pPr>
      <w:r w:rsidRPr="00A170F9">
        <w:rPr>
          <w:b/>
          <w:noProof/>
          <w:sz w:val="20"/>
          <w:lang w:eastAsia="en-NZ"/>
        </w:rPr>
        <w:drawing>
          <wp:inline distT="0" distB="0" distL="0" distR="0" wp14:anchorId="58CCA2EF" wp14:editId="3D939E97">
            <wp:extent cx="4953000" cy="1095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1095375"/>
                    </a:xfrm>
                    <a:prstGeom prst="rect">
                      <a:avLst/>
                    </a:prstGeom>
                    <a:noFill/>
                    <a:ln>
                      <a:noFill/>
                    </a:ln>
                  </pic:spPr>
                </pic:pic>
              </a:graphicData>
            </a:graphic>
          </wp:inline>
        </w:drawing>
      </w:r>
    </w:p>
    <w:p w:rsidR="000B31B8" w:rsidRPr="00A170F9" w:rsidRDefault="000B31B8" w:rsidP="00B6165D">
      <w:pPr>
        <w:pBdr>
          <w:top w:val="single" w:sz="4" w:space="10" w:color="auto"/>
          <w:left w:val="single" w:sz="4" w:space="10" w:color="auto"/>
          <w:bottom w:val="single" w:sz="4" w:space="10" w:color="auto"/>
          <w:right w:val="single" w:sz="4" w:space="10" w:color="auto"/>
        </w:pBdr>
        <w:rPr>
          <w:b/>
          <w:sz w:val="20"/>
        </w:rPr>
      </w:pPr>
    </w:p>
    <w:p w:rsidR="004F21C6" w:rsidRPr="00A170F9" w:rsidRDefault="00807C56"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start date for </w:t>
      </w:r>
      <w:r w:rsidR="002C7D0E" w:rsidRPr="00A170F9">
        <w:rPr>
          <w:sz w:val="20"/>
          <w:szCs w:val="20"/>
        </w:rPr>
        <w:t>Kelly’s bright-line period</w:t>
      </w:r>
      <w:r w:rsidRPr="00A170F9">
        <w:rPr>
          <w:sz w:val="20"/>
          <w:szCs w:val="20"/>
        </w:rPr>
        <w:t xml:space="preserve"> is 1 July 2016 (</w:t>
      </w:r>
      <w:r w:rsidR="00591601" w:rsidRPr="00A170F9">
        <w:rPr>
          <w:sz w:val="20"/>
          <w:szCs w:val="20"/>
        </w:rPr>
        <w:t xml:space="preserve">the </w:t>
      </w:r>
      <w:r w:rsidRPr="00A170F9">
        <w:rPr>
          <w:sz w:val="20"/>
          <w:szCs w:val="20"/>
        </w:rPr>
        <w:t xml:space="preserve">date </w:t>
      </w:r>
      <w:r w:rsidR="00591601" w:rsidRPr="00A170F9">
        <w:rPr>
          <w:sz w:val="20"/>
          <w:szCs w:val="20"/>
        </w:rPr>
        <w:t xml:space="preserve">the </w:t>
      </w:r>
      <w:r w:rsidRPr="00A170F9">
        <w:rPr>
          <w:sz w:val="20"/>
          <w:szCs w:val="20"/>
        </w:rPr>
        <w:t>lease with perpetual right of renewal</w:t>
      </w:r>
      <w:r w:rsidR="00AE24CB" w:rsidRPr="00A170F9">
        <w:rPr>
          <w:sz w:val="20"/>
          <w:szCs w:val="20"/>
        </w:rPr>
        <w:t xml:space="preserve"> is granted</w:t>
      </w:r>
      <w:r w:rsidRPr="00A170F9">
        <w:rPr>
          <w:sz w:val="20"/>
          <w:szCs w:val="20"/>
        </w:rPr>
        <w:t>) and the end date is 1 April 2019 (</w:t>
      </w:r>
      <w:r w:rsidR="007454BF" w:rsidRPr="00A170F9">
        <w:rPr>
          <w:sz w:val="20"/>
          <w:szCs w:val="20"/>
        </w:rPr>
        <w:t xml:space="preserve">the </w:t>
      </w:r>
      <w:r w:rsidRPr="00A170F9">
        <w:rPr>
          <w:sz w:val="20"/>
          <w:szCs w:val="20"/>
        </w:rPr>
        <w:t xml:space="preserve">date </w:t>
      </w:r>
      <w:r w:rsidR="007454BF" w:rsidRPr="00A170F9">
        <w:rPr>
          <w:sz w:val="20"/>
          <w:szCs w:val="20"/>
        </w:rPr>
        <w:t xml:space="preserve">she </w:t>
      </w:r>
      <w:r w:rsidRPr="00A170F9">
        <w:rPr>
          <w:sz w:val="20"/>
          <w:szCs w:val="20"/>
        </w:rPr>
        <w:t>enter</w:t>
      </w:r>
      <w:r w:rsidR="007454BF" w:rsidRPr="00A170F9">
        <w:rPr>
          <w:sz w:val="20"/>
          <w:szCs w:val="20"/>
        </w:rPr>
        <w:t>ed</w:t>
      </w:r>
      <w:r w:rsidRPr="00A170F9">
        <w:rPr>
          <w:sz w:val="20"/>
          <w:szCs w:val="20"/>
        </w:rPr>
        <w:t xml:space="preserve"> into agreement to sell </w:t>
      </w:r>
      <w:r w:rsidR="007454BF" w:rsidRPr="00A170F9">
        <w:rPr>
          <w:sz w:val="20"/>
          <w:szCs w:val="20"/>
        </w:rPr>
        <w:t xml:space="preserve">the </w:t>
      </w:r>
      <w:r w:rsidRPr="00A170F9">
        <w:rPr>
          <w:sz w:val="20"/>
          <w:szCs w:val="20"/>
        </w:rPr>
        <w:t>land).</w:t>
      </w:r>
    </w:p>
    <w:p w:rsidR="004F21C6" w:rsidRPr="00A170F9" w:rsidRDefault="004F21C6" w:rsidP="00B6165D">
      <w:pPr>
        <w:pBdr>
          <w:top w:val="single" w:sz="4" w:space="10" w:color="auto"/>
          <w:left w:val="single" w:sz="4" w:space="10" w:color="auto"/>
          <w:bottom w:val="single" w:sz="4" w:space="10" w:color="auto"/>
          <w:right w:val="single" w:sz="4" w:space="10" w:color="auto"/>
        </w:pBdr>
        <w:rPr>
          <w:sz w:val="20"/>
          <w:szCs w:val="20"/>
        </w:rPr>
      </w:pPr>
    </w:p>
    <w:p w:rsidR="00807C56" w:rsidRPr="00A170F9" w:rsidRDefault="007454BF"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Gains from </w:t>
      </w:r>
      <w:r w:rsidR="00807C56" w:rsidRPr="00A170F9">
        <w:rPr>
          <w:sz w:val="20"/>
          <w:szCs w:val="20"/>
        </w:rPr>
        <w:t xml:space="preserve">Kelly’s sale of the land is not </w:t>
      </w:r>
      <w:r w:rsidRPr="00A170F9">
        <w:rPr>
          <w:sz w:val="20"/>
          <w:szCs w:val="20"/>
        </w:rPr>
        <w:t>taxable under</w:t>
      </w:r>
      <w:r w:rsidR="00807C56" w:rsidRPr="00A170F9">
        <w:rPr>
          <w:sz w:val="20"/>
          <w:szCs w:val="20"/>
        </w:rPr>
        <w:t xml:space="preserve"> the bright-line test.</w:t>
      </w:r>
    </w:p>
    <w:p w:rsidR="00807C56" w:rsidRPr="00A170F9" w:rsidRDefault="00807C56" w:rsidP="005746B7"/>
    <w:p w:rsidR="004B037F" w:rsidRPr="00A170F9" w:rsidRDefault="004B037F" w:rsidP="00376839">
      <w:pPr>
        <w:pStyle w:val="Heading3"/>
      </w:pPr>
      <w:r w:rsidRPr="00A170F9">
        <w:t>End date for bright-line period</w:t>
      </w:r>
    </w:p>
    <w:p w:rsidR="004B037F" w:rsidRPr="00A170F9" w:rsidRDefault="004B037F" w:rsidP="005746B7"/>
    <w:p w:rsidR="00387B41" w:rsidRPr="00A170F9" w:rsidRDefault="003F2ED1" w:rsidP="005746B7">
      <w:r w:rsidRPr="00A170F9">
        <w:t>F</w:t>
      </w:r>
      <w:r w:rsidR="00C73CF4" w:rsidRPr="00A170F9">
        <w:t>or standard sales of land the end date for the bright-line period</w:t>
      </w:r>
      <w:r w:rsidR="002C7D0E" w:rsidRPr="00A170F9">
        <w:t xml:space="preserve"> </w:t>
      </w:r>
      <w:r w:rsidR="00C73CF4" w:rsidRPr="00A170F9">
        <w:t>is the date a person enters into an agreement to dispose of the property</w:t>
      </w:r>
    </w:p>
    <w:p w:rsidR="00C73CF4" w:rsidRPr="00A170F9" w:rsidRDefault="00C73CF4" w:rsidP="005746B7"/>
    <w:p w:rsidR="00C73CF4" w:rsidRPr="00A170F9" w:rsidRDefault="00C73CF4" w:rsidP="005746B7">
      <w:r w:rsidRPr="00A170F9">
        <w:t>There are several situations where land is disposed of and there is no agreement to dispose of the property.</w:t>
      </w:r>
      <w:r w:rsidR="009965D5" w:rsidRPr="00A170F9">
        <w:t xml:space="preserve"> </w:t>
      </w:r>
      <w:r w:rsidRPr="00A170F9">
        <w:t xml:space="preserve"> In these situations, the proposed end date for the bright-line period differs from the standard rule.</w:t>
      </w:r>
    </w:p>
    <w:p w:rsidR="00B6165D" w:rsidRPr="00A170F9" w:rsidRDefault="00B6165D">
      <w:pPr>
        <w:jc w:val="left"/>
      </w:pPr>
      <w:r w:rsidRPr="00A170F9">
        <w:br w:type="page"/>
      </w:r>
    </w:p>
    <w:tbl>
      <w:tblPr>
        <w:tblStyle w:val="TableGrid"/>
        <w:tblW w:w="0" w:type="auto"/>
        <w:tblCellMar>
          <w:top w:w="57" w:type="dxa"/>
          <w:bottom w:w="57" w:type="dxa"/>
        </w:tblCellMar>
        <w:tblLook w:val="04A0" w:firstRow="1" w:lastRow="0" w:firstColumn="1" w:lastColumn="0" w:noHBand="0" w:noVBand="1"/>
      </w:tblPr>
      <w:tblGrid>
        <w:gridCol w:w="4621"/>
        <w:gridCol w:w="4621"/>
      </w:tblGrid>
      <w:tr w:rsidR="00C73CF4" w:rsidRPr="00A170F9" w:rsidTr="003F2ED1">
        <w:tc>
          <w:tcPr>
            <w:tcW w:w="4621" w:type="dxa"/>
          </w:tcPr>
          <w:p w:rsidR="00C73CF4" w:rsidRPr="00A170F9" w:rsidRDefault="00C73CF4" w:rsidP="005746B7">
            <w:pPr>
              <w:rPr>
                <w:b/>
                <w:sz w:val="20"/>
                <w:szCs w:val="20"/>
              </w:rPr>
            </w:pPr>
            <w:r w:rsidRPr="00A170F9">
              <w:rPr>
                <w:b/>
                <w:sz w:val="20"/>
                <w:szCs w:val="20"/>
              </w:rPr>
              <w:lastRenderedPageBreak/>
              <w:t>Type of disposal</w:t>
            </w:r>
          </w:p>
        </w:tc>
        <w:tc>
          <w:tcPr>
            <w:tcW w:w="4621" w:type="dxa"/>
          </w:tcPr>
          <w:p w:rsidR="00C73CF4" w:rsidRPr="00A170F9" w:rsidRDefault="00C73CF4" w:rsidP="00C05963">
            <w:pPr>
              <w:rPr>
                <w:b/>
                <w:sz w:val="20"/>
                <w:szCs w:val="20"/>
              </w:rPr>
            </w:pPr>
            <w:r w:rsidRPr="00A170F9">
              <w:rPr>
                <w:b/>
                <w:sz w:val="20"/>
                <w:szCs w:val="20"/>
              </w:rPr>
              <w:t>End date of bright-line period</w:t>
            </w:r>
          </w:p>
        </w:tc>
      </w:tr>
      <w:tr w:rsidR="00C73CF4" w:rsidRPr="00A170F9" w:rsidTr="003F2ED1">
        <w:tc>
          <w:tcPr>
            <w:tcW w:w="4621" w:type="dxa"/>
          </w:tcPr>
          <w:p w:rsidR="00C73CF4" w:rsidRPr="00A170F9" w:rsidRDefault="00C73CF4" w:rsidP="005746B7">
            <w:pPr>
              <w:rPr>
                <w:sz w:val="20"/>
                <w:szCs w:val="20"/>
              </w:rPr>
            </w:pPr>
            <w:r w:rsidRPr="00A170F9">
              <w:rPr>
                <w:sz w:val="20"/>
                <w:szCs w:val="20"/>
              </w:rPr>
              <w:t>Standard purchase of land</w:t>
            </w:r>
          </w:p>
        </w:tc>
        <w:tc>
          <w:tcPr>
            <w:tcW w:w="4621" w:type="dxa"/>
          </w:tcPr>
          <w:p w:rsidR="00C73CF4" w:rsidRPr="00A170F9" w:rsidRDefault="00C73CF4" w:rsidP="005746B7">
            <w:pPr>
              <w:rPr>
                <w:sz w:val="20"/>
                <w:szCs w:val="20"/>
              </w:rPr>
            </w:pPr>
            <w:r w:rsidRPr="00A170F9">
              <w:rPr>
                <w:sz w:val="20"/>
                <w:szCs w:val="20"/>
              </w:rPr>
              <w:t>Date of entry into agreement for sale</w:t>
            </w:r>
          </w:p>
        </w:tc>
      </w:tr>
      <w:tr w:rsidR="00C73CF4" w:rsidRPr="00A170F9" w:rsidTr="003F2ED1">
        <w:tc>
          <w:tcPr>
            <w:tcW w:w="4621" w:type="dxa"/>
          </w:tcPr>
          <w:p w:rsidR="00C73CF4" w:rsidRPr="00A170F9" w:rsidRDefault="00C73CF4" w:rsidP="005746B7">
            <w:pPr>
              <w:rPr>
                <w:sz w:val="20"/>
                <w:szCs w:val="20"/>
              </w:rPr>
            </w:pPr>
            <w:r w:rsidRPr="00A170F9">
              <w:rPr>
                <w:sz w:val="20"/>
                <w:szCs w:val="20"/>
              </w:rPr>
              <w:t>Gift</w:t>
            </w:r>
          </w:p>
        </w:tc>
        <w:tc>
          <w:tcPr>
            <w:tcW w:w="4621" w:type="dxa"/>
          </w:tcPr>
          <w:p w:rsidR="00C73CF4" w:rsidRPr="00A170F9" w:rsidRDefault="00C73CF4" w:rsidP="005746B7">
            <w:pPr>
              <w:rPr>
                <w:sz w:val="20"/>
                <w:szCs w:val="20"/>
              </w:rPr>
            </w:pPr>
            <w:r w:rsidRPr="00A170F9">
              <w:rPr>
                <w:sz w:val="20"/>
                <w:szCs w:val="20"/>
              </w:rPr>
              <w:t>Date of gift (generally registration of title)</w:t>
            </w:r>
          </w:p>
        </w:tc>
      </w:tr>
      <w:tr w:rsidR="00C73CF4" w:rsidRPr="00A170F9" w:rsidTr="003F2ED1">
        <w:tc>
          <w:tcPr>
            <w:tcW w:w="4621" w:type="dxa"/>
          </w:tcPr>
          <w:p w:rsidR="00C73CF4" w:rsidRPr="00A170F9" w:rsidRDefault="00C73CF4" w:rsidP="005746B7">
            <w:pPr>
              <w:rPr>
                <w:sz w:val="20"/>
                <w:szCs w:val="20"/>
              </w:rPr>
            </w:pPr>
            <w:r w:rsidRPr="00A170F9">
              <w:rPr>
                <w:sz w:val="20"/>
                <w:szCs w:val="20"/>
              </w:rPr>
              <w:t>Compulsory acquisition</w:t>
            </w:r>
          </w:p>
        </w:tc>
        <w:tc>
          <w:tcPr>
            <w:tcW w:w="4621" w:type="dxa"/>
          </w:tcPr>
          <w:p w:rsidR="00C73CF4" w:rsidRPr="00A170F9" w:rsidRDefault="00C73CF4" w:rsidP="005746B7">
            <w:pPr>
              <w:rPr>
                <w:sz w:val="20"/>
                <w:szCs w:val="20"/>
              </w:rPr>
            </w:pPr>
            <w:r w:rsidRPr="00A170F9">
              <w:rPr>
                <w:sz w:val="20"/>
                <w:szCs w:val="20"/>
              </w:rPr>
              <w:t>Date of compulsory acquisition</w:t>
            </w:r>
          </w:p>
        </w:tc>
      </w:tr>
      <w:tr w:rsidR="00C73CF4" w:rsidRPr="00A170F9" w:rsidTr="003F2ED1">
        <w:tc>
          <w:tcPr>
            <w:tcW w:w="4621" w:type="dxa"/>
          </w:tcPr>
          <w:p w:rsidR="00C73CF4" w:rsidRPr="00A170F9" w:rsidRDefault="00C73CF4" w:rsidP="005746B7">
            <w:pPr>
              <w:rPr>
                <w:sz w:val="20"/>
                <w:szCs w:val="20"/>
              </w:rPr>
            </w:pPr>
            <w:r w:rsidRPr="00A170F9">
              <w:rPr>
                <w:sz w:val="20"/>
                <w:szCs w:val="20"/>
              </w:rPr>
              <w:t>Mortgagee sale</w:t>
            </w:r>
          </w:p>
        </w:tc>
        <w:tc>
          <w:tcPr>
            <w:tcW w:w="4621" w:type="dxa"/>
          </w:tcPr>
          <w:p w:rsidR="00C73CF4" w:rsidRPr="00A170F9" w:rsidRDefault="00C73CF4" w:rsidP="005746B7">
            <w:pPr>
              <w:rPr>
                <w:sz w:val="20"/>
                <w:szCs w:val="20"/>
              </w:rPr>
            </w:pPr>
            <w:r w:rsidRPr="00A170F9">
              <w:rPr>
                <w:sz w:val="20"/>
                <w:szCs w:val="20"/>
              </w:rPr>
              <w:t>Date land disposed of by mortgagee</w:t>
            </w:r>
          </w:p>
        </w:tc>
      </w:tr>
      <w:tr w:rsidR="00C73CF4" w:rsidRPr="00A170F9" w:rsidTr="003F2ED1">
        <w:tc>
          <w:tcPr>
            <w:tcW w:w="4621" w:type="dxa"/>
          </w:tcPr>
          <w:p w:rsidR="00C73CF4" w:rsidRPr="00A170F9" w:rsidRDefault="00C73CF4" w:rsidP="005746B7">
            <w:pPr>
              <w:rPr>
                <w:sz w:val="20"/>
                <w:szCs w:val="20"/>
              </w:rPr>
            </w:pPr>
            <w:r w:rsidRPr="00A170F9">
              <w:rPr>
                <w:sz w:val="20"/>
                <w:szCs w:val="20"/>
              </w:rPr>
              <w:t>Other disposals where no contract to sell</w:t>
            </w:r>
          </w:p>
        </w:tc>
        <w:tc>
          <w:tcPr>
            <w:tcW w:w="4621" w:type="dxa"/>
          </w:tcPr>
          <w:p w:rsidR="00C73CF4" w:rsidRPr="00A170F9" w:rsidRDefault="00C73CF4" w:rsidP="005746B7">
            <w:pPr>
              <w:rPr>
                <w:sz w:val="20"/>
                <w:szCs w:val="20"/>
              </w:rPr>
            </w:pPr>
            <w:r w:rsidRPr="00A170F9">
              <w:rPr>
                <w:sz w:val="20"/>
                <w:szCs w:val="20"/>
              </w:rPr>
              <w:t>Date of disposal according to ordinary rules</w:t>
            </w:r>
          </w:p>
        </w:tc>
      </w:tr>
    </w:tbl>
    <w:p w:rsidR="00C73CF4" w:rsidRPr="00A170F9" w:rsidRDefault="00C73CF4" w:rsidP="005746B7"/>
    <w:p w:rsidR="00C73CF4" w:rsidRPr="00A170F9" w:rsidRDefault="00C73CF4" w:rsidP="00376839">
      <w:pPr>
        <w:pStyle w:val="Heading4"/>
      </w:pPr>
      <w:r w:rsidRPr="00A170F9">
        <w:t>Gifts</w:t>
      </w:r>
    </w:p>
    <w:p w:rsidR="00C73CF4" w:rsidRPr="00A170F9" w:rsidRDefault="00C73CF4" w:rsidP="00C73CF4"/>
    <w:p w:rsidR="00C73CF4" w:rsidRPr="00A170F9" w:rsidRDefault="00C73CF4" w:rsidP="00C73CF4">
      <w:r w:rsidRPr="00A170F9">
        <w:t xml:space="preserve">For gifts, the end date for the bright-line period is the date the person makes the gift of the residential land. </w:t>
      </w:r>
      <w:r w:rsidR="009965D5" w:rsidRPr="00A170F9">
        <w:t xml:space="preserve"> </w:t>
      </w:r>
      <w:r w:rsidRPr="00A170F9">
        <w:t>This will be the date when the donor has done everything necessary to be done in order to transfer the property and render the settlement binding.</w:t>
      </w:r>
    </w:p>
    <w:p w:rsidR="00C73CF4" w:rsidRPr="00A170F9" w:rsidRDefault="00C73CF4" w:rsidP="00C73CF4"/>
    <w:p w:rsidR="00C73CF4" w:rsidRPr="00A170F9" w:rsidRDefault="00C73CF4" w:rsidP="00C73CF4">
      <w:r w:rsidRPr="00A170F9">
        <w:t>For a gift of a regist</w:t>
      </w:r>
      <w:r w:rsidR="00B6165D" w:rsidRPr="00A170F9">
        <w:t>e</w:t>
      </w:r>
      <w:r w:rsidRPr="00A170F9">
        <w:t>rable interest in land, this will mean the end date for the bright-line period is the date the interest is registered.</w:t>
      </w:r>
    </w:p>
    <w:p w:rsidR="00C73CF4" w:rsidRPr="00A170F9" w:rsidRDefault="00C73CF4" w:rsidP="00C73CF4"/>
    <w:p w:rsidR="00C73CF4" w:rsidRPr="00A170F9" w:rsidRDefault="00C73CF4"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Gift</w:t>
      </w: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p>
    <w:p w:rsidR="00C73CF4" w:rsidRPr="00A170F9" w:rsidRDefault="00D64A17" w:rsidP="00D64A17">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6337D2AE" wp14:editId="6F9A5684">
            <wp:extent cx="5686425" cy="9429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942975"/>
                    </a:xfrm>
                    <a:prstGeom prst="rect">
                      <a:avLst/>
                    </a:prstGeom>
                    <a:noFill/>
                    <a:ln>
                      <a:noFill/>
                    </a:ln>
                  </pic:spPr>
                </pic:pic>
              </a:graphicData>
            </a:graphic>
          </wp:inline>
        </w:drawing>
      </w:r>
    </w:p>
    <w:p w:rsidR="00D64A17" w:rsidRPr="00A170F9" w:rsidRDefault="00D64A17" w:rsidP="00B6165D">
      <w:pPr>
        <w:pBdr>
          <w:top w:val="single" w:sz="4" w:space="10" w:color="auto"/>
          <w:left w:val="single" w:sz="4" w:space="10" w:color="auto"/>
          <w:bottom w:val="single" w:sz="4" w:space="10" w:color="auto"/>
          <w:right w:val="single" w:sz="4" w:space="10" w:color="auto"/>
        </w:pBdr>
        <w:rPr>
          <w:sz w:val="20"/>
          <w:szCs w:val="20"/>
        </w:rPr>
      </w:pP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start date for the bright-line period is 1 May 2016 (</w:t>
      </w:r>
      <w:r w:rsidR="009A3858" w:rsidRPr="00A170F9">
        <w:rPr>
          <w:sz w:val="20"/>
          <w:szCs w:val="20"/>
        </w:rPr>
        <w:t xml:space="preserve">the </w:t>
      </w:r>
      <w:r w:rsidRPr="00A170F9">
        <w:rPr>
          <w:sz w:val="20"/>
          <w:szCs w:val="20"/>
        </w:rPr>
        <w:t>date Henrietta acquired registered title) and the end date is 1 February 2018 (</w:t>
      </w:r>
      <w:r w:rsidR="009A3858" w:rsidRPr="00A170F9">
        <w:rPr>
          <w:sz w:val="20"/>
          <w:szCs w:val="20"/>
        </w:rPr>
        <w:t xml:space="preserve">the </w:t>
      </w:r>
      <w:r w:rsidRPr="00A170F9">
        <w:rPr>
          <w:sz w:val="20"/>
          <w:szCs w:val="20"/>
        </w:rPr>
        <w:t>date Ingrid acquired registered title).</w:t>
      </w:r>
      <w:r w:rsidR="009965D5" w:rsidRPr="00A170F9">
        <w:rPr>
          <w:sz w:val="20"/>
          <w:szCs w:val="20"/>
        </w:rPr>
        <w:t xml:space="preserve"> </w:t>
      </w:r>
      <w:r w:rsidRPr="00A170F9">
        <w:rPr>
          <w:sz w:val="20"/>
          <w:szCs w:val="20"/>
        </w:rPr>
        <w:t xml:space="preserve"> Henrietta will be captured by the bright-line test for her gift of land.</w:t>
      </w: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Under ordinary tax rules, gifts of land are treated as if they are transferred at market value.</w:t>
      </w: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p>
    <w:p w:rsidR="00C73CF4" w:rsidRPr="00A170F9" w:rsidRDefault="00C73CF4"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As a result, Henrietta will be deemed to have transferred the land to Ingrid at</w:t>
      </w:r>
      <w:r w:rsidR="00C94901" w:rsidRPr="00A170F9">
        <w:rPr>
          <w:sz w:val="20"/>
          <w:szCs w:val="20"/>
        </w:rPr>
        <w:t xml:space="preserve"> market value and the $50k gain will be taxable.</w:t>
      </w:r>
    </w:p>
    <w:p w:rsidR="00C73CF4" w:rsidRPr="00A170F9" w:rsidRDefault="00C73CF4" w:rsidP="00C73CF4"/>
    <w:p w:rsidR="00C73CF4" w:rsidRPr="00A170F9" w:rsidRDefault="00C73CF4" w:rsidP="00376839">
      <w:pPr>
        <w:pStyle w:val="Heading4"/>
      </w:pPr>
      <w:r w:rsidRPr="00A170F9">
        <w:t>Compulsory acquisition</w:t>
      </w:r>
    </w:p>
    <w:p w:rsidR="00C73CF4" w:rsidRPr="00A170F9" w:rsidRDefault="00C73CF4" w:rsidP="00C73CF4"/>
    <w:p w:rsidR="00C73CF4" w:rsidRPr="00A170F9" w:rsidRDefault="00C73CF4" w:rsidP="00C73CF4">
      <w:r w:rsidRPr="00A170F9">
        <w:t>Whe</w:t>
      </w:r>
      <w:r w:rsidR="00C65B49" w:rsidRPr="00A170F9">
        <w:t>n</w:t>
      </w:r>
      <w:r w:rsidRPr="00A170F9">
        <w:t xml:space="preserve"> the land is compulsorily acquired by the Crown, the proposed end date of the bright-line period is the date that the land is compulsorily acquired. </w:t>
      </w:r>
      <w:r w:rsidR="009965D5" w:rsidRPr="00A170F9">
        <w:t xml:space="preserve"> </w:t>
      </w:r>
      <w:r w:rsidRPr="00A170F9">
        <w:t xml:space="preserve">This will generally be 14 days after the proclamation taking the land is published in the </w:t>
      </w:r>
      <w:r w:rsidRPr="00A170F9">
        <w:rPr>
          <w:i/>
        </w:rPr>
        <w:t>Gazette.</w:t>
      </w:r>
      <w:r w:rsidRPr="00A170F9">
        <w:rPr>
          <w:rStyle w:val="FootnoteReference"/>
        </w:rPr>
        <w:footnoteReference w:id="1"/>
      </w:r>
    </w:p>
    <w:p w:rsidR="00C73CF4" w:rsidRPr="00A170F9" w:rsidRDefault="00C73CF4" w:rsidP="00C73CF4"/>
    <w:p w:rsidR="00C73CF4" w:rsidRPr="00A170F9" w:rsidRDefault="00C73CF4" w:rsidP="00376839">
      <w:pPr>
        <w:pStyle w:val="Heading4"/>
      </w:pPr>
      <w:r w:rsidRPr="00A170F9">
        <w:t>Mortgagee sale</w:t>
      </w:r>
    </w:p>
    <w:p w:rsidR="00C73CF4" w:rsidRPr="00A170F9" w:rsidRDefault="00C73CF4" w:rsidP="00C73CF4"/>
    <w:p w:rsidR="00C73CF4" w:rsidRPr="00A170F9" w:rsidRDefault="00C73CF4" w:rsidP="00C73CF4">
      <w:r w:rsidRPr="00A170F9">
        <w:t>When land is disposed of by a mortgagee exercising their right to dispose of the property, the end date for the bright-line period is the date when the land is disposed of by the mortgagee.</w:t>
      </w:r>
    </w:p>
    <w:p w:rsidR="00C73CF4" w:rsidRPr="00A170F9" w:rsidRDefault="00C73CF4" w:rsidP="00C73CF4"/>
    <w:p w:rsidR="00B6165D" w:rsidRPr="00A170F9" w:rsidRDefault="00B6165D">
      <w:pPr>
        <w:jc w:val="left"/>
        <w:rPr>
          <w:i/>
        </w:rPr>
      </w:pPr>
      <w:r w:rsidRPr="00A170F9">
        <w:rPr>
          <w:i/>
        </w:rPr>
        <w:br w:type="page"/>
      </w:r>
    </w:p>
    <w:p w:rsidR="00C73CF4" w:rsidRPr="00A170F9" w:rsidRDefault="00C73CF4" w:rsidP="00376839">
      <w:pPr>
        <w:pStyle w:val="Heading4"/>
      </w:pPr>
      <w:r w:rsidRPr="00A170F9">
        <w:lastRenderedPageBreak/>
        <w:t>Other sales</w:t>
      </w:r>
    </w:p>
    <w:p w:rsidR="00C73CF4" w:rsidRPr="00A170F9" w:rsidRDefault="00C73CF4" w:rsidP="00C73CF4"/>
    <w:p w:rsidR="006905D8" w:rsidRPr="00A170F9" w:rsidRDefault="00C73CF4" w:rsidP="005746B7">
      <w:r w:rsidRPr="00A170F9">
        <w:t>If there is another type of disposal of land, the date of disposal is the date that the land is disposed</w:t>
      </w:r>
      <w:r w:rsidR="0085448F" w:rsidRPr="00A170F9">
        <w:t xml:space="preserve"> of according to ordinary rules</w:t>
      </w:r>
      <w:r w:rsidR="009A3858" w:rsidRPr="00A170F9">
        <w:t>.</w:t>
      </w:r>
    </w:p>
    <w:p w:rsidR="005F231B" w:rsidRPr="00A170F9" w:rsidRDefault="005F231B" w:rsidP="005746B7"/>
    <w:p w:rsidR="005F231B" w:rsidRPr="00A170F9" w:rsidRDefault="005F231B"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Standard sale</w:t>
      </w:r>
    </w:p>
    <w:p w:rsidR="005F231B" w:rsidRPr="00A170F9" w:rsidRDefault="005F231B" w:rsidP="00B6165D">
      <w:pPr>
        <w:pBdr>
          <w:top w:val="single" w:sz="4" w:space="10" w:color="auto"/>
          <w:left w:val="single" w:sz="4" w:space="10" w:color="auto"/>
          <w:bottom w:val="single" w:sz="4" w:space="10" w:color="auto"/>
          <w:right w:val="single" w:sz="4" w:space="10" w:color="auto"/>
        </w:pBdr>
        <w:rPr>
          <w:bCs/>
          <w:sz w:val="20"/>
          <w:szCs w:val="20"/>
          <w:lang w:eastAsia="en-NZ"/>
        </w:rPr>
      </w:pPr>
    </w:p>
    <w:p w:rsidR="00D64A17" w:rsidRPr="00A170F9" w:rsidRDefault="00D64A17" w:rsidP="00D64A17">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0EF60915" wp14:editId="0FC7192A">
            <wp:extent cx="5476875" cy="10858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1085850"/>
                    </a:xfrm>
                    <a:prstGeom prst="rect">
                      <a:avLst/>
                    </a:prstGeom>
                    <a:noFill/>
                    <a:ln>
                      <a:noFill/>
                    </a:ln>
                  </pic:spPr>
                </pic:pic>
              </a:graphicData>
            </a:graphic>
          </wp:inline>
        </w:drawing>
      </w:r>
    </w:p>
    <w:p w:rsidR="00D64A17" w:rsidRPr="00A170F9" w:rsidRDefault="00D64A17" w:rsidP="00B6165D">
      <w:pPr>
        <w:pBdr>
          <w:top w:val="single" w:sz="4" w:space="10" w:color="auto"/>
          <w:left w:val="single" w:sz="4" w:space="10" w:color="auto"/>
          <w:bottom w:val="single" w:sz="4" w:space="10" w:color="auto"/>
          <w:right w:val="single" w:sz="4" w:space="10" w:color="auto"/>
        </w:pBdr>
        <w:rPr>
          <w:sz w:val="20"/>
          <w:szCs w:val="20"/>
        </w:rPr>
      </w:pPr>
    </w:p>
    <w:p w:rsidR="005F231B" w:rsidRPr="00A170F9" w:rsidRDefault="005F231B"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bright-line period starts on 1 May 2016 (</w:t>
      </w:r>
      <w:r w:rsidR="004D0B38" w:rsidRPr="00A170F9">
        <w:rPr>
          <w:sz w:val="20"/>
          <w:szCs w:val="20"/>
        </w:rPr>
        <w:t xml:space="preserve">the </w:t>
      </w:r>
      <w:r w:rsidRPr="00A170F9">
        <w:rPr>
          <w:sz w:val="20"/>
          <w:szCs w:val="20"/>
        </w:rPr>
        <w:t xml:space="preserve">date registered title </w:t>
      </w:r>
      <w:r w:rsidR="004D0B38" w:rsidRPr="00A170F9">
        <w:rPr>
          <w:sz w:val="20"/>
          <w:szCs w:val="20"/>
        </w:rPr>
        <w:t xml:space="preserve">is </w:t>
      </w:r>
      <w:r w:rsidRPr="00A170F9">
        <w:rPr>
          <w:sz w:val="20"/>
          <w:szCs w:val="20"/>
        </w:rPr>
        <w:t>acquired) and ends on 1 December 2017 (</w:t>
      </w:r>
      <w:r w:rsidR="004D0B38" w:rsidRPr="00A170F9">
        <w:rPr>
          <w:sz w:val="20"/>
          <w:szCs w:val="20"/>
        </w:rPr>
        <w:t xml:space="preserve">the </w:t>
      </w:r>
      <w:r w:rsidRPr="00A170F9">
        <w:rPr>
          <w:sz w:val="20"/>
          <w:szCs w:val="20"/>
        </w:rPr>
        <w:t xml:space="preserve">date of entry into agreement to sell </w:t>
      </w:r>
      <w:r w:rsidR="004D0B38" w:rsidRPr="00A170F9">
        <w:rPr>
          <w:sz w:val="20"/>
          <w:szCs w:val="20"/>
        </w:rPr>
        <w:t xml:space="preserve">the </w:t>
      </w:r>
      <w:r w:rsidRPr="00A170F9">
        <w:rPr>
          <w:sz w:val="20"/>
          <w:szCs w:val="20"/>
        </w:rPr>
        <w:t>land).</w:t>
      </w:r>
    </w:p>
    <w:p w:rsidR="005F231B" w:rsidRPr="00A170F9" w:rsidRDefault="005F231B" w:rsidP="00B6165D">
      <w:pPr>
        <w:pBdr>
          <w:top w:val="single" w:sz="4" w:space="10" w:color="auto"/>
          <w:left w:val="single" w:sz="4" w:space="10" w:color="auto"/>
          <w:bottom w:val="single" w:sz="4" w:space="10" w:color="auto"/>
          <w:right w:val="single" w:sz="4" w:space="10" w:color="auto"/>
        </w:pBdr>
        <w:rPr>
          <w:sz w:val="20"/>
          <w:szCs w:val="20"/>
        </w:rPr>
      </w:pPr>
    </w:p>
    <w:p w:rsidR="005F231B" w:rsidRPr="00A170F9" w:rsidRDefault="005F231B"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Amy receives payment for the property in the 2018–19 income year.  This means that Amy is required to return the income in her annual income tax return for the year.</w:t>
      </w:r>
    </w:p>
    <w:p w:rsidR="006905D8" w:rsidRPr="00A170F9" w:rsidRDefault="006905D8" w:rsidP="005746B7"/>
    <w:p w:rsidR="004B037F" w:rsidRPr="00A170F9" w:rsidRDefault="004B037F"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Cancelled contract</w:t>
      </w:r>
    </w:p>
    <w:p w:rsidR="00CC0B4A" w:rsidRPr="00A170F9" w:rsidRDefault="00CC0B4A" w:rsidP="00B6165D">
      <w:pPr>
        <w:pBdr>
          <w:top w:val="single" w:sz="4" w:space="10" w:color="auto"/>
          <w:left w:val="single" w:sz="4" w:space="10" w:color="auto"/>
          <w:bottom w:val="single" w:sz="4" w:space="10" w:color="auto"/>
          <w:right w:val="single" w:sz="4" w:space="10" w:color="auto"/>
        </w:pBdr>
        <w:rPr>
          <w:bCs/>
          <w:sz w:val="20"/>
          <w:szCs w:val="20"/>
          <w:lang w:eastAsia="en-NZ"/>
        </w:rPr>
      </w:pPr>
    </w:p>
    <w:p w:rsidR="00D64A17" w:rsidRPr="00A170F9" w:rsidRDefault="00D64A17" w:rsidP="00D64A17">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641D0C04" wp14:editId="4962D24A">
            <wp:extent cx="5162550" cy="12382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1238250"/>
                    </a:xfrm>
                    <a:prstGeom prst="rect">
                      <a:avLst/>
                    </a:prstGeom>
                    <a:noFill/>
                    <a:ln>
                      <a:noFill/>
                    </a:ln>
                  </pic:spPr>
                </pic:pic>
              </a:graphicData>
            </a:graphic>
          </wp:inline>
        </w:drawing>
      </w:r>
    </w:p>
    <w:p w:rsidR="00D64A17" w:rsidRPr="00A170F9" w:rsidRDefault="00D64A17" w:rsidP="00D64A17">
      <w:pPr>
        <w:pBdr>
          <w:top w:val="single" w:sz="4" w:space="10" w:color="auto"/>
          <w:left w:val="single" w:sz="4" w:space="10" w:color="auto"/>
          <w:bottom w:val="single" w:sz="4" w:space="10" w:color="auto"/>
          <w:right w:val="single" w:sz="4" w:space="10" w:color="auto"/>
        </w:pBdr>
        <w:rPr>
          <w:sz w:val="20"/>
          <w:szCs w:val="20"/>
        </w:rPr>
      </w:pPr>
    </w:p>
    <w:p w:rsidR="006905D8" w:rsidRPr="00A170F9" w:rsidRDefault="006905D8"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sale of the land from Elizabeth to Fred falls within the two-year period for the bright-line test.  However, because the sale is cancelled, Elizabeth has not derived any income from the disposal of land and will not have any income tax liability.</w:t>
      </w:r>
    </w:p>
    <w:p w:rsidR="006905D8" w:rsidRPr="00A170F9" w:rsidRDefault="006905D8" w:rsidP="00B6165D">
      <w:pPr>
        <w:pBdr>
          <w:top w:val="single" w:sz="4" w:space="10" w:color="auto"/>
          <w:left w:val="single" w:sz="4" w:space="10" w:color="auto"/>
          <w:bottom w:val="single" w:sz="4" w:space="10" w:color="auto"/>
          <w:right w:val="single" w:sz="4" w:space="10" w:color="auto"/>
        </w:pBdr>
        <w:rPr>
          <w:sz w:val="20"/>
          <w:szCs w:val="20"/>
        </w:rPr>
      </w:pPr>
    </w:p>
    <w:p w:rsidR="006905D8" w:rsidRPr="00A170F9" w:rsidRDefault="006905D8"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sale of the land from Elizabeth to Georgina is not covered by the bright-line test because the agreement for sale (1 July 2018) was not entered into within two years of Elizabeth obtaining registered title (1 May 2016).</w:t>
      </w:r>
    </w:p>
    <w:p w:rsidR="004A53A3" w:rsidRPr="00A170F9" w:rsidRDefault="004A53A3" w:rsidP="004A53A3"/>
    <w:p w:rsidR="004A53A3" w:rsidRPr="00A170F9" w:rsidRDefault="004A53A3" w:rsidP="005B6D9A">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Standard lease (no perpetual right of renewal)</w:t>
      </w:r>
    </w:p>
    <w:p w:rsidR="004A53A3" w:rsidRPr="00A170F9" w:rsidRDefault="004A53A3" w:rsidP="005B6D9A">
      <w:pPr>
        <w:pBdr>
          <w:top w:val="single" w:sz="4" w:space="10" w:color="auto"/>
          <w:left w:val="single" w:sz="4" w:space="10" w:color="auto"/>
          <w:bottom w:val="single" w:sz="4" w:space="10" w:color="auto"/>
          <w:right w:val="single" w:sz="4" w:space="10" w:color="auto"/>
        </w:pBdr>
        <w:rPr>
          <w:sz w:val="20"/>
        </w:rPr>
      </w:pPr>
    </w:p>
    <w:p w:rsidR="00D64A17" w:rsidRPr="00A170F9" w:rsidRDefault="00D64A17" w:rsidP="005B6D9A">
      <w:pPr>
        <w:pBdr>
          <w:top w:val="single" w:sz="4" w:space="10" w:color="auto"/>
          <w:left w:val="single" w:sz="4" w:space="10" w:color="auto"/>
          <w:bottom w:val="single" w:sz="4" w:space="10" w:color="auto"/>
          <w:right w:val="single" w:sz="4" w:space="10" w:color="auto"/>
        </w:pBdr>
        <w:jc w:val="center"/>
        <w:rPr>
          <w:sz w:val="20"/>
        </w:rPr>
      </w:pPr>
      <w:r w:rsidRPr="00A170F9">
        <w:rPr>
          <w:b/>
          <w:noProof/>
          <w:sz w:val="20"/>
          <w:lang w:eastAsia="en-NZ"/>
        </w:rPr>
        <w:drawing>
          <wp:inline distT="0" distB="0" distL="0" distR="0" wp14:anchorId="6F2A3CBE" wp14:editId="42693963">
            <wp:extent cx="4981575" cy="942975"/>
            <wp:effectExtent l="0" t="0" r="0"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942975"/>
                    </a:xfrm>
                    <a:prstGeom prst="rect">
                      <a:avLst/>
                    </a:prstGeom>
                    <a:noFill/>
                    <a:ln>
                      <a:noFill/>
                    </a:ln>
                  </pic:spPr>
                </pic:pic>
              </a:graphicData>
            </a:graphic>
          </wp:inline>
        </w:drawing>
      </w:r>
    </w:p>
    <w:p w:rsidR="00D64A17" w:rsidRPr="00A170F9" w:rsidRDefault="00D64A17" w:rsidP="005B6D9A">
      <w:pPr>
        <w:pBdr>
          <w:top w:val="single" w:sz="4" w:space="10" w:color="auto"/>
          <w:left w:val="single" w:sz="4" w:space="10" w:color="auto"/>
          <w:bottom w:val="single" w:sz="4" w:space="10" w:color="auto"/>
          <w:right w:val="single" w:sz="4" w:space="10" w:color="auto"/>
        </w:pBdr>
        <w:rPr>
          <w:sz w:val="20"/>
          <w:szCs w:val="20"/>
        </w:rPr>
      </w:pPr>
    </w:p>
    <w:p w:rsidR="004A53A3" w:rsidRPr="00A170F9" w:rsidRDefault="004A53A3" w:rsidP="005B6D9A">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start date for the bright-line test is 1 March 2018 (</w:t>
      </w:r>
      <w:r w:rsidR="00EF2281" w:rsidRPr="00A170F9">
        <w:rPr>
          <w:sz w:val="20"/>
          <w:szCs w:val="20"/>
        </w:rPr>
        <w:t xml:space="preserve">the </w:t>
      </w:r>
      <w:r w:rsidRPr="00A170F9">
        <w:rPr>
          <w:sz w:val="20"/>
          <w:szCs w:val="20"/>
        </w:rPr>
        <w:t>date of registration of title for purchase) and the end date is 1 April 2019 (</w:t>
      </w:r>
      <w:r w:rsidR="00EF2281" w:rsidRPr="00A170F9">
        <w:rPr>
          <w:sz w:val="20"/>
          <w:szCs w:val="20"/>
        </w:rPr>
        <w:t xml:space="preserve">the </w:t>
      </w:r>
      <w:r w:rsidRPr="00A170F9">
        <w:rPr>
          <w:sz w:val="20"/>
          <w:szCs w:val="20"/>
        </w:rPr>
        <w:t xml:space="preserve">date </w:t>
      </w:r>
      <w:r w:rsidR="00EF2281" w:rsidRPr="00A170F9">
        <w:rPr>
          <w:sz w:val="20"/>
          <w:szCs w:val="20"/>
        </w:rPr>
        <w:t xml:space="preserve">she </w:t>
      </w:r>
      <w:r w:rsidRPr="00A170F9">
        <w:rPr>
          <w:sz w:val="20"/>
          <w:szCs w:val="20"/>
        </w:rPr>
        <w:t>enter</w:t>
      </w:r>
      <w:r w:rsidR="00EF2281" w:rsidRPr="00A170F9">
        <w:rPr>
          <w:sz w:val="20"/>
          <w:szCs w:val="20"/>
        </w:rPr>
        <w:t>ed</w:t>
      </w:r>
      <w:r w:rsidRPr="00A170F9">
        <w:rPr>
          <w:sz w:val="20"/>
          <w:szCs w:val="20"/>
        </w:rPr>
        <w:t xml:space="preserve"> into agreement to sell </w:t>
      </w:r>
      <w:r w:rsidR="00EF2281" w:rsidRPr="00A170F9">
        <w:rPr>
          <w:sz w:val="20"/>
          <w:szCs w:val="20"/>
        </w:rPr>
        <w:t xml:space="preserve">the </w:t>
      </w:r>
      <w:r w:rsidRPr="00A170F9">
        <w:rPr>
          <w:sz w:val="20"/>
          <w:szCs w:val="20"/>
        </w:rPr>
        <w:t xml:space="preserve">land). </w:t>
      </w:r>
      <w:r w:rsidR="00C97B9B" w:rsidRPr="00A170F9">
        <w:rPr>
          <w:sz w:val="20"/>
          <w:szCs w:val="20"/>
        </w:rPr>
        <w:t xml:space="preserve"> </w:t>
      </w:r>
      <w:r w:rsidRPr="00A170F9">
        <w:rPr>
          <w:sz w:val="20"/>
          <w:szCs w:val="20"/>
        </w:rPr>
        <w:t xml:space="preserve">Jo’s </w:t>
      </w:r>
      <w:r w:rsidR="00EF2281" w:rsidRPr="00A170F9">
        <w:rPr>
          <w:sz w:val="20"/>
          <w:szCs w:val="20"/>
        </w:rPr>
        <w:t xml:space="preserve">proceeds from the </w:t>
      </w:r>
      <w:r w:rsidRPr="00A170F9">
        <w:rPr>
          <w:sz w:val="20"/>
          <w:szCs w:val="20"/>
        </w:rPr>
        <w:t xml:space="preserve">sale of the land </w:t>
      </w:r>
      <w:r w:rsidR="002C7D0E" w:rsidRPr="00A170F9">
        <w:rPr>
          <w:sz w:val="20"/>
          <w:szCs w:val="20"/>
        </w:rPr>
        <w:t xml:space="preserve">are </w:t>
      </w:r>
      <w:r w:rsidR="00EF2281" w:rsidRPr="00A170F9">
        <w:rPr>
          <w:sz w:val="20"/>
          <w:szCs w:val="20"/>
        </w:rPr>
        <w:t>taxable under</w:t>
      </w:r>
      <w:r w:rsidRPr="00A170F9">
        <w:rPr>
          <w:sz w:val="20"/>
          <w:szCs w:val="20"/>
        </w:rPr>
        <w:t xml:space="preserve"> the bright-line test.</w:t>
      </w:r>
    </w:p>
    <w:p w:rsidR="00B832B5" w:rsidRPr="00A170F9" w:rsidRDefault="00B832B5" w:rsidP="00B832B5">
      <w:pPr>
        <w:jc w:val="left"/>
      </w:pPr>
      <w:r w:rsidRPr="00A170F9">
        <w:br w:type="page"/>
      </w:r>
    </w:p>
    <w:p w:rsidR="004B037F" w:rsidRPr="00A170F9" w:rsidRDefault="006905D8"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 xml:space="preserve">Example: </w:t>
      </w:r>
      <w:r w:rsidR="004B037F" w:rsidRPr="00A170F9">
        <w:rPr>
          <w:b/>
          <w:sz w:val="20"/>
          <w:szCs w:val="20"/>
        </w:rPr>
        <w:t>Deed of nomination</w:t>
      </w:r>
      <w:r w:rsidR="00ED1CD0" w:rsidRPr="00A170F9">
        <w:rPr>
          <w:rStyle w:val="FootnoteReference"/>
          <w:sz w:val="20"/>
          <w:szCs w:val="20"/>
        </w:rPr>
        <w:footnoteReference w:id="2"/>
      </w:r>
    </w:p>
    <w:p w:rsidR="006905D8" w:rsidRPr="00A170F9" w:rsidRDefault="006905D8" w:rsidP="00B6165D">
      <w:pPr>
        <w:pBdr>
          <w:top w:val="single" w:sz="4" w:space="10" w:color="auto"/>
          <w:left w:val="single" w:sz="4" w:space="10" w:color="auto"/>
          <w:bottom w:val="single" w:sz="4" w:space="10" w:color="auto"/>
          <w:right w:val="single" w:sz="4" w:space="10" w:color="auto"/>
        </w:pBdr>
        <w:rPr>
          <w:sz w:val="20"/>
        </w:rPr>
      </w:pPr>
    </w:p>
    <w:p w:rsidR="00D64A17" w:rsidRPr="00A170F9" w:rsidRDefault="00D64A17" w:rsidP="00D64A17">
      <w:pPr>
        <w:pBdr>
          <w:top w:val="single" w:sz="4" w:space="10" w:color="auto"/>
          <w:left w:val="single" w:sz="4" w:space="10" w:color="auto"/>
          <w:bottom w:val="single" w:sz="4" w:space="10" w:color="auto"/>
          <w:right w:val="single" w:sz="4" w:space="10" w:color="auto"/>
        </w:pBdr>
        <w:jc w:val="center"/>
        <w:rPr>
          <w:sz w:val="20"/>
        </w:rPr>
      </w:pPr>
      <w:r w:rsidRPr="00A170F9">
        <w:rPr>
          <w:b/>
          <w:noProof/>
          <w:sz w:val="20"/>
          <w:lang w:eastAsia="en-NZ"/>
        </w:rPr>
        <w:drawing>
          <wp:inline distT="0" distB="0" distL="0" distR="0" wp14:anchorId="59CB6840" wp14:editId="6B6B3E8E">
            <wp:extent cx="5257800" cy="1552575"/>
            <wp:effectExtent l="0" t="0" r="0"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p>
    <w:p w:rsidR="00D64A17" w:rsidRPr="00A170F9" w:rsidRDefault="00D64A17" w:rsidP="00B6165D">
      <w:pPr>
        <w:pBdr>
          <w:top w:val="single" w:sz="4" w:space="10" w:color="auto"/>
          <w:left w:val="single" w:sz="4" w:space="10" w:color="auto"/>
          <w:bottom w:val="single" w:sz="4" w:space="10" w:color="auto"/>
          <w:right w:val="single" w:sz="4" w:space="10" w:color="auto"/>
        </w:pBdr>
        <w:rPr>
          <w:sz w:val="20"/>
          <w:szCs w:val="20"/>
        </w:rPr>
      </w:pPr>
    </w:p>
    <w:p w:rsidR="003E639F" w:rsidRPr="00A170F9" w:rsidRDefault="002059D0"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With a nomination there</w:t>
      </w:r>
      <w:r w:rsidR="003E639F" w:rsidRPr="00A170F9">
        <w:rPr>
          <w:sz w:val="20"/>
          <w:szCs w:val="20"/>
        </w:rPr>
        <w:t xml:space="preserve"> are two acquisitions and disposals of land.</w:t>
      </w:r>
    </w:p>
    <w:p w:rsidR="003E639F" w:rsidRPr="00A170F9" w:rsidRDefault="003E639F" w:rsidP="00B6165D">
      <w:pPr>
        <w:pBdr>
          <w:top w:val="single" w:sz="4" w:space="10" w:color="auto"/>
          <w:left w:val="single" w:sz="4" w:space="10" w:color="auto"/>
          <w:bottom w:val="single" w:sz="4" w:space="10" w:color="auto"/>
          <w:right w:val="single" w:sz="4" w:space="10" w:color="auto"/>
        </w:pBdr>
        <w:rPr>
          <w:sz w:val="20"/>
          <w:szCs w:val="20"/>
        </w:rPr>
      </w:pPr>
    </w:p>
    <w:p w:rsidR="003E639F" w:rsidRPr="00A170F9" w:rsidRDefault="003E639F"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Andrew acquired an interest in the land by entering into a contract to purchase on 1 January 2016 (</w:t>
      </w:r>
      <w:r w:rsidR="00CC4F07" w:rsidRPr="00A170F9">
        <w:rPr>
          <w:sz w:val="20"/>
          <w:szCs w:val="20"/>
        </w:rPr>
        <w:t xml:space="preserve">the date </w:t>
      </w:r>
      <w:r w:rsidRPr="00A170F9">
        <w:rPr>
          <w:sz w:val="20"/>
          <w:szCs w:val="20"/>
        </w:rPr>
        <w:t>he acquired the right to buy the land).</w:t>
      </w:r>
      <w:r w:rsidR="009965D5" w:rsidRPr="00A170F9">
        <w:rPr>
          <w:sz w:val="20"/>
          <w:szCs w:val="20"/>
        </w:rPr>
        <w:t xml:space="preserve"> </w:t>
      </w:r>
      <w:r w:rsidRPr="00A170F9">
        <w:rPr>
          <w:sz w:val="20"/>
          <w:szCs w:val="20"/>
        </w:rPr>
        <w:t xml:space="preserve"> When Andrew entered into a deed of nomination with Bart he transferred this interest (the right to buy the land) to Bart.</w:t>
      </w:r>
    </w:p>
    <w:p w:rsidR="003E639F" w:rsidRPr="00A170F9" w:rsidRDefault="003E639F" w:rsidP="00B6165D">
      <w:pPr>
        <w:pBdr>
          <w:top w:val="single" w:sz="4" w:space="10" w:color="auto"/>
          <w:left w:val="single" w:sz="4" w:space="10" w:color="auto"/>
          <w:bottom w:val="single" w:sz="4" w:space="10" w:color="auto"/>
          <w:right w:val="single" w:sz="4" w:space="10" w:color="auto"/>
        </w:pBdr>
        <w:rPr>
          <w:sz w:val="20"/>
          <w:szCs w:val="20"/>
        </w:rPr>
      </w:pPr>
    </w:p>
    <w:p w:rsidR="00087AE7" w:rsidRPr="00A170F9" w:rsidRDefault="003E639F"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start date for Andrew is the date he entered into the contract to purchase the land. </w:t>
      </w:r>
      <w:r w:rsidR="00C97B9B" w:rsidRPr="00A170F9">
        <w:rPr>
          <w:sz w:val="20"/>
          <w:szCs w:val="20"/>
        </w:rPr>
        <w:t xml:space="preserve"> </w:t>
      </w:r>
      <w:r w:rsidRPr="00A170F9">
        <w:rPr>
          <w:sz w:val="20"/>
          <w:szCs w:val="20"/>
        </w:rPr>
        <w:t>This is because this is a sale where there is no registration</w:t>
      </w:r>
      <w:r w:rsidR="00C42397" w:rsidRPr="00A170F9">
        <w:rPr>
          <w:sz w:val="20"/>
          <w:szCs w:val="20"/>
        </w:rPr>
        <w:t>.</w:t>
      </w:r>
      <w:r w:rsidR="00087AE7" w:rsidRPr="00A170F9">
        <w:rPr>
          <w:sz w:val="20"/>
          <w:szCs w:val="20"/>
        </w:rPr>
        <w:t xml:space="preserve"> </w:t>
      </w:r>
      <w:r w:rsidR="009965D5" w:rsidRPr="00A170F9">
        <w:rPr>
          <w:sz w:val="20"/>
          <w:szCs w:val="20"/>
        </w:rPr>
        <w:t xml:space="preserve"> </w:t>
      </w:r>
      <w:r w:rsidR="00C42397" w:rsidRPr="00A170F9">
        <w:rPr>
          <w:sz w:val="20"/>
          <w:szCs w:val="20"/>
        </w:rPr>
        <w:t>T</w:t>
      </w:r>
      <w:r w:rsidR="00087AE7" w:rsidRPr="00A170F9">
        <w:rPr>
          <w:sz w:val="20"/>
          <w:szCs w:val="20"/>
        </w:rPr>
        <w:t xml:space="preserve">he start date is the latest date in which they acquired an interest in the residential land. </w:t>
      </w:r>
      <w:r w:rsidR="009965D5" w:rsidRPr="00A170F9">
        <w:rPr>
          <w:sz w:val="20"/>
          <w:szCs w:val="20"/>
        </w:rPr>
        <w:t xml:space="preserve"> </w:t>
      </w:r>
      <w:r w:rsidR="00087AE7" w:rsidRPr="00A170F9">
        <w:rPr>
          <w:sz w:val="20"/>
          <w:szCs w:val="20"/>
        </w:rPr>
        <w:t>The latest date Andrew acquired an interest in the residential land is 1 January 2016 when he acquired his right to buy.</w:t>
      </w:r>
    </w:p>
    <w:p w:rsidR="00087AE7"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p>
    <w:p w:rsidR="003E639F"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end date for Andrew is 1 February 2016</w:t>
      </w:r>
      <w:r w:rsidR="00C65B49" w:rsidRPr="00A170F9">
        <w:rPr>
          <w:sz w:val="20"/>
          <w:szCs w:val="20"/>
        </w:rPr>
        <w:t>, being</w:t>
      </w:r>
      <w:r w:rsidRPr="00A170F9">
        <w:rPr>
          <w:sz w:val="20"/>
          <w:szCs w:val="20"/>
        </w:rPr>
        <w:t xml:space="preserve"> the date he entered into an agreement for the disposal</w:t>
      </w:r>
      <w:r w:rsidR="00C65B49" w:rsidRPr="00A170F9">
        <w:rPr>
          <w:sz w:val="20"/>
          <w:szCs w:val="20"/>
        </w:rPr>
        <w:t>, of his interest in the land</w:t>
      </w:r>
      <w:r w:rsidRPr="00A170F9">
        <w:rPr>
          <w:sz w:val="20"/>
          <w:szCs w:val="20"/>
        </w:rPr>
        <w:t xml:space="preserve">. </w:t>
      </w:r>
      <w:r w:rsidR="009965D5" w:rsidRPr="00A170F9">
        <w:rPr>
          <w:sz w:val="20"/>
          <w:szCs w:val="20"/>
        </w:rPr>
        <w:t xml:space="preserve"> </w:t>
      </w:r>
      <w:r w:rsidRPr="00A170F9">
        <w:rPr>
          <w:sz w:val="20"/>
          <w:szCs w:val="20"/>
        </w:rPr>
        <w:t>The deed of nomination is an agreement for the disposal of the land.</w:t>
      </w:r>
    </w:p>
    <w:p w:rsidR="00087AE7"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p>
    <w:p w:rsidR="00087AE7"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As a result, Andrew is covered by the bright-line test and </w:t>
      </w:r>
      <w:r w:rsidR="002C7D0E" w:rsidRPr="00A170F9">
        <w:rPr>
          <w:sz w:val="20"/>
          <w:szCs w:val="20"/>
        </w:rPr>
        <w:t>any</w:t>
      </w:r>
      <w:r w:rsidR="00470E37" w:rsidRPr="00A170F9">
        <w:rPr>
          <w:sz w:val="20"/>
          <w:szCs w:val="20"/>
        </w:rPr>
        <w:t xml:space="preserve"> </w:t>
      </w:r>
      <w:r w:rsidRPr="00A170F9">
        <w:rPr>
          <w:sz w:val="20"/>
          <w:szCs w:val="20"/>
        </w:rPr>
        <w:t>gain he has made will be taxable.</w:t>
      </w:r>
    </w:p>
    <w:p w:rsidR="00087AE7"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p>
    <w:p w:rsidR="00087AE7" w:rsidRPr="00A170F9" w:rsidRDefault="00087AE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Bart’s acquisition and disposal of the land will not be covered by the bright-line test. </w:t>
      </w:r>
      <w:r w:rsidR="009965D5" w:rsidRPr="00A170F9">
        <w:rPr>
          <w:sz w:val="20"/>
          <w:szCs w:val="20"/>
        </w:rPr>
        <w:t xml:space="preserve"> </w:t>
      </w:r>
      <w:r w:rsidRPr="00A170F9">
        <w:rPr>
          <w:sz w:val="20"/>
          <w:szCs w:val="20"/>
        </w:rPr>
        <w:t>This is because the start date was on 1 March 2016 (date of registration of title) and the end date was 1 January 2019 (</w:t>
      </w:r>
      <w:r w:rsidR="00CC4F07" w:rsidRPr="00A170F9">
        <w:rPr>
          <w:sz w:val="20"/>
          <w:szCs w:val="20"/>
        </w:rPr>
        <w:t xml:space="preserve">the </w:t>
      </w:r>
      <w:r w:rsidRPr="00A170F9">
        <w:rPr>
          <w:sz w:val="20"/>
          <w:szCs w:val="20"/>
        </w:rPr>
        <w:t xml:space="preserve">date </w:t>
      </w:r>
      <w:r w:rsidR="00CC4F07" w:rsidRPr="00A170F9">
        <w:rPr>
          <w:sz w:val="20"/>
          <w:szCs w:val="20"/>
        </w:rPr>
        <w:t xml:space="preserve">he </w:t>
      </w:r>
      <w:r w:rsidRPr="00A170F9">
        <w:rPr>
          <w:sz w:val="20"/>
          <w:szCs w:val="20"/>
        </w:rPr>
        <w:t>enter</w:t>
      </w:r>
      <w:r w:rsidR="00CC4F07" w:rsidRPr="00A170F9">
        <w:rPr>
          <w:sz w:val="20"/>
          <w:szCs w:val="20"/>
        </w:rPr>
        <w:t>ed</w:t>
      </w:r>
      <w:r w:rsidRPr="00A170F9">
        <w:rPr>
          <w:sz w:val="20"/>
          <w:szCs w:val="20"/>
        </w:rPr>
        <w:t xml:space="preserve"> into agreement to sell).</w:t>
      </w:r>
    </w:p>
    <w:p w:rsidR="00B6165D" w:rsidRPr="00A170F9" w:rsidRDefault="00B6165D" w:rsidP="007B63EE"/>
    <w:p w:rsidR="006D52FD" w:rsidRPr="00A170F9" w:rsidRDefault="006D52FD" w:rsidP="00D05403">
      <w:pPr>
        <w:pStyle w:val="Heading2"/>
      </w:pPr>
      <w:r w:rsidRPr="00A170F9">
        <w:t>Residential land</w:t>
      </w:r>
    </w:p>
    <w:p w:rsidR="006D52FD" w:rsidRPr="00A170F9" w:rsidRDefault="00B6165D" w:rsidP="00634114">
      <w:pPr>
        <w:pStyle w:val="Sectionclause"/>
      </w:pPr>
      <w:r w:rsidRPr="00A170F9">
        <w:t>(Sections CB</w:t>
      </w:r>
      <w:r w:rsidR="00634114" w:rsidRPr="00A170F9">
        <w:t xml:space="preserve"> </w:t>
      </w:r>
      <w:r w:rsidRPr="00A170F9">
        <w:t>6A, YA</w:t>
      </w:r>
      <w:r w:rsidR="00634114" w:rsidRPr="00A170F9">
        <w:t xml:space="preserve"> </w:t>
      </w:r>
      <w:r w:rsidRPr="00A170F9">
        <w:t>1)</w:t>
      </w:r>
    </w:p>
    <w:p w:rsidR="00B6165D" w:rsidRPr="00A170F9" w:rsidRDefault="00B6165D" w:rsidP="007B63EE"/>
    <w:p w:rsidR="007B63EE" w:rsidRPr="00A170F9" w:rsidRDefault="00DB5D89" w:rsidP="007B63EE">
      <w:r w:rsidRPr="00A170F9">
        <w:t>The bright-line test only applies if the land disposed of is residential land at the date of disposal.</w:t>
      </w:r>
    </w:p>
    <w:p w:rsidR="00DB5D89" w:rsidRPr="00A170F9" w:rsidRDefault="00DB5D89" w:rsidP="007B63EE"/>
    <w:p w:rsidR="00FA77E9" w:rsidRPr="00A170F9" w:rsidRDefault="00FA77E9" w:rsidP="007B63EE">
      <w:r w:rsidRPr="00A170F9">
        <w:t>Residential land is land that either:</w:t>
      </w:r>
    </w:p>
    <w:p w:rsidR="00FA77E9" w:rsidRPr="00A170F9" w:rsidRDefault="00FA77E9" w:rsidP="00FA77E9"/>
    <w:p w:rsidR="00DB5D89" w:rsidRPr="00A170F9" w:rsidRDefault="00505A37" w:rsidP="00D05403">
      <w:pPr>
        <w:pStyle w:val="Bullets"/>
      </w:pPr>
      <w:r w:rsidRPr="00A170F9">
        <w:t>has a dwelling on it;</w:t>
      </w:r>
    </w:p>
    <w:p w:rsidR="00DB5D89" w:rsidRPr="00A170F9" w:rsidRDefault="00505A37" w:rsidP="00D05403">
      <w:pPr>
        <w:pStyle w:val="Bullets"/>
      </w:pPr>
      <w:r w:rsidRPr="00A170F9">
        <w:t>t</w:t>
      </w:r>
      <w:r w:rsidR="00DB5D89" w:rsidRPr="00A170F9">
        <w:t>he seller of the land is a party to an arrangement that relates to erecting a dwelling on it; or</w:t>
      </w:r>
    </w:p>
    <w:p w:rsidR="00A729F6" w:rsidRPr="00A170F9" w:rsidRDefault="00505A37" w:rsidP="00D05403">
      <w:pPr>
        <w:pStyle w:val="Bullets"/>
        <w:spacing w:after="0"/>
      </w:pPr>
      <w:r w:rsidRPr="00A170F9">
        <w:t>i</w:t>
      </w:r>
      <w:r w:rsidR="00A729F6" w:rsidRPr="00A170F9">
        <w:t>s bare land that may be used for erecting a dwelling under</w:t>
      </w:r>
      <w:r w:rsidR="00C65B49" w:rsidRPr="00A170F9">
        <w:t xml:space="preserve"> the</w:t>
      </w:r>
      <w:r w:rsidR="00A729F6" w:rsidRPr="00A170F9">
        <w:t xml:space="preserve"> rules in the relevant operative district plan.</w:t>
      </w:r>
    </w:p>
    <w:p w:rsidR="00411476" w:rsidRPr="00A170F9" w:rsidRDefault="00411476" w:rsidP="00A729F6"/>
    <w:p w:rsidR="00A729F6" w:rsidRPr="00A170F9" w:rsidRDefault="00A729F6" w:rsidP="00A729F6">
      <w:r w:rsidRPr="00A170F9">
        <w:t>However, even if one of these three criteria is met, land is not residential land if it is used predominantly as business premises or is farmland</w:t>
      </w:r>
      <w:r w:rsidR="00C65B49" w:rsidRPr="00A170F9">
        <w:t xml:space="preserve"> (as discussed below)</w:t>
      </w:r>
      <w:r w:rsidRPr="00A170F9">
        <w:t>.</w:t>
      </w:r>
    </w:p>
    <w:p w:rsidR="00A729F6" w:rsidRPr="00A170F9" w:rsidRDefault="00A729F6" w:rsidP="00A729F6"/>
    <w:p w:rsidR="00A729F6" w:rsidRPr="00A170F9" w:rsidRDefault="00C42397" w:rsidP="00376839">
      <w:pPr>
        <w:pStyle w:val="Heading3"/>
      </w:pPr>
      <w:r w:rsidRPr="00A170F9">
        <w:t>Dwelling</w:t>
      </w:r>
    </w:p>
    <w:p w:rsidR="00A729F6" w:rsidRPr="00A170F9" w:rsidRDefault="00A729F6" w:rsidP="00A729F6"/>
    <w:p w:rsidR="00A729F6" w:rsidRPr="00A170F9" w:rsidRDefault="00A729F6" w:rsidP="00A729F6">
      <w:r w:rsidRPr="00A170F9">
        <w:t xml:space="preserve">The first criterion includes land that has a dwelling on it. </w:t>
      </w:r>
      <w:r w:rsidR="009965D5" w:rsidRPr="00A170F9">
        <w:t xml:space="preserve"> </w:t>
      </w:r>
      <w:r w:rsidRPr="00A170F9">
        <w:t>The definition of “dwelling” is the same as that currently used in the Income Tax Act 2007 and the Goods and Services Tax Act 1985.</w:t>
      </w:r>
      <w:r w:rsidR="009965D5" w:rsidRPr="00A170F9">
        <w:t xml:space="preserve"> </w:t>
      </w:r>
      <w:r w:rsidRPr="00A170F9">
        <w:t xml:space="preserve"> However, there are two adjustments to the definition of dwelling for the purposes of the bright-line test. </w:t>
      </w:r>
      <w:r w:rsidR="009965D5" w:rsidRPr="00A170F9">
        <w:t xml:space="preserve"> </w:t>
      </w:r>
      <w:r w:rsidRPr="00A170F9">
        <w:t>The two adjustments are to include serviced apartments within the definition of “residential land” and exclude all rest homes and retirement villages from the definition.</w:t>
      </w:r>
    </w:p>
    <w:p w:rsidR="00A729F6" w:rsidRPr="00A170F9" w:rsidRDefault="00A729F6" w:rsidP="00A729F6"/>
    <w:p w:rsidR="00A729F6" w:rsidRPr="00A170F9" w:rsidRDefault="00A729F6" w:rsidP="00A729F6">
      <w:r w:rsidRPr="00A170F9">
        <w:t xml:space="preserve">The second criterion means that the bright-line test covers land that does not have a dwelling on it at present but there is a plan or understanding to build a dwelling on it. </w:t>
      </w:r>
      <w:r w:rsidR="009965D5" w:rsidRPr="00A170F9">
        <w:t xml:space="preserve"> </w:t>
      </w:r>
      <w:r w:rsidRPr="00A170F9">
        <w:t>For example, this criterion would apply when the owner of a commercial office has an arrangement to convert it into dwellings.</w:t>
      </w:r>
    </w:p>
    <w:p w:rsidR="00395E3A" w:rsidRPr="00A170F9" w:rsidRDefault="00395E3A" w:rsidP="00A729F6"/>
    <w:p w:rsidR="008276A3" w:rsidRPr="00A170F9" w:rsidRDefault="008276A3" w:rsidP="00A729F6">
      <w:r w:rsidRPr="00A170F9">
        <w:t xml:space="preserve">The third criterion means the bright-line test covers bare land that is able to be used for a dwelling. </w:t>
      </w:r>
      <w:r w:rsidR="009965D5" w:rsidRPr="00A170F9">
        <w:t xml:space="preserve"> </w:t>
      </w:r>
      <w:r w:rsidRPr="00A170F9">
        <w:t xml:space="preserve">To see whether a parcel of bare land meets this </w:t>
      </w:r>
      <w:r w:rsidR="00CC4F07" w:rsidRPr="00A170F9">
        <w:t xml:space="preserve">criterion </w:t>
      </w:r>
      <w:r w:rsidRPr="00A170F9">
        <w:t xml:space="preserve">a person will need to look at the relevant rule in the operative district plan to see whether </w:t>
      </w:r>
      <w:r w:rsidR="008154DE" w:rsidRPr="00A170F9">
        <w:t>they</w:t>
      </w:r>
      <w:r w:rsidR="00395E3A" w:rsidRPr="00A170F9">
        <w:t xml:space="preserve"> are able to build a dwelling on it.</w:t>
      </w:r>
    </w:p>
    <w:p w:rsidR="00395E3A" w:rsidRPr="00A170F9" w:rsidRDefault="00395E3A" w:rsidP="00A729F6"/>
    <w:p w:rsidR="00C42397" w:rsidRPr="00A170F9" w:rsidRDefault="00BF6494"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w:t>
      </w:r>
      <w:r w:rsidR="00782328" w:rsidRPr="00A170F9">
        <w:rPr>
          <w:b/>
          <w:sz w:val="20"/>
          <w:szCs w:val="20"/>
        </w:rPr>
        <w:t xml:space="preserve"> </w:t>
      </w:r>
      <w:r w:rsidR="00C42397" w:rsidRPr="00A170F9">
        <w:rPr>
          <w:b/>
          <w:sz w:val="20"/>
          <w:szCs w:val="20"/>
        </w:rPr>
        <w:t>Development</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Andrew buys an empty plot of land</w:t>
      </w:r>
      <w:r w:rsidR="00BF6494" w:rsidRPr="00A170F9">
        <w:rPr>
          <w:sz w:val="20"/>
          <w:szCs w:val="20"/>
        </w:rPr>
        <w:t xml:space="preserve"> that is zoned for residential purposes</w:t>
      </w:r>
      <w:r w:rsidRPr="00A170F9">
        <w:rPr>
          <w:sz w:val="20"/>
          <w:szCs w:val="20"/>
        </w:rPr>
        <w:t>.  He plans to develop the plot by subdividing it into four lots and building houses on each of the lots.</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Andrew sells lot 1 off the plan to Bob.  One month later, Bob sells lot 1 to Carla.</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Lot 1 would be “residential land” and Bob</w:t>
      </w:r>
      <w:r w:rsidR="00CC4F07" w:rsidRPr="00A170F9">
        <w:rPr>
          <w:sz w:val="20"/>
          <w:szCs w:val="20"/>
        </w:rPr>
        <w:t>’s sale</w:t>
      </w:r>
      <w:r w:rsidRPr="00A170F9">
        <w:rPr>
          <w:sz w:val="20"/>
          <w:szCs w:val="20"/>
        </w:rPr>
        <w:t xml:space="preserve"> would be subject to the bright-line test</w:t>
      </w:r>
      <w:r w:rsidR="00C65B49" w:rsidRPr="00A170F9">
        <w:rPr>
          <w:sz w:val="20"/>
          <w:szCs w:val="20"/>
        </w:rPr>
        <w:t xml:space="preserve">. </w:t>
      </w:r>
      <w:r w:rsidR="009965D5" w:rsidRPr="00A170F9">
        <w:rPr>
          <w:sz w:val="20"/>
          <w:szCs w:val="20"/>
        </w:rPr>
        <w:t xml:space="preserve"> </w:t>
      </w:r>
      <w:r w:rsidR="00C65B49" w:rsidRPr="00A170F9">
        <w:rPr>
          <w:sz w:val="20"/>
          <w:szCs w:val="20"/>
        </w:rPr>
        <w:t>This is because</w:t>
      </w:r>
      <w:r w:rsidRPr="00A170F9">
        <w:rPr>
          <w:sz w:val="20"/>
          <w:szCs w:val="20"/>
        </w:rPr>
        <w:t xml:space="preserve"> there is an arrangement to build a dwelling on </w:t>
      </w:r>
      <w:r w:rsidR="00CC4F07" w:rsidRPr="00A170F9">
        <w:rPr>
          <w:sz w:val="20"/>
          <w:szCs w:val="20"/>
        </w:rPr>
        <w:t>the land</w:t>
      </w:r>
      <w:r w:rsidRPr="00A170F9">
        <w:rPr>
          <w:sz w:val="20"/>
          <w:szCs w:val="20"/>
        </w:rPr>
        <w:t>, and because it is bare land that</w:t>
      </w:r>
      <w:r w:rsidR="00BF6494" w:rsidRPr="00A170F9">
        <w:rPr>
          <w:sz w:val="20"/>
          <w:szCs w:val="20"/>
        </w:rPr>
        <w:t xml:space="preserve"> can have a dwelling erected on it under</w:t>
      </w:r>
      <w:r w:rsidRPr="00A170F9">
        <w:rPr>
          <w:sz w:val="20"/>
          <w:szCs w:val="20"/>
        </w:rPr>
        <w:t xml:space="preserve"> </w:t>
      </w:r>
      <w:r w:rsidR="00BF6494" w:rsidRPr="00A170F9">
        <w:rPr>
          <w:sz w:val="20"/>
          <w:szCs w:val="20"/>
        </w:rPr>
        <w:t>the relevant district plan</w:t>
      </w:r>
      <w:r w:rsidRPr="00A170F9">
        <w:rPr>
          <w:sz w:val="20"/>
          <w:szCs w:val="20"/>
        </w:rPr>
        <w:t>.</w:t>
      </w:r>
    </w:p>
    <w:p w:rsidR="00395E3A" w:rsidRPr="00A170F9" w:rsidRDefault="00395E3A" w:rsidP="00A729F6"/>
    <w:p w:rsidR="00395E3A" w:rsidRPr="00A170F9" w:rsidRDefault="00395E3A" w:rsidP="00376839">
      <w:pPr>
        <w:pStyle w:val="Heading3"/>
      </w:pPr>
      <w:r w:rsidRPr="00A170F9">
        <w:t>Business premises</w:t>
      </w:r>
    </w:p>
    <w:p w:rsidR="007B63EE" w:rsidRPr="00A170F9" w:rsidRDefault="007B63EE" w:rsidP="007B63EE"/>
    <w:p w:rsidR="00395E3A" w:rsidRPr="00A170F9" w:rsidRDefault="00395E3A" w:rsidP="007B63EE">
      <w:r w:rsidRPr="00A170F9">
        <w:t>Residential land does not include land used predominantly as business premises.</w:t>
      </w:r>
    </w:p>
    <w:p w:rsidR="00395E3A" w:rsidRPr="00A170F9" w:rsidRDefault="00395E3A" w:rsidP="007B63EE"/>
    <w:p w:rsidR="00C42397" w:rsidRPr="00A170F9" w:rsidRDefault="00395E3A" w:rsidP="007B63EE">
      <w:r w:rsidRPr="00A170F9">
        <w:t>“Business premises” has its ordinary meaning as within the r</w:t>
      </w:r>
      <w:r w:rsidR="009965D5" w:rsidRPr="00A170F9">
        <w:t xml:space="preserve">est of the Income Tax Act 2007.  </w:t>
      </w:r>
      <w:r w:rsidRPr="00A170F9">
        <w:t xml:space="preserve">This will generally require </w:t>
      </w:r>
      <w:r w:rsidR="00C42397" w:rsidRPr="00A170F9">
        <w:t>there to be a building on the land and this building to be occupied by a person in the co</w:t>
      </w:r>
      <w:r w:rsidR="00C97B9B" w:rsidRPr="00A170F9">
        <w:t>urse of running their business.</w:t>
      </w:r>
    </w:p>
    <w:p w:rsidR="00C42397" w:rsidRPr="00A170F9" w:rsidRDefault="00C42397" w:rsidP="007B63EE"/>
    <w:p w:rsidR="00395E3A" w:rsidRPr="00A170F9" w:rsidRDefault="00C42397" w:rsidP="007B63EE">
      <w:r w:rsidRPr="00A170F9">
        <w:t>The exclusion does not require that the land be occupied by the owner as their business premises.</w:t>
      </w:r>
      <w:r w:rsidR="009965D5" w:rsidRPr="00A170F9">
        <w:t xml:space="preserve"> </w:t>
      </w:r>
      <w:r w:rsidRPr="00A170F9">
        <w:t xml:space="preserve"> As a result, properties rented out by the owner to other persons to use as their business premises are covered by this exclusion.</w:t>
      </w:r>
      <w:r w:rsidR="009965D5" w:rsidRPr="00A170F9">
        <w:t xml:space="preserve"> </w:t>
      </w:r>
      <w:r w:rsidRPr="00A170F9">
        <w:t xml:space="preserve"> However, t</w:t>
      </w:r>
      <w:r w:rsidR="00395E3A" w:rsidRPr="00A170F9">
        <w:t>he exclusion would not apply where a property is rented out for residential purposes</w:t>
      </w:r>
      <w:r w:rsidR="00C65B49" w:rsidRPr="00A170F9">
        <w:t xml:space="preserve"> (such as a residential rental property)</w:t>
      </w:r>
      <w:r w:rsidR="00395E3A" w:rsidRPr="00A170F9">
        <w:t>.</w:t>
      </w:r>
    </w:p>
    <w:p w:rsidR="00B6165D" w:rsidRPr="00A170F9" w:rsidRDefault="00B6165D">
      <w:pPr>
        <w:jc w:val="left"/>
      </w:pPr>
      <w:r w:rsidRPr="00A170F9">
        <w:br w:type="page"/>
      </w:r>
    </w:p>
    <w:p w:rsidR="00C42397" w:rsidRPr="00A170F9" w:rsidRDefault="00BF6494"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 xml:space="preserve">Example: </w:t>
      </w:r>
      <w:r w:rsidR="00C42397" w:rsidRPr="00A170F9">
        <w:rPr>
          <w:b/>
          <w:sz w:val="20"/>
          <w:szCs w:val="20"/>
        </w:rPr>
        <w:t>Bed and breakfast</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Mary owns a bed and breakfast.  Mary provides meals to the residents, room service and cleans the rooms she lets out every day.</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land has a dwelling on it so meets the first </w:t>
      </w:r>
      <w:r w:rsidR="00404B23" w:rsidRPr="00A170F9">
        <w:rPr>
          <w:sz w:val="20"/>
          <w:szCs w:val="20"/>
        </w:rPr>
        <w:t xml:space="preserve">criterion </w:t>
      </w:r>
      <w:r w:rsidRPr="00A170F9">
        <w:rPr>
          <w:sz w:val="20"/>
          <w:szCs w:val="20"/>
        </w:rPr>
        <w:t>for residential land.  However, the land would not be “residential land” as the land is used predominantly as the business premises for the bed and breakfast.</w:t>
      </w:r>
    </w:p>
    <w:p w:rsidR="00C42397" w:rsidRPr="00A170F9" w:rsidRDefault="00C42397" w:rsidP="00C42397">
      <w:pPr>
        <w:jc w:val="left"/>
        <w:rPr>
          <w:b/>
        </w:rPr>
      </w:pPr>
    </w:p>
    <w:p w:rsidR="00C42397" w:rsidRPr="00A170F9" w:rsidRDefault="00BF6494"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C42397" w:rsidRPr="00A170F9">
        <w:rPr>
          <w:b/>
          <w:sz w:val="20"/>
          <w:szCs w:val="20"/>
        </w:rPr>
        <w:t>Workers</w:t>
      </w:r>
      <w:r w:rsidR="008E6098">
        <w:rPr>
          <w:b/>
          <w:sz w:val="20"/>
          <w:szCs w:val="20"/>
        </w:rPr>
        <w:t>’</w:t>
      </w:r>
      <w:r w:rsidR="00C42397" w:rsidRPr="00A170F9">
        <w:rPr>
          <w:b/>
          <w:sz w:val="20"/>
          <w:szCs w:val="20"/>
        </w:rPr>
        <w:t xml:space="preserve"> quarters</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Steve owns land which contains a factory which is used to process food.  The land also has workers</w:t>
      </w:r>
      <w:r w:rsidR="008E6098">
        <w:rPr>
          <w:sz w:val="20"/>
          <w:szCs w:val="20"/>
        </w:rPr>
        <w:t>’</w:t>
      </w:r>
      <w:r w:rsidRPr="00A170F9">
        <w:rPr>
          <w:sz w:val="20"/>
          <w:szCs w:val="20"/>
        </w:rPr>
        <w:t xml:space="preserve"> quarters on it, which Steve provides to his employees to use as residences.</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land is used predominantly as business premises and so is entitled to the business premises exception.</w:t>
      </w:r>
    </w:p>
    <w:p w:rsidR="00C42397" w:rsidRPr="00A170F9" w:rsidRDefault="00C42397" w:rsidP="00C42397"/>
    <w:p w:rsidR="00C42397" w:rsidRPr="00A170F9" w:rsidRDefault="00BF6494" w:rsidP="00B6165D">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C42397" w:rsidRPr="00A170F9">
        <w:rPr>
          <w:b/>
          <w:sz w:val="20"/>
          <w:szCs w:val="20"/>
        </w:rPr>
        <w:t>Empty factory</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Velma purchases an empty factory which she plans to develop into an apartment building.</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Before beginning construction </w:t>
      </w:r>
      <w:r w:rsidR="00404B23" w:rsidRPr="00A170F9">
        <w:rPr>
          <w:sz w:val="20"/>
          <w:szCs w:val="20"/>
        </w:rPr>
        <w:t xml:space="preserve">and within two years of her acquisition, </w:t>
      </w:r>
      <w:r w:rsidRPr="00A170F9">
        <w:rPr>
          <w:sz w:val="20"/>
          <w:szCs w:val="20"/>
        </w:rPr>
        <w:t>Velma receives a good offer for the building and sells it to William.</w:t>
      </w: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p>
    <w:p w:rsidR="00C42397" w:rsidRPr="00A170F9" w:rsidRDefault="00C42397" w:rsidP="00B6165D">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Velma has an arrangement to put a dwelling on the land and so meets the first criteri</w:t>
      </w:r>
      <w:r w:rsidR="00404B23" w:rsidRPr="00A170F9">
        <w:rPr>
          <w:sz w:val="20"/>
          <w:szCs w:val="20"/>
        </w:rPr>
        <w:t>on</w:t>
      </w:r>
      <w:r w:rsidRPr="00A170F9">
        <w:rPr>
          <w:sz w:val="20"/>
          <w:szCs w:val="20"/>
        </w:rPr>
        <w:t xml:space="preserve"> for residential land.  The land does not qualify for the business premises exclusion</w:t>
      </w:r>
      <w:r w:rsidR="00C65B49" w:rsidRPr="00A170F9">
        <w:rPr>
          <w:sz w:val="20"/>
          <w:szCs w:val="20"/>
        </w:rPr>
        <w:t xml:space="preserve"> as</w:t>
      </w:r>
      <w:r w:rsidRPr="00A170F9">
        <w:rPr>
          <w:sz w:val="20"/>
          <w:szCs w:val="20"/>
        </w:rPr>
        <w:t xml:space="preserve"> </w:t>
      </w:r>
      <w:r w:rsidR="00BF6494" w:rsidRPr="00A170F9">
        <w:rPr>
          <w:sz w:val="20"/>
          <w:szCs w:val="20"/>
        </w:rPr>
        <w:t>the factory</w:t>
      </w:r>
      <w:r w:rsidRPr="00A170F9">
        <w:rPr>
          <w:sz w:val="20"/>
          <w:szCs w:val="20"/>
        </w:rPr>
        <w:t xml:space="preserve"> is empty and not being used as business premises at the time of disposal.  As a result</w:t>
      </w:r>
      <w:r w:rsidR="00C65B49" w:rsidRPr="00A170F9">
        <w:rPr>
          <w:sz w:val="20"/>
          <w:szCs w:val="20"/>
        </w:rPr>
        <w:t>,</w:t>
      </w:r>
      <w:r w:rsidRPr="00A170F9">
        <w:rPr>
          <w:sz w:val="20"/>
          <w:szCs w:val="20"/>
        </w:rPr>
        <w:t xml:space="preserve"> the land is “residential land” and subject to the bright-line test.</w:t>
      </w:r>
    </w:p>
    <w:p w:rsidR="00395E3A" w:rsidRPr="00A170F9" w:rsidRDefault="00395E3A" w:rsidP="007B63EE"/>
    <w:p w:rsidR="00395E3A" w:rsidRPr="00A170F9" w:rsidRDefault="00C15F58" w:rsidP="00376839">
      <w:pPr>
        <w:pStyle w:val="Heading3"/>
      </w:pPr>
      <w:r w:rsidRPr="00A170F9">
        <w:t>Farmland</w:t>
      </w:r>
    </w:p>
    <w:p w:rsidR="00395E3A" w:rsidRPr="00A170F9" w:rsidRDefault="00395E3A" w:rsidP="007B63EE"/>
    <w:p w:rsidR="00395E3A" w:rsidRPr="00A170F9" w:rsidRDefault="00395E3A" w:rsidP="007B63EE">
      <w:r w:rsidRPr="00A170F9">
        <w:t>Residential land does not include farmland.</w:t>
      </w:r>
    </w:p>
    <w:p w:rsidR="00395E3A" w:rsidRPr="00A170F9" w:rsidRDefault="00395E3A" w:rsidP="007B63EE"/>
    <w:p w:rsidR="00395E3A" w:rsidRPr="00A170F9" w:rsidRDefault="00395E3A" w:rsidP="007B63EE">
      <w:r w:rsidRPr="00A170F9">
        <w:t>Farmland means land that</w:t>
      </w:r>
      <w:r w:rsidR="00C42397" w:rsidRPr="00A170F9">
        <w:t xml:space="preserve"> either</w:t>
      </w:r>
      <w:r w:rsidRPr="00A170F9">
        <w:t>:</w:t>
      </w:r>
    </w:p>
    <w:p w:rsidR="00BF6494" w:rsidRPr="00A170F9" w:rsidRDefault="00BF6494" w:rsidP="007B63EE"/>
    <w:p w:rsidR="00C42397" w:rsidRPr="00A170F9" w:rsidRDefault="002649A4" w:rsidP="00D05403">
      <w:pPr>
        <w:pStyle w:val="Bullets"/>
      </w:pPr>
      <w:r w:rsidRPr="00A170F9">
        <w:t>i</w:t>
      </w:r>
      <w:r w:rsidR="00C42397" w:rsidRPr="00A170F9">
        <w:t xml:space="preserve">s being worked on </w:t>
      </w:r>
      <w:r w:rsidR="00C65B49" w:rsidRPr="00A170F9">
        <w:t>as part of a</w:t>
      </w:r>
      <w:r w:rsidR="00C42397" w:rsidRPr="00A170F9">
        <w:t xml:space="preserve"> farming or agricultural business </w:t>
      </w:r>
      <w:r w:rsidR="00C65B49" w:rsidRPr="00A170F9">
        <w:t>by</w:t>
      </w:r>
      <w:r w:rsidR="00C42397" w:rsidRPr="00A170F9">
        <w:t xml:space="preserve"> the owner of the land; or</w:t>
      </w:r>
    </w:p>
    <w:p w:rsidR="00395E3A" w:rsidRPr="00A170F9" w:rsidRDefault="002649A4" w:rsidP="00D05403">
      <w:pPr>
        <w:pStyle w:val="Bullets"/>
        <w:spacing w:after="0"/>
      </w:pPr>
      <w:r w:rsidRPr="00A170F9">
        <w:t>because of its area and nature</w:t>
      </w:r>
      <w:r w:rsidR="00404B23" w:rsidRPr="00A170F9">
        <w:t>,</w:t>
      </w:r>
      <w:r w:rsidRPr="00A170F9">
        <w:t xml:space="preserve"> i</w:t>
      </w:r>
      <w:r w:rsidR="00395E3A" w:rsidRPr="00A170F9">
        <w:t>s capable of being worked as a fa</w:t>
      </w:r>
      <w:r w:rsidRPr="00A170F9">
        <w:t>rming or agricultural business.</w:t>
      </w:r>
    </w:p>
    <w:p w:rsidR="00C14AF3" w:rsidRPr="00A170F9" w:rsidRDefault="00C14AF3" w:rsidP="00395E3A"/>
    <w:p w:rsidR="002649A4" w:rsidRPr="00A170F9" w:rsidRDefault="002649A4" w:rsidP="00395E3A">
      <w:r w:rsidRPr="00A170F9">
        <w:t>Determining whether there is a farming or agricultural business on the land requires looking at the same factors that determine whether there is a business under general tax law.</w:t>
      </w:r>
      <w:r w:rsidR="009965D5" w:rsidRPr="00A170F9">
        <w:t xml:space="preserve"> </w:t>
      </w:r>
      <w:r w:rsidRPr="00A170F9">
        <w:t xml:space="preserve"> This requires looking at the nature of the activities carried on and the intention of the taxpayer i</w:t>
      </w:r>
      <w:r w:rsidR="00C97B9B" w:rsidRPr="00A170F9">
        <w:t>n undertaking these activities.</w:t>
      </w:r>
    </w:p>
    <w:p w:rsidR="002649A4" w:rsidRPr="00A170F9" w:rsidRDefault="002649A4" w:rsidP="00395E3A"/>
    <w:p w:rsidR="002649A4" w:rsidRPr="00A170F9" w:rsidRDefault="002649A4" w:rsidP="00395E3A">
      <w:r w:rsidRPr="00A170F9">
        <w:t xml:space="preserve">Even if there is no farming business being run on the land, it can still be considered farmland if the land is capable of being worked as a farming or agricultural business. </w:t>
      </w:r>
      <w:r w:rsidR="009965D5" w:rsidRPr="00A170F9">
        <w:t xml:space="preserve"> </w:t>
      </w:r>
      <w:r w:rsidRPr="00A170F9">
        <w:t xml:space="preserve">Determining whether land is capable of being worked requires looking at the capability of the land at the time of the disposal. </w:t>
      </w:r>
      <w:r w:rsidR="009965D5" w:rsidRPr="00A170F9">
        <w:t xml:space="preserve"> </w:t>
      </w:r>
      <w:r w:rsidRPr="00A170F9">
        <w:t>Land that requires significant investment or modification to be used as a farming business would therefore not qualify.</w:t>
      </w:r>
    </w:p>
    <w:p w:rsidR="00C14AF3" w:rsidRPr="00A170F9" w:rsidRDefault="00C14AF3">
      <w:pPr>
        <w:jc w:val="left"/>
      </w:pPr>
      <w:r w:rsidRPr="00A170F9">
        <w:br w:type="page"/>
      </w:r>
    </w:p>
    <w:p w:rsidR="00F76C53" w:rsidRPr="00A170F9" w:rsidRDefault="00F76C53"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 xml:space="preserve">Example: Land that because of its area is not capable of being used as farmland </w:t>
      </w: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Marama purchases a lifestyle block with a house and a small area of farmland.  A small number of sheep are kept on the land to keep the grass down.</w:t>
      </w: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land is not farmland as the land is not being worked as a farming business nor is it capable of being worked as a farming business.  It is a hobby farm rather than a genuine farming business.</w:t>
      </w: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p>
    <w:p w:rsidR="00F76C53" w:rsidRPr="00A170F9" w:rsidRDefault="00F76C53"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If the area of farmland was larger and capable of being used for farming purposes, it would likely be farmland.</w:t>
      </w:r>
    </w:p>
    <w:p w:rsidR="00F76C53" w:rsidRPr="00A170F9" w:rsidRDefault="00F76C53" w:rsidP="00395E3A"/>
    <w:p w:rsidR="002649A4" w:rsidRPr="00A170F9" w:rsidRDefault="00F76C53"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2649A4" w:rsidRPr="00A170F9">
        <w:rPr>
          <w:b/>
          <w:sz w:val="20"/>
          <w:szCs w:val="20"/>
        </w:rPr>
        <w:t>Land that because of its nature is not capable of being used as farmland</w:t>
      </w:r>
    </w:p>
    <w:p w:rsidR="002649A4" w:rsidRPr="00A170F9" w:rsidRDefault="002649A4" w:rsidP="00C14AF3">
      <w:pPr>
        <w:pBdr>
          <w:top w:val="single" w:sz="4" w:space="10" w:color="auto"/>
          <w:left w:val="single" w:sz="4" w:space="10" w:color="auto"/>
          <w:bottom w:val="single" w:sz="4" w:space="10" w:color="auto"/>
          <w:right w:val="single" w:sz="4" w:space="10" w:color="auto"/>
        </w:pBdr>
        <w:rPr>
          <w:i/>
          <w:sz w:val="20"/>
          <w:szCs w:val="20"/>
        </w:rPr>
      </w:pP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Tina owns a 50 hectare plot of land.  The land is covered in gorse.</w:t>
      </w: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land is not farmland as it is not currently capable of being used for farming purposes.</w:t>
      </w:r>
    </w:p>
    <w:p w:rsidR="00395E3A" w:rsidRPr="00A170F9" w:rsidRDefault="00395E3A" w:rsidP="00395E3A"/>
    <w:p w:rsidR="002649A4" w:rsidRPr="00A170F9" w:rsidRDefault="00F76C53"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2649A4" w:rsidRPr="00A170F9">
        <w:rPr>
          <w:b/>
          <w:sz w:val="20"/>
          <w:szCs w:val="20"/>
        </w:rPr>
        <w:t>Small plot of land that is farmland</w:t>
      </w: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Uri has a </w:t>
      </w:r>
      <w:r w:rsidR="009965D5" w:rsidRPr="00A170F9">
        <w:rPr>
          <w:sz w:val="20"/>
          <w:szCs w:val="20"/>
        </w:rPr>
        <w:t>five</w:t>
      </w:r>
      <w:r w:rsidRPr="00A170F9">
        <w:rPr>
          <w:sz w:val="20"/>
          <w:szCs w:val="20"/>
        </w:rPr>
        <w:t xml:space="preserve"> hectare plot of land that is suitable for use as a rose farm.</w:t>
      </w: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p>
    <w:p w:rsidR="002649A4" w:rsidRPr="00A170F9" w:rsidRDefault="002649A4"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This land is farmland as it is currently capable of being used for farming purposes.</w:t>
      </w:r>
    </w:p>
    <w:p w:rsidR="00C14AF3" w:rsidRPr="00A170F9" w:rsidRDefault="00C14AF3" w:rsidP="007B63EE"/>
    <w:p w:rsidR="00C15F58" w:rsidRPr="00A170F9" w:rsidRDefault="007B63EE" w:rsidP="00D05403">
      <w:pPr>
        <w:pStyle w:val="Heading2"/>
      </w:pPr>
      <w:r w:rsidRPr="00A170F9">
        <w:t>Main home</w:t>
      </w:r>
    </w:p>
    <w:p w:rsidR="00A20E8F" w:rsidRPr="00A170F9" w:rsidRDefault="00C14AF3" w:rsidP="00634114">
      <w:pPr>
        <w:pStyle w:val="Sectionclause"/>
      </w:pPr>
      <w:r w:rsidRPr="00A170F9">
        <w:t>(Section</w:t>
      </w:r>
      <w:r w:rsidR="008E6098">
        <w:t>s</w:t>
      </w:r>
      <w:r w:rsidRPr="00A170F9">
        <w:t xml:space="preserve"> CB</w:t>
      </w:r>
      <w:r w:rsidR="00634114" w:rsidRPr="00A170F9">
        <w:t xml:space="preserve"> </w:t>
      </w:r>
      <w:r w:rsidRPr="00A170F9">
        <w:t>16A</w:t>
      </w:r>
      <w:r w:rsidR="008E6098">
        <w:t>, YA</w:t>
      </w:r>
      <w:r w:rsidR="00D54AC0">
        <w:t xml:space="preserve"> </w:t>
      </w:r>
      <w:r w:rsidR="008E6098">
        <w:t>1</w:t>
      </w:r>
      <w:r w:rsidRPr="00A170F9">
        <w:t>)</w:t>
      </w:r>
    </w:p>
    <w:p w:rsidR="00C14AF3" w:rsidRPr="00A170F9" w:rsidRDefault="00C14AF3" w:rsidP="007B63EE"/>
    <w:p w:rsidR="00C15F58" w:rsidRPr="00A170F9" w:rsidRDefault="00C15F58" w:rsidP="007B63EE">
      <w:r w:rsidRPr="00A170F9">
        <w:t>The bright-line test does not apply to the disposal of a person’s main home.</w:t>
      </w:r>
    </w:p>
    <w:p w:rsidR="00C15F58" w:rsidRPr="00A170F9" w:rsidRDefault="00C15F58" w:rsidP="007B63EE"/>
    <w:p w:rsidR="00C15F58" w:rsidRPr="00A170F9" w:rsidRDefault="00C15F58" w:rsidP="00376839">
      <w:pPr>
        <w:pStyle w:val="Heading3"/>
      </w:pPr>
      <w:r w:rsidRPr="00A170F9">
        <w:t>Requirements for the main home exception</w:t>
      </w:r>
    </w:p>
    <w:p w:rsidR="00C15F58" w:rsidRPr="00A170F9" w:rsidRDefault="00C15F58" w:rsidP="007B63EE"/>
    <w:p w:rsidR="00C15F58" w:rsidRPr="00A170F9" w:rsidRDefault="00C15F58" w:rsidP="007B63EE">
      <w:r w:rsidRPr="00A170F9">
        <w:t>To qualify for the “main home” exception, the land must have been used predominantly, for most of the time the person owns the land, for a dwelling that was the main home of the person</w:t>
      </w:r>
      <w:r w:rsidR="002404EA" w:rsidRPr="00A170F9">
        <w:t xml:space="preserve"> or a beneficiary of a trust that owns the property</w:t>
      </w:r>
      <w:r w:rsidRPr="00A170F9">
        <w:t xml:space="preserve"> (subject to some limitations).</w:t>
      </w:r>
    </w:p>
    <w:p w:rsidR="00C15F58" w:rsidRPr="00A170F9" w:rsidRDefault="00C15F58" w:rsidP="007B63EE"/>
    <w:p w:rsidR="00C15F58" w:rsidRPr="00A170F9" w:rsidRDefault="00C15F58" w:rsidP="00376839">
      <w:pPr>
        <w:pStyle w:val="Heading4"/>
      </w:pPr>
      <w:r w:rsidRPr="00A170F9">
        <w:t>Used predominantly as person’s main home</w:t>
      </w:r>
    </w:p>
    <w:p w:rsidR="00C15F58" w:rsidRPr="00A170F9" w:rsidRDefault="00C15F58" w:rsidP="007B63EE"/>
    <w:p w:rsidR="00C15F58" w:rsidRPr="00A170F9" w:rsidRDefault="00C15F58" w:rsidP="007B63EE">
      <w:r w:rsidRPr="00A170F9">
        <w:t xml:space="preserve">To be used predominantly as a main home, means that most of the area of the land must have been actually used for the home. </w:t>
      </w:r>
      <w:r w:rsidR="009965D5" w:rsidRPr="00A170F9">
        <w:t xml:space="preserve"> </w:t>
      </w:r>
      <w:r w:rsidRPr="00A170F9">
        <w:t>The test is based on a person’s actual use of the property and not the person’s intended use of the property.</w:t>
      </w:r>
    </w:p>
    <w:p w:rsidR="007A7849" w:rsidRPr="00A170F9" w:rsidRDefault="007A7849" w:rsidP="007B63EE"/>
    <w:p w:rsidR="007A7849" w:rsidRPr="00A170F9" w:rsidRDefault="007A7849" w:rsidP="007B63EE">
      <w:r w:rsidRPr="00A170F9">
        <w:t>In some circumstances, a person will be required to determine the area of land used for their private residential purposes and the area of land used for other purposes.</w:t>
      </w:r>
      <w:r w:rsidR="009965D5" w:rsidRPr="00A170F9">
        <w:t xml:space="preserve"> </w:t>
      </w:r>
      <w:r w:rsidRPr="00A170F9">
        <w:t xml:space="preserve"> For example, when a single property has been used by the owner partly as a residential home and partly as a rental property, the relative areas will need to be determined.</w:t>
      </w:r>
      <w:r w:rsidR="009965D5" w:rsidRPr="00A170F9">
        <w:t xml:space="preserve"> </w:t>
      </w:r>
      <w:r w:rsidRPr="00A170F9">
        <w:t xml:space="preserve"> In many cases, a taxpayer will have determined the relative areas in working out the tax deductions (insurance and rates, for example) that can be claimed. </w:t>
      </w:r>
      <w:r w:rsidR="009965D5" w:rsidRPr="00A170F9">
        <w:t xml:space="preserve"> </w:t>
      </w:r>
      <w:r w:rsidRPr="00A170F9">
        <w:t>The determination of the areas includes any land used for the relevant purposes (for example, a backyard</w:t>
      </w:r>
      <w:r w:rsidR="00C65B49" w:rsidRPr="00A170F9">
        <w:t xml:space="preserve"> or garage</w:t>
      </w:r>
      <w:r w:rsidRPr="00A170F9">
        <w:t xml:space="preserve"> for the home).</w:t>
      </w:r>
    </w:p>
    <w:p w:rsidR="007A7849" w:rsidRPr="00A170F9" w:rsidRDefault="007A7849" w:rsidP="007B63EE"/>
    <w:p w:rsidR="007A7849" w:rsidRPr="00A170F9" w:rsidRDefault="00662034" w:rsidP="007B63EE">
      <w:r w:rsidRPr="00A170F9">
        <w:t>The main home exception can only apply where the property is</w:t>
      </w:r>
      <w:r w:rsidR="002C7D0E" w:rsidRPr="00A170F9">
        <w:t xml:space="preserve"> actually</w:t>
      </w:r>
      <w:r w:rsidRPr="00A170F9">
        <w:t xml:space="preserve"> used as the main home.</w:t>
      </w:r>
      <w:r w:rsidR="00223C4E" w:rsidRPr="00A170F9">
        <w:t xml:space="preserve"> </w:t>
      </w:r>
      <w:r w:rsidR="009965D5" w:rsidRPr="00A170F9">
        <w:t xml:space="preserve"> </w:t>
      </w:r>
      <w:r w:rsidR="00CE20BE" w:rsidRPr="00A170F9">
        <w:t>The</w:t>
      </w:r>
      <w:r w:rsidR="00223C4E" w:rsidRPr="00A170F9">
        <w:t xml:space="preserve"> exception can only apply in full or not at all</w:t>
      </w:r>
      <w:r w:rsidR="00CE20BE" w:rsidRPr="00A170F9">
        <w:t>,</w:t>
      </w:r>
      <w:r w:rsidR="00223C4E" w:rsidRPr="00A170F9">
        <w:t xml:space="preserve"> </w:t>
      </w:r>
      <w:r w:rsidR="002C7D0E" w:rsidRPr="00A170F9">
        <w:t>i</w:t>
      </w:r>
      <w:r w:rsidR="007A7849" w:rsidRPr="00A170F9">
        <w:t xml:space="preserve">t does not apply on a proportionate </w:t>
      </w:r>
      <w:r w:rsidR="007A7849" w:rsidRPr="00A170F9">
        <w:lastRenderedPageBreak/>
        <w:t xml:space="preserve">basis. </w:t>
      </w:r>
      <w:r w:rsidR="009965D5" w:rsidRPr="00A170F9">
        <w:t xml:space="preserve"> </w:t>
      </w:r>
      <w:r w:rsidR="007A7849" w:rsidRPr="00A170F9">
        <w:t xml:space="preserve">As a result, </w:t>
      </w:r>
      <w:r w:rsidRPr="00A170F9">
        <w:t>if a</w:t>
      </w:r>
      <w:r w:rsidR="007A7849" w:rsidRPr="00A170F9">
        <w:t xml:space="preserve"> property is used less than 50 percent </w:t>
      </w:r>
      <w:r w:rsidRPr="00A170F9">
        <w:t xml:space="preserve">of the time as </w:t>
      </w:r>
      <w:r w:rsidR="007A7849" w:rsidRPr="00A170F9">
        <w:t>the main home of the person</w:t>
      </w:r>
      <w:r w:rsidRPr="00A170F9">
        <w:t>,</w:t>
      </w:r>
      <w:r w:rsidR="007A7849" w:rsidRPr="00A170F9">
        <w:t xml:space="preserve"> then the main</w:t>
      </w:r>
      <w:r w:rsidR="006B321C" w:rsidRPr="00A170F9">
        <w:t xml:space="preserve"> home exception will not apply.</w:t>
      </w:r>
    </w:p>
    <w:p w:rsidR="007A7849" w:rsidRPr="00A170F9" w:rsidRDefault="007A7849" w:rsidP="007B63EE"/>
    <w:p w:rsidR="007A7849" w:rsidRPr="00A170F9" w:rsidRDefault="007A7849" w:rsidP="00376839">
      <w:pPr>
        <w:pStyle w:val="Heading4"/>
      </w:pPr>
      <w:r w:rsidRPr="00A170F9">
        <w:t>Used for most of the time as their main home</w:t>
      </w:r>
    </w:p>
    <w:p w:rsidR="007A7849" w:rsidRPr="00A170F9" w:rsidRDefault="007A7849" w:rsidP="007B63EE"/>
    <w:p w:rsidR="007A7849" w:rsidRPr="00A170F9" w:rsidRDefault="007A7849" w:rsidP="007B63EE">
      <w:r w:rsidRPr="00A170F9">
        <w:t>The land must have been used for most of the time that the person owns the land as their main home.</w:t>
      </w:r>
      <w:r w:rsidR="009965D5" w:rsidRPr="00A170F9">
        <w:t xml:space="preserve"> </w:t>
      </w:r>
      <w:r w:rsidRPr="00A170F9">
        <w:t xml:space="preserve"> This requires the property to have been used more than 50 percent of the time as their main home for the period the person owns the land. </w:t>
      </w:r>
      <w:r w:rsidR="009965D5" w:rsidRPr="00A170F9">
        <w:t xml:space="preserve"> </w:t>
      </w:r>
      <w:r w:rsidRPr="00A170F9">
        <w:t>The land does not need to have been used without interruption as their main home.</w:t>
      </w:r>
      <w:r w:rsidR="009965D5" w:rsidRPr="00A170F9">
        <w:t xml:space="preserve"> </w:t>
      </w:r>
      <w:r w:rsidRPr="00A170F9">
        <w:t xml:space="preserve"> For example, a main home can be rented out for short periods while the owner is on </w:t>
      </w:r>
      <w:r w:rsidR="00662034" w:rsidRPr="00A170F9">
        <w:t xml:space="preserve">holiday </w:t>
      </w:r>
      <w:r w:rsidRPr="00A170F9">
        <w:t xml:space="preserve">or prior to settlement of the sale of the property, as long as the time is less than the </w:t>
      </w:r>
      <w:r w:rsidR="00607107" w:rsidRPr="00A170F9">
        <w:t>private residential use.</w:t>
      </w:r>
    </w:p>
    <w:p w:rsidR="00607107" w:rsidRPr="00A170F9" w:rsidRDefault="00607107" w:rsidP="007B63EE"/>
    <w:p w:rsidR="00607107" w:rsidRPr="00A170F9" w:rsidRDefault="00607107" w:rsidP="007B63EE">
      <w:r w:rsidRPr="00A170F9">
        <w:t>The owner, must have resided in the property as their main home.</w:t>
      </w:r>
      <w:r w:rsidR="009965D5" w:rsidRPr="00A170F9">
        <w:t xml:space="preserve"> </w:t>
      </w:r>
      <w:r w:rsidRPr="00A170F9">
        <w:t xml:space="preserve"> The main home exception will not apply when only a family member </w:t>
      </w:r>
      <w:r w:rsidR="00C80189" w:rsidRPr="00A170F9">
        <w:t xml:space="preserve">and not the owner, </w:t>
      </w:r>
      <w:r w:rsidRPr="00A170F9">
        <w:t>has used the property as their main home.</w:t>
      </w:r>
    </w:p>
    <w:p w:rsidR="00607107" w:rsidRPr="00A170F9" w:rsidRDefault="00607107" w:rsidP="007B63EE"/>
    <w:p w:rsidR="00607107" w:rsidRPr="00A170F9" w:rsidRDefault="00607107" w:rsidP="00376839">
      <w:pPr>
        <w:pStyle w:val="Heading4"/>
      </w:pPr>
      <w:r w:rsidRPr="00A170F9">
        <w:t>More than one home</w:t>
      </w:r>
    </w:p>
    <w:p w:rsidR="00607107" w:rsidRPr="00A170F9" w:rsidRDefault="00607107" w:rsidP="007B63EE"/>
    <w:p w:rsidR="00607107" w:rsidRPr="00A170F9" w:rsidRDefault="00607107" w:rsidP="007B63EE">
      <w:r w:rsidRPr="00A170F9">
        <w:t>A person can only have one main home.</w:t>
      </w:r>
      <w:r w:rsidR="009965D5" w:rsidRPr="00A170F9">
        <w:t xml:space="preserve"> </w:t>
      </w:r>
      <w:r w:rsidRPr="00A170F9">
        <w:t xml:space="preserve"> When a person has two houses that they reside in, which property is their main home is determined according to which of the properties that the person has the greatest connection with. </w:t>
      </w:r>
      <w:r w:rsidR="009965D5" w:rsidRPr="00A170F9">
        <w:t xml:space="preserve"> </w:t>
      </w:r>
      <w:r w:rsidRPr="00A170F9">
        <w:t>The greatest connection test operates only as a tie-breaker when a person has more than one home.</w:t>
      </w:r>
    </w:p>
    <w:p w:rsidR="00607107" w:rsidRPr="00A170F9" w:rsidRDefault="00607107" w:rsidP="007B63EE"/>
    <w:p w:rsidR="00607107" w:rsidRPr="00A170F9" w:rsidRDefault="00607107" w:rsidP="00F76C53">
      <w:r w:rsidRPr="00A170F9">
        <w:t xml:space="preserve">The greatest connection test determines, on an objective basis, which property is the person’s main home. </w:t>
      </w:r>
      <w:r w:rsidR="009965D5" w:rsidRPr="00A170F9">
        <w:t xml:space="preserve"> </w:t>
      </w:r>
      <w:r w:rsidRPr="00A170F9">
        <w:t>The test does not allow a person to elect their main home.</w:t>
      </w:r>
      <w:r w:rsidR="009965D5" w:rsidRPr="00A170F9">
        <w:t xml:space="preserve"> </w:t>
      </w:r>
      <w:r w:rsidRPr="00A170F9">
        <w:t xml:space="preserve"> Various factors may be relevant in determining which property the person has the great</w:t>
      </w:r>
      <w:r w:rsidR="00F76C53" w:rsidRPr="00A170F9">
        <w:t>est connection with, including:</w:t>
      </w:r>
    </w:p>
    <w:p w:rsidR="00F76C53" w:rsidRPr="00A170F9" w:rsidRDefault="00F76C53" w:rsidP="00F76C53"/>
    <w:p w:rsidR="00607107" w:rsidRPr="00A170F9" w:rsidRDefault="00505A37" w:rsidP="00D05403">
      <w:pPr>
        <w:pStyle w:val="Bullets"/>
      </w:pPr>
      <w:r w:rsidRPr="00A170F9">
        <w:t>t</w:t>
      </w:r>
      <w:r w:rsidR="00607107" w:rsidRPr="00A170F9">
        <w:t>he time the person occupies the dwelling;</w:t>
      </w:r>
    </w:p>
    <w:p w:rsidR="00607107" w:rsidRPr="00A170F9" w:rsidRDefault="00505A37" w:rsidP="00D05403">
      <w:pPr>
        <w:pStyle w:val="Bullets"/>
      </w:pPr>
      <w:r w:rsidRPr="00A170F9">
        <w:t>w</w:t>
      </w:r>
      <w:r w:rsidR="00607107" w:rsidRPr="00A170F9">
        <w:t>here their immediate family (if any) live;</w:t>
      </w:r>
    </w:p>
    <w:p w:rsidR="00607107" w:rsidRPr="00A170F9" w:rsidRDefault="00505A37" w:rsidP="00D05403">
      <w:pPr>
        <w:pStyle w:val="Bullets"/>
      </w:pPr>
      <w:r w:rsidRPr="00A170F9">
        <w:t>w</w:t>
      </w:r>
      <w:r w:rsidR="00607107" w:rsidRPr="00A170F9">
        <w:t>here their social ties are strongest;</w:t>
      </w:r>
    </w:p>
    <w:p w:rsidR="00607107" w:rsidRPr="00A170F9" w:rsidRDefault="00505A37" w:rsidP="00D05403">
      <w:pPr>
        <w:pStyle w:val="Bullets"/>
      </w:pPr>
      <w:r w:rsidRPr="00A170F9">
        <w:t>t</w:t>
      </w:r>
      <w:r w:rsidR="00607107" w:rsidRPr="00A170F9">
        <w:t>he person’s use of the dwelling;</w:t>
      </w:r>
    </w:p>
    <w:p w:rsidR="00607107" w:rsidRPr="00A170F9" w:rsidRDefault="00505A37" w:rsidP="00D05403">
      <w:pPr>
        <w:pStyle w:val="Bullets"/>
      </w:pPr>
      <w:r w:rsidRPr="00A170F9">
        <w:t>t</w:t>
      </w:r>
      <w:r w:rsidR="00607107" w:rsidRPr="00A170F9">
        <w:t>he person’s employment, business interests and economic ties to the area where the dwelling is located; and</w:t>
      </w:r>
    </w:p>
    <w:p w:rsidR="00607107" w:rsidRPr="00A170F9" w:rsidRDefault="00505A37" w:rsidP="00D05403">
      <w:pPr>
        <w:pStyle w:val="Bullets"/>
        <w:spacing w:after="0"/>
      </w:pPr>
      <w:r w:rsidRPr="00A170F9">
        <w:t>w</w:t>
      </w:r>
      <w:r w:rsidR="00607107" w:rsidRPr="00A170F9">
        <w:t>hether the person’s personal property is in the dwelling.</w:t>
      </w:r>
    </w:p>
    <w:p w:rsidR="00C14AF3" w:rsidRPr="00A170F9" w:rsidRDefault="00C14AF3" w:rsidP="00607107"/>
    <w:p w:rsidR="00607107" w:rsidRPr="00A170F9" w:rsidRDefault="00607107" w:rsidP="00607107">
      <w:r w:rsidRPr="00A170F9">
        <w:t xml:space="preserve">These factors are similar to those used to determine if a person has a permanent place of abode under current tax law. </w:t>
      </w:r>
      <w:r w:rsidR="009965D5" w:rsidRPr="00A170F9">
        <w:t xml:space="preserve"> </w:t>
      </w:r>
      <w:r w:rsidRPr="00A170F9">
        <w:t>Therefore, existing guidance on the “permanent place of abode” test could assist in determining which property the person has the greatest connection with.</w:t>
      </w:r>
    </w:p>
    <w:p w:rsidR="00607107" w:rsidRPr="00A170F9" w:rsidRDefault="00607107" w:rsidP="007B63EE"/>
    <w:p w:rsidR="00607107" w:rsidRPr="00A170F9" w:rsidRDefault="00607107" w:rsidP="00376839">
      <w:pPr>
        <w:pStyle w:val="Heading4"/>
      </w:pPr>
      <w:r w:rsidRPr="00A170F9">
        <w:t>Using the main home exception for two properties</w:t>
      </w:r>
    </w:p>
    <w:p w:rsidR="00C15F58" w:rsidRPr="00A170F9" w:rsidRDefault="00C15F58" w:rsidP="007B63EE"/>
    <w:p w:rsidR="00607107" w:rsidRPr="00A170F9" w:rsidRDefault="00607107" w:rsidP="007B63EE">
      <w:r w:rsidRPr="00A170F9">
        <w:t>Under limited circumstances, a person may use the main home exception for two properties sold at the same time.</w:t>
      </w:r>
    </w:p>
    <w:p w:rsidR="00607107" w:rsidRPr="00A170F9" w:rsidRDefault="00607107" w:rsidP="007B63EE"/>
    <w:p w:rsidR="00607107" w:rsidRPr="00A170F9" w:rsidRDefault="00607107" w:rsidP="007B63EE">
      <w:r w:rsidRPr="00A170F9">
        <w:t xml:space="preserve">An example is when a person lives in a home for less than one year as their main home, and moves into a new home while trying to sell the original home. </w:t>
      </w:r>
      <w:r w:rsidR="009965D5" w:rsidRPr="00A170F9">
        <w:t xml:space="preserve"> </w:t>
      </w:r>
      <w:r w:rsidRPr="00A170F9">
        <w:t xml:space="preserve">The original home may satisfy </w:t>
      </w:r>
      <w:r w:rsidRPr="00A170F9">
        <w:lastRenderedPageBreak/>
        <w:t xml:space="preserve">the requirements to be the person’s main home (as discussed above) for the period before moving into the main home. </w:t>
      </w:r>
      <w:r w:rsidR="009965D5" w:rsidRPr="00A170F9">
        <w:t xml:space="preserve"> </w:t>
      </w:r>
      <w:r w:rsidRPr="00A170F9">
        <w:t>The new home may also satisfy the requirements to be the person’s main home for the subsequent period.</w:t>
      </w:r>
    </w:p>
    <w:p w:rsidR="00607107" w:rsidRPr="00A170F9" w:rsidRDefault="00607107" w:rsidP="007B63EE"/>
    <w:p w:rsidR="006B321C" w:rsidRPr="00A170F9" w:rsidRDefault="00607107" w:rsidP="007B63EE">
      <w:r w:rsidRPr="00A170F9">
        <w:t xml:space="preserve">The ownership overlap of the properties will not mean the original home fails to satisfy the requirements to be a main home for the previous period. </w:t>
      </w:r>
      <w:r w:rsidR="00C97B9B" w:rsidRPr="00A170F9">
        <w:t xml:space="preserve"> </w:t>
      </w:r>
      <w:r w:rsidRPr="00A170F9">
        <w:t xml:space="preserve">If the two properties were sold at the same time, the owner </w:t>
      </w:r>
      <w:r w:rsidR="00C65B49" w:rsidRPr="00A170F9">
        <w:t>would</w:t>
      </w:r>
      <w:r w:rsidRPr="00A170F9">
        <w:t xml:space="preserve"> be able to use the main home exception for both properties (if they both satisfied the requirements to be a main home for the different periods).</w:t>
      </w:r>
    </w:p>
    <w:p w:rsidR="00FA77E9" w:rsidRPr="00A170F9" w:rsidRDefault="00FA77E9" w:rsidP="007B63EE"/>
    <w:p w:rsidR="00FA77E9" w:rsidRPr="00A170F9" w:rsidRDefault="00FA77E9"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Main home exception for multiple properties</w:t>
      </w:r>
    </w:p>
    <w:p w:rsidR="00693BF4" w:rsidRPr="00A170F9" w:rsidRDefault="00693BF4" w:rsidP="00C14AF3">
      <w:pPr>
        <w:pBdr>
          <w:top w:val="single" w:sz="4" w:space="10" w:color="auto"/>
          <w:left w:val="single" w:sz="4" w:space="10" w:color="auto"/>
          <w:bottom w:val="single" w:sz="4" w:space="10" w:color="auto"/>
          <w:right w:val="single" w:sz="4" w:space="10" w:color="auto"/>
        </w:pBdr>
        <w:rPr>
          <w:sz w:val="20"/>
          <w:szCs w:val="20"/>
        </w:rPr>
      </w:pPr>
    </w:p>
    <w:p w:rsidR="00FA77E9" w:rsidRPr="00A170F9" w:rsidRDefault="00D64A17" w:rsidP="00D64A17">
      <w:pPr>
        <w:pBdr>
          <w:top w:val="single" w:sz="4" w:space="10" w:color="auto"/>
          <w:left w:val="single" w:sz="4" w:space="10" w:color="auto"/>
          <w:bottom w:val="single" w:sz="4" w:space="10" w:color="auto"/>
          <w:right w:val="single" w:sz="4" w:space="10" w:color="auto"/>
        </w:pBdr>
        <w:jc w:val="center"/>
      </w:pPr>
      <w:r w:rsidRPr="00A170F9">
        <w:rPr>
          <w:noProof/>
          <w:lang w:eastAsia="en-NZ"/>
        </w:rPr>
        <w:drawing>
          <wp:inline distT="0" distB="0" distL="0" distR="0" wp14:anchorId="0C4BCF97" wp14:editId="53678D06">
            <wp:extent cx="4953000" cy="23622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2362200"/>
                    </a:xfrm>
                    <a:prstGeom prst="rect">
                      <a:avLst/>
                    </a:prstGeom>
                    <a:noFill/>
                    <a:ln>
                      <a:noFill/>
                    </a:ln>
                  </pic:spPr>
                </pic:pic>
              </a:graphicData>
            </a:graphic>
          </wp:inline>
        </w:drawing>
      </w:r>
    </w:p>
    <w:p w:rsidR="00D64A17" w:rsidRPr="00A170F9" w:rsidRDefault="00D64A17" w:rsidP="00C14AF3">
      <w:pPr>
        <w:pBdr>
          <w:top w:val="single" w:sz="4" w:space="10" w:color="auto"/>
          <w:left w:val="single" w:sz="4" w:space="10" w:color="auto"/>
          <w:bottom w:val="single" w:sz="4" w:space="10" w:color="auto"/>
          <w:right w:val="single" w:sz="4" w:space="10" w:color="auto"/>
        </w:pBdr>
        <w:rPr>
          <w:sz w:val="20"/>
          <w:szCs w:val="20"/>
        </w:rPr>
      </w:pPr>
    </w:p>
    <w:p w:rsidR="00FA77E9" w:rsidRPr="00A170F9" w:rsidRDefault="00FA77E9"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The main home exception is available for both properties. </w:t>
      </w:r>
      <w:r w:rsidR="00C97B9B" w:rsidRPr="00A170F9">
        <w:rPr>
          <w:sz w:val="20"/>
          <w:szCs w:val="20"/>
        </w:rPr>
        <w:t xml:space="preserve"> </w:t>
      </w:r>
      <w:r w:rsidRPr="00A170F9">
        <w:rPr>
          <w:sz w:val="20"/>
          <w:szCs w:val="20"/>
        </w:rPr>
        <w:t xml:space="preserve">Property 1 was the main home for 9 out of the 11 months the property was owned. </w:t>
      </w:r>
      <w:r w:rsidR="00C97B9B" w:rsidRPr="00A170F9">
        <w:rPr>
          <w:sz w:val="20"/>
          <w:szCs w:val="20"/>
        </w:rPr>
        <w:t xml:space="preserve"> </w:t>
      </w:r>
      <w:r w:rsidRPr="00A170F9">
        <w:rPr>
          <w:sz w:val="20"/>
          <w:szCs w:val="20"/>
        </w:rPr>
        <w:t>Property 2 was the main home for the entire time it was owned.</w:t>
      </w:r>
    </w:p>
    <w:p w:rsidR="00FA77E9" w:rsidRPr="00A170F9" w:rsidRDefault="00FA77E9" w:rsidP="007B63EE"/>
    <w:p w:rsidR="00607107" w:rsidRPr="00A170F9" w:rsidRDefault="00607107" w:rsidP="007B63EE">
      <w:pPr>
        <w:rPr>
          <w:i/>
        </w:rPr>
      </w:pPr>
      <w:r w:rsidRPr="00A170F9">
        <w:rPr>
          <w:i/>
        </w:rPr>
        <w:t>Different owners can have different main homes</w:t>
      </w:r>
    </w:p>
    <w:p w:rsidR="00607107" w:rsidRPr="00A170F9" w:rsidRDefault="00607107" w:rsidP="007B63EE"/>
    <w:p w:rsidR="00607107" w:rsidRPr="00A170F9" w:rsidRDefault="00607107" w:rsidP="007B63EE">
      <w:r w:rsidRPr="00A170F9">
        <w:t xml:space="preserve">Co-owners of property can have different main homes. </w:t>
      </w:r>
      <w:r w:rsidR="00C97B9B" w:rsidRPr="00A170F9">
        <w:t xml:space="preserve"> </w:t>
      </w:r>
      <w:r w:rsidRPr="00A170F9">
        <w:t xml:space="preserve">For example, a person living in one city may have a different main home from their spouse living in another city. </w:t>
      </w:r>
      <w:r w:rsidR="00C97B9B" w:rsidRPr="00A170F9">
        <w:t xml:space="preserve"> </w:t>
      </w:r>
      <w:r w:rsidRPr="00A170F9">
        <w:t>The bright-line test will only apply to the extent the property is not the ma</w:t>
      </w:r>
      <w:r w:rsidR="00CA0346" w:rsidRPr="00A170F9">
        <w:t>in home of an owner on disposal.</w:t>
      </w:r>
    </w:p>
    <w:p w:rsidR="00607107" w:rsidRPr="00A170F9" w:rsidRDefault="00607107" w:rsidP="007B63EE"/>
    <w:p w:rsidR="00607107" w:rsidRPr="00A170F9" w:rsidRDefault="00607107" w:rsidP="00376839">
      <w:pPr>
        <w:pStyle w:val="Heading3"/>
      </w:pPr>
      <w:r w:rsidRPr="00A170F9">
        <w:t>Habitual sellers</w:t>
      </w:r>
    </w:p>
    <w:p w:rsidR="00607107" w:rsidRPr="00A170F9" w:rsidRDefault="00607107" w:rsidP="007B63EE"/>
    <w:p w:rsidR="00607107" w:rsidRPr="00A170F9" w:rsidRDefault="00607107" w:rsidP="007B63EE">
      <w:r w:rsidRPr="00A170F9">
        <w:t>A person who habitually sells their main home cannot obtain the main home exception.</w:t>
      </w:r>
    </w:p>
    <w:p w:rsidR="00607107" w:rsidRPr="00A170F9" w:rsidRDefault="00607107" w:rsidP="007B63EE"/>
    <w:p w:rsidR="00607107" w:rsidRPr="00A170F9" w:rsidRDefault="00607107" w:rsidP="007B63EE">
      <w:r w:rsidRPr="00A170F9">
        <w:t>A person is considered a habitual seller if the</w:t>
      </w:r>
      <w:r w:rsidR="006B321C" w:rsidRPr="00A170F9">
        <w:t xml:space="preserve">y </w:t>
      </w:r>
      <w:r w:rsidRPr="00A170F9">
        <w:t>either:</w:t>
      </w:r>
    </w:p>
    <w:p w:rsidR="00505A37" w:rsidRPr="00A170F9" w:rsidRDefault="00505A37" w:rsidP="007B63EE"/>
    <w:p w:rsidR="00607107" w:rsidRPr="00A170F9" w:rsidRDefault="006B321C" w:rsidP="00D05403">
      <w:pPr>
        <w:pStyle w:val="Bullets"/>
      </w:pPr>
      <w:r w:rsidRPr="00A170F9">
        <w:t>p</w:t>
      </w:r>
      <w:r w:rsidR="0048736B" w:rsidRPr="00A170F9">
        <w:t>reviously used the main home exception twice in the previous two years; or</w:t>
      </w:r>
    </w:p>
    <w:p w:rsidR="0048736B" w:rsidRPr="00A170F9" w:rsidRDefault="006B321C" w:rsidP="00D05403">
      <w:pPr>
        <w:pStyle w:val="Bullets"/>
        <w:spacing w:after="0"/>
      </w:pPr>
      <w:r w:rsidRPr="00A170F9">
        <w:t>h</w:t>
      </w:r>
      <w:r w:rsidR="0048736B" w:rsidRPr="00A170F9">
        <w:t>ave engaged in a regular pattern of acquiring and disposing of residential land.</w:t>
      </w:r>
    </w:p>
    <w:p w:rsidR="0048736B" w:rsidRPr="00A170F9" w:rsidRDefault="0048736B" w:rsidP="0048736B"/>
    <w:p w:rsidR="0048736B" w:rsidRPr="00A170F9" w:rsidRDefault="0048736B" w:rsidP="0048736B">
      <w:r w:rsidRPr="00A170F9">
        <w:t xml:space="preserve">If either of these apply then </w:t>
      </w:r>
      <w:r w:rsidR="001506E6" w:rsidRPr="00A170F9">
        <w:t>the main</w:t>
      </w:r>
      <w:r w:rsidRPr="00A170F9">
        <w:t xml:space="preserve"> home exception</w:t>
      </w:r>
      <w:r w:rsidR="00E13E7A" w:rsidRPr="00A170F9">
        <w:t xml:space="preserve"> is not available for this person</w:t>
      </w:r>
      <w:r w:rsidR="006B321C" w:rsidRPr="00A170F9">
        <w:t>.</w:t>
      </w:r>
    </w:p>
    <w:p w:rsidR="006B321C" w:rsidRPr="00A170F9" w:rsidRDefault="006B321C" w:rsidP="0048736B"/>
    <w:p w:rsidR="006B321C" w:rsidRPr="00A170F9" w:rsidRDefault="006B321C" w:rsidP="0048736B">
      <w:r w:rsidRPr="00A170F9">
        <w:t xml:space="preserve">Determining whether there is a regular pattern is a question of fact and degree. </w:t>
      </w:r>
      <w:r w:rsidR="00C97B9B" w:rsidRPr="00A170F9">
        <w:t xml:space="preserve"> </w:t>
      </w:r>
      <w:r w:rsidR="00541FAB" w:rsidRPr="00A170F9">
        <w:t>Examining t</w:t>
      </w:r>
      <w:r w:rsidR="00E13E7A" w:rsidRPr="00A170F9">
        <w:t xml:space="preserve">ransactions </w:t>
      </w:r>
      <w:r w:rsidR="00094B7A" w:rsidRPr="00A170F9">
        <w:t xml:space="preserve">that occurred prior to and </w:t>
      </w:r>
      <w:r w:rsidR="00C65B49" w:rsidRPr="00A170F9">
        <w:t>after</w:t>
      </w:r>
      <w:r w:rsidR="00094B7A" w:rsidRPr="00A170F9">
        <w:t xml:space="preserve"> the disposal of the property in question</w:t>
      </w:r>
      <w:r w:rsidR="00E13E7A" w:rsidRPr="00A170F9">
        <w:t xml:space="preserve"> </w:t>
      </w:r>
      <w:r w:rsidR="00541FAB" w:rsidRPr="00A170F9">
        <w:t>can help to reveal a</w:t>
      </w:r>
      <w:r w:rsidR="00E13E7A" w:rsidRPr="00A170F9">
        <w:t xml:space="preserve"> regular pattern of </w:t>
      </w:r>
      <w:r w:rsidR="00541FAB" w:rsidRPr="00A170F9">
        <w:t>similar transactions</w:t>
      </w:r>
      <w:r w:rsidR="00094B7A" w:rsidRPr="00A170F9">
        <w:t>.</w:t>
      </w:r>
    </w:p>
    <w:p w:rsidR="00A27D75" w:rsidRPr="00A170F9" w:rsidRDefault="00A27D75" w:rsidP="0048736B"/>
    <w:p w:rsidR="00A27D75" w:rsidRPr="00A170F9" w:rsidRDefault="00A27D75" w:rsidP="00376839">
      <w:pPr>
        <w:pStyle w:val="Heading3"/>
      </w:pPr>
      <w:r w:rsidRPr="00A170F9">
        <w:t>Main home and trusts</w:t>
      </w:r>
    </w:p>
    <w:p w:rsidR="00A27D75" w:rsidRPr="00A170F9" w:rsidRDefault="00A27D75" w:rsidP="00A27D75"/>
    <w:p w:rsidR="00A27D75" w:rsidRPr="00A170F9" w:rsidRDefault="00A27D75" w:rsidP="00A27D75">
      <w:r w:rsidRPr="00A170F9">
        <w:t>The trustee of a trust can</w:t>
      </w:r>
      <w:r w:rsidR="00C65B49" w:rsidRPr="00A170F9">
        <w:t xml:space="preserve"> generally</w:t>
      </w:r>
      <w:r w:rsidRPr="00A170F9">
        <w:t xml:space="preserve"> use the main home exception if they dispose of a property that is the main home of a beneficiary of the trust. </w:t>
      </w:r>
      <w:r w:rsidR="00C97B9B" w:rsidRPr="00A170F9">
        <w:t xml:space="preserve"> </w:t>
      </w:r>
      <w:r w:rsidRPr="00A170F9">
        <w:t>To obtain the exception the land must be used predominantly as the beneficiary’s main home for most of the time the trust owns the land.</w:t>
      </w:r>
    </w:p>
    <w:p w:rsidR="00A27D75" w:rsidRPr="00A170F9" w:rsidRDefault="00A27D75" w:rsidP="00A27D75"/>
    <w:p w:rsidR="00A27D75" w:rsidRPr="00A170F9" w:rsidRDefault="00A27D75" w:rsidP="00A27D75">
      <w:r w:rsidRPr="00A170F9">
        <w:t>A trust cannot use the main home exception when a principal settlor of the trust has another main home.</w:t>
      </w:r>
      <w:r w:rsidR="00DE4935" w:rsidRPr="00A170F9">
        <w:t xml:space="preserve"> </w:t>
      </w:r>
      <w:r w:rsidR="00C97B9B" w:rsidRPr="00A170F9">
        <w:t xml:space="preserve"> </w:t>
      </w:r>
      <w:r w:rsidR="00DE4935" w:rsidRPr="00A170F9">
        <w:t xml:space="preserve">This rule is to ensure that people cannot </w:t>
      </w:r>
      <w:r w:rsidR="00541FAB" w:rsidRPr="00A170F9">
        <w:t>get</w:t>
      </w:r>
      <w:r w:rsidR="00DE4935" w:rsidRPr="00A170F9">
        <w:t xml:space="preserve"> the main home exception multiple times through the use of a trust.</w:t>
      </w:r>
    </w:p>
    <w:p w:rsidR="00A27D75" w:rsidRPr="00A170F9" w:rsidRDefault="00A27D75" w:rsidP="00A27D75"/>
    <w:p w:rsidR="00A27D75" w:rsidRPr="00A170F9" w:rsidRDefault="00A27D75" w:rsidP="00376839">
      <w:pPr>
        <w:pStyle w:val="Heading4"/>
      </w:pPr>
      <w:r w:rsidRPr="00A170F9">
        <w:t>Who is a principal settlor?</w:t>
      </w:r>
    </w:p>
    <w:p w:rsidR="00A27D75" w:rsidRPr="00A170F9" w:rsidRDefault="00A27D75" w:rsidP="00A27D75"/>
    <w:p w:rsidR="00A27D75" w:rsidRPr="00A170F9" w:rsidRDefault="00A27D75" w:rsidP="00A27D75">
      <w:r w:rsidRPr="00A170F9">
        <w:t>A principal settlor is the person who has provided the most value to the trust (by market value).</w:t>
      </w:r>
    </w:p>
    <w:p w:rsidR="00A27D75" w:rsidRPr="00A170F9" w:rsidRDefault="00A27D75" w:rsidP="00A27D75"/>
    <w:p w:rsidR="00A27D75" w:rsidRPr="00A170F9" w:rsidRDefault="00A27D75" w:rsidP="00A27D75">
      <w:r w:rsidRPr="00A170F9">
        <w:t xml:space="preserve">For the purposes of determining a principal settlor all provisions of value are counted, except for the provision of services at below market value. </w:t>
      </w:r>
      <w:r w:rsidR="00C97B9B" w:rsidRPr="00A170F9">
        <w:t xml:space="preserve"> </w:t>
      </w:r>
      <w:r w:rsidRPr="00A170F9">
        <w:t>If there are multiple people who have provided the greatest equal value to the trust, they are all considered principal settlors.</w:t>
      </w:r>
    </w:p>
    <w:p w:rsidR="00A27D75" w:rsidRPr="00A170F9" w:rsidRDefault="00A27D75" w:rsidP="00A27D75"/>
    <w:p w:rsidR="00A27D75" w:rsidRPr="00A170F9" w:rsidRDefault="00A27D75" w:rsidP="00A27D75">
      <w:r w:rsidRPr="00A170F9">
        <w:t xml:space="preserve">In addition, a person is not a principal settlor if they have provided a “no-strings attached” gift to the trust. </w:t>
      </w:r>
      <w:r w:rsidR="00C97B9B" w:rsidRPr="00A170F9">
        <w:t xml:space="preserve"> </w:t>
      </w:r>
      <w:r w:rsidRPr="00A170F9">
        <w:t>This means that for the purposes of determining who has provided the most value to the trust, provisions of value transferred by a person if the person is none of the following</w:t>
      </w:r>
      <w:r w:rsidR="004F6FE3" w:rsidRPr="00A170F9">
        <w:t xml:space="preserve"> are disregarded</w:t>
      </w:r>
      <w:r w:rsidRPr="00A170F9">
        <w:t>:</w:t>
      </w:r>
    </w:p>
    <w:p w:rsidR="00A27D75" w:rsidRPr="00A170F9" w:rsidRDefault="00A27D75" w:rsidP="00A27D75"/>
    <w:p w:rsidR="00A27D75" w:rsidRPr="00A170F9" w:rsidRDefault="00A27D75" w:rsidP="00D05403">
      <w:pPr>
        <w:pStyle w:val="Bullets"/>
      </w:pPr>
      <w:r w:rsidRPr="00A170F9">
        <w:t>a beneficiary;</w:t>
      </w:r>
    </w:p>
    <w:p w:rsidR="00A27D75" w:rsidRPr="00A170F9" w:rsidRDefault="00A27D75" w:rsidP="00D05403">
      <w:pPr>
        <w:pStyle w:val="Bullets"/>
      </w:pPr>
      <w:r w:rsidRPr="00A170F9">
        <w:t>a trustee;</w:t>
      </w:r>
    </w:p>
    <w:p w:rsidR="00A27D75" w:rsidRPr="00A170F9" w:rsidRDefault="00A27D75" w:rsidP="00D05403">
      <w:pPr>
        <w:pStyle w:val="Bullets"/>
      </w:pPr>
      <w:r w:rsidRPr="00A170F9">
        <w:t>a person with the power of appointment or removal of trustees;</w:t>
      </w:r>
    </w:p>
    <w:p w:rsidR="00A27D75" w:rsidRPr="00A170F9" w:rsidRDefault="00A27D75" w:rsidP="00D05403">
      <w:pPr>
        <w:pStyle w:val="Bullets"/>
      </w:pPr>
      <w:r w:rsidRPr="00A170F9">
        <w:t>a person with a contingent interest in the trust property, in the case that the trust fails; or</w:t>
      </w:r>
    </w:p>
    <w:p w:rsidR="00A27D75" w:rsidRPr="00A170F9" w:rsidRDefault="00A27D75" w:rsidP="00D05403">
      <w:pPr>
        <w:pStyle w:val="Bullets"/>
        <w:spacing w:after="0"/>
      </w:pPr>
      <w:r w:rsidRPr="00A170F9">
        <w:t>a decision-maker under the trust.</w:t>
      </w:r>
    </w:p>
    <w:p w:rsidR="007D6381" w:rsidRPr="00A170F9" w:rsidRDefault="007D6381" w:rsidP="007D6381">
      <w:pPr>
        <w:rPr>
          <w:szCs w:val="24"/>
        </w:rPr>
      </w:pPr>
    </w:p>
    <w:p w:rsidR="00CA0346" w:rsidRPr="00A170F9" w:rsidRDefault="00CA0346"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Holiday home</w:t>
      </w:r>
    </w:p>
    <w:p w:rsidR="00A27D75" w:rsidRPr="00A170F9" w:rsidRDefault="00A27D75" w:rsidP="00C14AF3">
      <w:pPr>
        <w:pBdr>
          <w:top w:val="single" w:sz="4" w:space="10" w:color="auto"/>
          <w:left w:val="single" w:sz="4" w:space="10" w:color="auto"/>
          <w:bottom w:val="single" w:sz="4" w:space="10" w:color="auto"/>
          <w:right w:val="single" w:sz="4" w:space="10" w:color="auto"/>
        </w:pBdr>
        <w:rPr>
          <w:sz w:val="20"/>
          <w:szCs w:val="20"/>
        </w:rPr>
      </w:pPr>
    </w:p>
    <w:p w:rsidR="00CA0346"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Lisa rents an apartment in Wellington, where she lives with her son.  The apartment is close to her office from which she runs her consulting business fulltime.  She is a member of a local tramping club and is on the Board of Trustees of her son’s school in central Wellington.</w:t>
      </w:r>
    </w:p>
    <w:p w:rsidR="00CA0346" w:rsidRPr="00A170F9" w:rsidRDefault="00CA0346"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She owns a house on Lake Taupo with views over the lake.  She does not let the Lake Taupo property out when she is not using it.  She spends four weeks with her son in this property over Christmas and New Year, and also uses the property for about five weekends during the ski season.</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When Lisa sells the Lake Taupo property, she cannot use the main home exemption because it is not the property with which s</w:t>
      </w:r>
      <w:r w:rsidR="00A27D75" w:rsidRPr="00A170F9">
        <w:rPr>
          <w:sz w:val="20"/>
          <w:szCs w:val="20"/>
        </w:rPr>
        <w:t>he has the greatest connection.</w:t>
      </w:r>
    </w:p>
    <w:p w:rsidR="00C14AF3" w:rsidRPr="00A170F9" w:rsidRDefault="00C14AF3">
      <w:pPr>
        <w:jc w:val="left"/>
      </w:pPr>
      <w:r w:rsidRPr="00A170F9">
        <w:br w:type="page"/>
      </w:r>
    </w:p>
    <w:p w:rsidR="00CA0346" w:rsidRPr="00A170F9" w:rsidRDefault="007D6381"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Example: Multiple dwellings</w:t>
      </w:r>
    </w:p>
    <w:p w:rsidR="00CA0346" w:rsidRPr="00A170F9" w:rsidRDefault="00CA0346" w:rsidP="00C14AF3">
      <w:pPr>
        <w:pBdr>
          <w:top w:val="single" w:sz="4" w:space="10" w:color="auto"/>
          <w:left w:val="single" w:sz="4" w:space="10" w:color="auto"/>
          <w:bottom w:val="single" w:sz="4" w:space="10" w:color="auto"/>
          <w:right w:val="single" w:sz="4" w:space="10" w:color="auto"/>
        </w:pBdr>
        <w:rPr>
          <w:sz w:val="20"/>
          <w:szCs w:val="20"/>
        </w:rPr>
      </w:pPr>
    </w:p>
    <w:p w:rsidR="00CA0346"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Bill buys an apartment block on a single title.  He lives in one of the apartments as his main home and rents out the remaining six apartments.  Bill sells the apa</w:t>
      </w:r>
      <w:r w:rsidR="00C97B9B" w:rsidRPr="00A170F9">
        <w:rPr>
          <w:sz w:val="20"/>
          <w:szCs w:val="20"/>
        </w:rPr>
        <w:t>rtment block to a third party.</w:t>
      </w:r>
    </w:p>
    <w:p w:rsidR="00CA0346" w:rsidRPr="00A170F9" w:rsidRDefault="00CA0346"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Bill cannot use the main home exception because the land (contained on the single title) was not used predominantly as his main home.  The majority of the land was used as rental property.</w:t>
      </w:r>
    </w:p>
    <w:p w:rsidR="0022119D" w:rsidRPr="00A170F9" w:rsidRDefault="0022119D" w:rsidP="0022119D"/>
    <w:p w:rsidR="007D6381" w:rsidRPr="00A170F9" w:rsidRDefault="00CA1563"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7D6381" w:rsidRPr="00A170F9">
        <w:rPr>
          <w:b/>
          <w:sz w:val="20"/>
          <w:szCs w:val="20"/>
        </w:rPr>
        <w:t>Two properties</w:t>
      </w:r>
    </w:p>
    <w:p w:rsidR="00CA1563" w:rsidRPr="00A170F9" w:rsidRDefault="00CA1563"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Mr and Mrs Brown and their children live in a house on a small lifestyle block in Oamaru.  Mrs Brown works in Christchurch for three days a week, and works from the Oamaru house two days a week while her husband looks after the children fulltime.  Mrs Brown buy</w:t>
      </w:r>
      <w:r w:rsidR="00BB55E5" w:rsidRPr="00A170F9">
        <w:rPr>
          <w:sz w:val="20"/>
          <w:szCs w:val="20"/>
        </w:rPr>
        <w:t>s</w:t>
      </w:r>
      <w:r w:rsidRPr="00A170F9">
        <w:rPr>
          <w:sz w:val="20"/>
          <w:szCs w:val="20"/>
        </w:rPr>
        <w:t xml:space="preserve"> an apartment in Christchurch city.  She live</w:t>
      </w:r>
      <w:r w:rsidR="00BB55E5" w:rsidRPr="00A170F9">
        <w:rPr>
          <w:sz w:val="20"/>
          <w:szCs w:val="20"/>
        </w:rPr>
        <w:t>s</w:t>
      </w:r>
      <w:r w:rsidRPr="00A170F9">
        <w:rPr>
          <w:sz w:val="20"/>
          <w:szCs w:val="20"/>
        </w:rPr>
        <w:t xml:space="preserve"> in that apartment while she works in Christchurch.</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Taking into account the fact that the majority of Mrs Brown’s time is spent at the Oamaru house, and her family is located at the Oamaru house, the main home exemption will not apply in relation to Mrs Brown’s Christchurch apartment as it is not the home with which s</w:t>
      </w:r>
      <w:r w:rsidR="00A27D75" w:rsidRPr="00A170F9">
        <w:rPr>
          <w:sz w:val="20"/>
          <w:szCs w:val="20"/>
        </w:rPr>
        <w:t>he has the greatest connection.</w:t>
      </w:r>
    </w:p>
    <w:p w:rsidR="007D6381" w:rsidRPr="00A170F9" w:rsidRDefault="007D6381" w:rsidP="00411476"/>
    <w:p w:rsidR="007D6381" w:rsidRPr="00A170F9" w:rsidRDefault="0022119D"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7D6381" w:rsidRPr="00A170F9">
        <w:rPr>
          <w:b/>
          <w:sz w:val="20"/>
          <w:szCs w:val="20"/>
        </w:rPr>
        <w:t>Country store and house</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Barbara buys a country store that has living quarters attached.  She resides in the living quarters and runs a retail business from the front half of the property.  She estimates that the retail business uses 45 percent of the property and claims expenses (insurance and rates) on that basis against the retail income.  Barbara sells the property.</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Barbara is not able to use the business premises exception as the land is not used predominantly for her retail business (45 percent).</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However, Barbara can utilise the main home exception because she has used the property predominantly (55 percent) as her main home during the time she has owned the property.  She uses her previous estimate for her expenses to prove her actual use of the property.</w:t>
      </w:r>
    </w:p>
    <w:p w:rsidR="00C65B49" w:rsidRPr="00A170F9" w:rsidRDefault="00C65B49" w:rsidP="00C65B49"/>
    <w:p w:rsidR="00494C2F" w:rsidRPr="00A170F9" w:rsidRDefault="00494C2F" w:rsidP="00C14AF3">
      <w:pPr>
        <w:pBdr>
          <w:top w:val="single" w:sz="4" w:space="10" w:color="auto"/>
          <w:left w:val="single" w:sz="4" w:space="10" w:color="auto"/>
          <w:bottom w:val="single" w:sz="4" w:space="10" w:color="auto"/>
          <w:right w:val="single" w:sz="4" w:space="10" w:color="auto"/>
        </w:pBdr>
        <w:rPr>
          <w:b/>
          <w:sz w:val="20"/>
          <w:szCs w:val="20"/>
          <w:lang w:eastAsia="en-NZ"/>
        </w:rPr>
      </w:pPr>
      <w:r w:rsidRPr="00A170F9">
        <w:rPr>
          <w:b/>
          <w:sz w:val="20"/>
          <w:szCs w:val="20"/>
        </w:rPr>
        <w:t>Example: Non-resident</w:t>
      </w:r>
    </w:p>
    <w:p w:rsidR="00797BD8" w:rsidRPr="00A170F9" w:rsidRDefault="00797BD8" w:rsidP="00C14AF3">
      <w:pPr>
        <w:pBdr>
          <w:top w:val="single" w:sz="4" w:space="10" w:color="auto"/>
          <w:left w:val="single" w:sz="4" w:space="10" w:color="auto"/>
          <w:bottom w:val="single" w:sz="4" w:space="10" w:color="auto"/>
          <w:right w:val="single" w:sz="4" w:space="10" w:color="auto"/>
        </w:pBdr>
        <w:rPr>
          <w:sz w:val="20"/>
          <w:szCs w:val="20"/>
          <w:lang w:eastAsia="en-NZ"/>
        </w:rPr>
      </w:pPr>
    </w:p>
    <w:p w:rsidR="00D64A17" w:rsidRPr="00A170F9" w:rsidRDefault="00E57BA8" w:rsidP="00D64A17">
      <w:pPr>
        <w:pBdr>
          <w:top w:val="single" w:sz="4" w:space="10" w:color="auto"/>
          <w:left w:val="single" w:sz="4" w:space="10" w:color="auto"/>
          <w:bottom w:val="single" w:sz="4" w:space="10" w:color="auto"/>
          <w:right w:val="single" w:sz="4" w:space="10" w:color="auto"/>
        </w:pBdr>
        <w:jc w:val="center"/>
        <w:rPr>
          <w:sz w:val="20"/>
          <w:szCs w:val="20"/>
          <w:lang w:eastAsia="en-NZ"/>
        </w:rPr>
      </w:pPr>
      <w:r>
        <w:rPr>
          <w:noProof/>
          <w:sz w:val="20"/>
          <w:szCs w:val="20"/>
          <w:lang w:eastAsia="en-NZ"/>
        </w:rPr>
        <w:drawing>
          <wp:inline distT="0" distB="0" distL="0" distR="0">
            <wp:extent cx="4981575" cy="1247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1575" cy="1247775"/>
                    </a:xfrm>
                    <a:prstGeom prst="rect">
                      <a:avLst/>
                    </a:prstGeom>
                    <a:noFill/>
                    <a:ln>
                      <a:noFill/>
                    </a:ln>
                  </pic:spPr>
                </pic:pic>
              </a:graphicData>
            </a:graphic>
          </wp:inline>
        </w:drawing>
      </w:r>
    </w:p>
    <w:p w:rsidR="00D64A17" w:rsidRPr="00A170F9" w:rsidRDefault="00D64A17" w:rsidP="00C14AF3">
      <w:pPr>
        <w:pBdr>
          <w:top w:val="single" w:sz="4" w:space="10" w:color="auto"/>
          <w:left w:val="single" w:sz="4" w:space="10" w:color="auto"/>
          <w:bottom w:val="single" w:sz="4" w:space="10" w:color="auto"/>
          <w:right w:val="single" w:sz="4" w:space="10" w:color="auto"/>
        </w:pBdr>
        <w:rPr>
          <w:sz w:val="20"/>
          <w:szCs w:val="20"/>
        </w:rPr>
      </w:pPr>
    </w:p>
    <w:p w:rsidR="00797BD8" w:rsidRPr="00A170F9" w:rsidRDefault="00797BD8"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Rena is entitled to the main home exception.</w:t>
      </w:r>
      <w:r w:rsidR="00C97B9B" w:rsidRPr="00A170F9">
        <w:rPr>
          <w:sz w:val="20"/>
          <w:szCs w:val="20"/>
        </w:rPr>
        <w:t xml:space="preserve"> </w:t>
      </w:r>
      <w:r w:rsidRPr="00A170F9">
        <w:rPr>
          <w:sz w:val="20"/>
          <w:szCs w:val="20"/>
        </w:rPr>
        <w:t xml:space="preserve"> This is because she has used the property as her main home for the majority of the time she has owned it.</w:t>
      </w:r>
    </w:p>
    <w:p w:rsidR="00C14AF3" w:rsidRPr="00A170F9" w:rsidRDefault="00C14AF3">
      <w:pPr>
        <w:jc w:val="left"/>
      </w:pPr>
      <w:r w:rsidRPr="00A170F9">
        <w:br w:type="page"/>
      </w:r>
    </w:p>
    <w:p w:rsidR="007D6381" w:rsidRPr="00A170F9" w:rsidRDefault="002743FE" w:rsidP="00C14AF3">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lastRenderedPageBreak/>
        <w:t xml:space="preserve">Example: </w:t>
      </w:r>
      <w:r w:rsidR="007D6381" w:rsidRPr="00A170F9">
        <w:rPr>
          <w:b/>
          <w:sz w:val="20"/>
          <w:szCs w:val="20"/>
        </w:rPr>
        <w:t>Trusts – student flat</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Dave has two properties, a family home which he lives in, and a student flat which his son lives in while studying.  Dave settles the student flat on a trust and makes his son a discretionary beneficiary of the trust.</w:t>
      </w: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p>
    <w:p w:rsidR="007D6381" w:rsidRPr="00A170F9" w:rsidRDefault="007D6381" w:rsidP="00C14AF3">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trust cannot use the main home exception because the principal settlor of the trust (Dave) has another main home.</w:t>
      </w:r>
    </w:p>
    <w:p w:rsidR="00C14AF3" w:rsidRPr="00A170F9" w:rsidRDefault="00C14AF3" w:rsidP="00D53985"/>
    <w:p w:rsidR="007B63EE" w:rsidRPr="00A170F9" w:rsidRDefault="007B63EE" w:rsidP="00D05403">
      <w:pPr>
        <w:pStyle w:val="Heading2"/>
      </w:pPr>
      <w:r w:rsidRPr="00A170F9">
        <w:t>Inheritance</w:t>
      </w:r>
    </w:p>
    <w:p w:rsidR="00693BF4" w:rsidRPr="00A170F9" w:rsidRDefault="00C14AF3" w:rsidP="00634114">
      <w:pPr>
        <w:pStyle w:val="Sectionclause"/>
      </w:pPr>
      <w:r w:rsidRPr="00A170F9">
        <w:t>(Sections CB</w:t>
      </w:r>
      <w:r w:rsidR="00634114" w:rsidRPr="00A170F9">
        <w:t xml:space="preserve"> </w:t>
      </w:r>
      <w:r w:rsidRPr="00A170F9">
        <w:t>6A(3), FC</w:t>
      </w:r>
      <w:r w:rsidR="00634114" w:rsidRPr="00A170F9">
        <w:t xml:space="preserve"> </w:t>
      </w:r>
      <w:r w:rsidRPr="00A170F9">
        <w:t>9)</w:t>
      </w:r>
    </w:p>
    <w:p w:rsidR="00C14AF3" w:rsidRPr="00A170F9" w:rsidRDefault="00C14AF3" w:rsidP="00693BF4"/>
    <w:p w:rsidR="00693BF4" w:rsidRPr="00A170F9" w:rsidRDefault="00693BF4" w:rsidP="00693BF4">
      <w:r w:rsidRPr="00A170F9">
        <w:t xml:space="preserve">When a person dies, their property may be sold or transferred to a beneficiary, who may subsequently sell the property.  </w:t>
      </w:r>
      <w:r w:rsidR="00494C2F" w:rsidRPr="00A170F9">
        <w:t>These</w:t>
      </w:r>
      <w:r w:rsidRPr="00A170F9">
        <w:t xml:space="preserve"> transfers and disposals will not subject to tax under the bright-line test.</w:t>
      </w:r>
    </w:p>
    <w:p w:rsidR="001C68E1" w:rsidRPr="00A170F9" w:rsidRDefault="001C68E1" w:rsidP="00693BF4"/>
    <w:p w:rsidR="001C68E1" w:rsidRPr="00A170F9" w:rsidRDefault="00972C04" w:rsidP="00376839">
      <w:pPr>
        <w:pStyle w:val="Heading3"/>
      </w:pPr>
      <w:r w:rsidRPr="00A170F9">
        <w:t>How property is transferred through an inheritance</w:t>
      </w:r>
    </w:p>
    <w:p w:rsidR="001C68E1" w:rsidRPr="00A170F9" w:rsidRDefault="001C68E1" w:rsidP="00693BF4"/>
    <w:p w:rsidR="00693BF4" w:rsidRPr="00A170F9" w:rsidRDefault="00693BF4" w:rsidP="00693BF4">
      <w:r w:rsidRPr="00A170F9">
        <w:t>When a taxpayer dies, an estate can be dealt with in several ways, depending on whether a will exists.  A will usually provides for the appointment of one or more executors.  In the absence of a will, a court will appoint someone to administer the deceased’s estate (an administrator).</w:t>
      </w:r>
    </w:p>
    <w:p w:rsidR="00693BF4" w:rsidRPr="00A170F9" w:rsidRDefault="00693BF4" w:rsidP="00693BF4"/>
    <w:p w:rsidR="00693BF4" w:rsidRPr="00A170F9" w:rsidRDefault="00693BF4" w:rsidP="00693BF4">
      <w:r w:rsidRPr="00A170F9">
        <w:t>The executor or administrator is vested with legal and beneficial ownership of the deceased’s property from the time of death to the end of the period of executorship or administration.  The beneficiaries have a right to have the deceased’s estate administered properly during this period but do not have a legal or beneficial interest in the assets.</w:t>
      </w:r>
    </w:p>
    <w:p w:rsidR="00693BF4" w:rsidRPr="00A170F9" w:rsidRDefault="00693BF4" w:rsidP="00693BF4"/>
    <w:p w:rsidR="00693BF4" w:rsidRPr="00A170F9" w:rsidRDefault="00693BF4" w:rsidP="00693BF4">
      <w:r w:rsidRPr="00A170F9">
        <w:t>The duties of the executor or administrator are to collect the assets of the deceased, pay all debts, testamentary expenses and taxes and to distribute the legacies.  At the end of the period of executorship or administration, the executor or administrator becomes a trustee of the residual assets on behalf of the beneficiaries.</w:t>
      </w:r>
    </w:p>
    <w:p w:rsidR="00693BF4" w:rsidRPr="00A170F9" w:rsidRDefault="00693BF4" w:rsidP="00693BF4"/>
    <w:p w:rsidR="00693BF4" w:rsidRPr="00A170F9" w:rsidRDefault="00693BF4" w:rsidP="00693BF4">
      <w:r w:rsidRPr="00A170F9">
        <w:t>Property that has been bequeathed or devised under a will may be gifted as a specific legacy, general legacy or residuary gift.  Specific legacies are treated as taking effect from the date of transfer to take effect from the date of death, so income arising from the property is derived by the beneficiary from the date of death.  A general or residuary legacy vests in a beneficiary at the time of distribution.</w:t>
      </w:r>
    </w:p>
    <w:p w:rsidR="00693BF4" w:rsidRPr="00A170F9" w:rsidRDefault="00693BF4" w:rsidP="00693BF4"/>
    <w:p w:rsidR="001C68E1" w:rsidRPr="00A170F9" w:rsidRDefault="00972C04" w:rsidP="00376839">
      <w:pPr>
        <w:pStyle w:val="Heading3"/>
      </w:pPr>
      <w:r w:rsidRPr="00A170F9">
        <w:t>Inheritance exception from bright-line test</w:t>
      </w:r>
    </w:p>
    <w:p w:rsidR="001C68E1" w:rsidRPr="00A170F9" w:rsidRDefault="001C68E1" w:rsidP="00693BF4"/>
    <w:p w:rsidR="00693BF4" w:rsidRPr="00A170F9" w:rsidRDefault="00693BF4" w:rsidP="00693BF4">
      <w:r w:rsidRPr="00A170F9">
        <w:t xml:space="preserve">The bright-line test </w:t>
      </w:r>
      <w:r w:rsidR="004A039E" w:rsidRPr="00A170F9">
        <w:t>provides</w:t>
      </w:r>
      <w:r w:rsidRPr="00A170F9">
        <w:t xml:space="preserve"> rollover relief for all transfers following a death and an exemption for any disposals by the executor or administrator or subsequent disposals by the beneficiaries.</w:t>
      </w:r>
    </w:p>
    <w:p w:rsidR="00693BF4" w:rsidRPr="00A170F9" w:rsidRDefault="00693BF4" w:rsidP="00693BF4"/>
    <w:p w:rsidR="00693BF4" w:rsidRPr="00A170F9" w:rsidRDefault="00693BF4" w:rsidP="00693BF4">
      <w:r w:rsidRPr="00A170F9">
        <w:t xml:space="preserve">The rollover relief is achieved by deeming the transfers from the deceased person to the executor or administrator, and from the executor or administrator to the beneficiary, as a disposal and acquisition of the property </w:t>
      </w:r>
      <w:r w:rsidR="00F1439D" w:rsidRPr="00A170F9">
        <w:t xml:space="preserve">to be </w:t>
      </w:r>
      <w:r w:rsidRPr="00A170F9">
        <w:t>at the total cost of the land to the deceased person at the date of transfer (rather than at the land’s market value).  The effect of this is that no tax liabilities under the bright-line test</w:t>
      </w:r>
      <w:r w:rsidR="00521AB5" w:rsidRPr="00A170F9">
        <w:t xml:space="preserve"> arise under the transfers.</w:t>
      </w:r>
    </w:p>
    <w:p w:rsidR="00693BF4" w:rsidRPr="00A170F9" w:rsidRDefault="00693BF4" w:rsidP="00693BF4"/>
    <w:p w:rsidR="000C0BB8" w:rsidRPr="00A170F9" w:rsidRDefault="00693BF4" w:rsidP="007513C5">
      <w:r w:rsidRPr="00A170F9">
        <w:lastRenderedPageBreak/>
        <w:t>Disposals by a beneficiary, executor or administrator of residential land transferred to them on the death of a person are specifically excluded from the bright-line test.  However, the disposals may still be subject to tax under the current land sale rules.</w:t>
      </w:r>
    </w:p>
    <w:p w:rsidR="005012A4" w:rsidRPr="00A170F9" w:rsidRDefault="005012A4" w:rsidP="007513C5"/>
    <w:p w:rsidR="005012A4" w:rsidRPr="00A170F9" w:rsidRDefault="005012A4" w:rsidP="00C97B9B">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Inheritance</w:t>
      </w:r>
    </w:p>
    <w:p w:rsidR="006D52FD" w:rsidRPr="00A170F9" w:rsidRDefault="006D52FD" w:rsidP="00C97B9B">
      <w:pPr>
        <w:pBdr>
          <w:top w:val="single" w:sz="4" w:space="10" w:color="auto"/>
          <w:left w:val="single" w:sz="4" w:space="10" w:color="auto"/>
          <w:bottom w:val="single" w:sz="4" w:space="10" w:color="auto"/>
          <w:right w:val="single" w:sz="4" w:space="10" w:color="auto"/>
        </w:pBdr>
        <w:rPr>
          <w:bCs/>
          <w:sz w:val="20"/>
          <w:szCs w:val="20"/>
          <w:lang w:eastAsia="en-NZ"/>
        </w:rPr>
      </w:pPr>
    </w:p>
    <w:p w:rsidR="00D64A17" w:rsidRPr="00A170F9" w:rsidRDefault="00D64A17" w:rsidP="00C97B9B">
      <w:pPr>
        <w:pBdr>
          <w:top w:val="single" w:sz="4" w:space="10" w:color="auto"/>
          <w:left w:val="single" w:sz="4" w:space="10" w:color="auto"/>
          <w:bottom w:val="single" w:sz="4" w:space="10" w:color="auto"/>
          <w:right w:val="single" w:sz="4" w:space="10" w:color="auto"/>
        </w:pBdr>
        <w:jc w:val="center"/>
        <w:rPr>
          <w:bCs/>
          <w:sz w:val="20"/>
          <w:szCs w:val="20"/>
          <w:lang w:eastAsia="en-NZ"/>
        </w:rPr>
      </w:pPr>
      <w:r w:rsidRPr="00A170F9">
        <w:rPr>
          <w:b/>
          <w:bCs/>
          <w:noProof/>
          <w:sz w:val="20"/>
          <w:szCs w:val="20"/>
          <w:lang w:eastAsia="en-NZ"/>
        </w:rPr>
        <w:drawing>
          <wp:inline distT="0" distB="0" distL="0" distR="0" wp14:anchorId="5AA417AB" wp14:editId="642CEE22">
            <wp:extent cx="5572125" cy="1704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1704975"/>
                    </a:xfrm>
                    <a:prstGeom prst="rect">
                      <a:avLst/>
                    </a:prstGeom>
                    <a:noFill/>
                    <a:ln>
                      <a:noFill/>
                    </a:ln>
                  </pic:spPr>
                </pic:pic>
              </a:graphicData>
            </a:graphic>
          </wp:inline>
        </w:drawing>
      </w:r>
    </w:p>
    <w:p w:rsidR="00D64A17" w:rsidRPr="00A170F9" w:rsidRDefault="00D64A17" w:rsidP="00C97B9B">
      <w:pPr>
        <w:pBdr>
          <w:top w:val="single" w:sz="4" w:space="10" w:color="auto"/>
          <w:left w:val="single" w:sz="4" w:space="10" w:color="auto"/>
          <w:bottom w:val="single" w:sz="4" w:space="10" w:color="auto"/>
          <w:right w:val="single" w:sz="4" w:space="10" w:color="auto"/>
        </w:pBdr>
        <w:rPr>
          <w:sz w:val="20"/>
          <w:szCs w:val="20"/>
        </w:rPr>
      </w:pPr>
    </w:p>
    <w:p w:rsidR="006D52FD" w:rsidRPr="00A170F9" w:rsidRDefault="006D52FD" w:rsidP="007513C5"/>
    <w:p w:rsidR="007B63EE" w:rsidRPr="00A170F9" w:rsidRDefault="006F4375" w:rsidP="00D05403">
      <w:pPr>
        <w:pStyle w:val="Heading2"/>
      </w:pPr>
      <w:r w:rsidRPr="00A170F9">
        <w:t>Relationship property</w:t>
      </w:r>
    </w:p>
    <w:p w:rsidR="00195866" w:rsidRPr="00A170F9" w:rsidRDefault="00C14AF3" w:rsidP="00634114">
      <w:pPr>
        <w:pStyle w:val="Sectionclause"/>
      </w:pPr>
      <w:r w:rsidRPr="00A170F9">
        <w:t>(Section FB</w:t>
      </w:r>
      <w:r w:rsidR="00634114" w:rsidRPr="00A170F9">
        <w:t xml:space="preserve"> </w:t>
      </w:r>
      <w:r w:rsidRPr="00A170F9">
        <w:t>3A)</w:t>
      </w:r>
    </w:p>
    <w:p w:rsidR="00C14AF3" w:rsidRPr="00A170F9" w:rsidRDefault="00C14AF3" w:rsidP="00195866"/>
    <w:p w:rsidR="00195866" w:rsidRPr="00A170F9" w:rsidRDefault="00195866" w:rsidP="00195866">
      <w:r w:rsidRPr="00A170F9">
        <w:t>When a relationship breaks down, property may be transferred between the spouses or partners.  The property may then subsequently be sold.  Transfers of property under a relationship property agreement are excluded from the bright-line test.  However, any subsequent sale of the transferred property will be subject to the bright-line test.</w:t>
      </w:r>
    </w:p>
    <w:p w:rsidR="00195866" w:rsidRPr="00A170F9" w:rsidRDefault="00195866" w:rsidP="00195866"/>
    <w:p w:rsidR="00195866" w:rsidRPr="00A170F9" w:rsidRDefault="00972C04" w:rsidP="00376839">
      <w:pPr>
        <w:pStyle w:val="Heading3"/>
      </w:pPr>
      <w:r w:rsidRPr="00A170F9">
        <w:t>How property is transferred under a relationship property agreement</w:t>
      </w:r>
    </w:p>
    <w:p w:rsidR="00195866" w:rsidRPr="00A170F9" w:rsidRDefault="00195866" w:rsidP="00195866"/>
    <w:p w:rsidR="00195866" w:rsidRPr="00A170F9" w:rsidRDefault="00195866" w:rsidP="00195866">
      <w:r w:rsidRPr="00A170F9">
        <w:t>During a marriage, civil union or de facto relationship, the parties hold any property according to the conventional laws relating to property.  As a result, the parties are free to deal with their property during the relationship without regard to the provisions of the Property (Relationships) Act 1976.</w:t>
      </w:r>
    </w:p>
    <w:p w:rsidR="00195866" w:rsidRPr="00A170F9" w:rsidRDefault="00195866" w:rsidP="00195866"/>
    <w:p w:rsidR="00195866" w:rsidRPr="00A170F9" w:rsidRDefault="00195866" w:rsidP="00195866">
      <w:r w:rsidRPr="00A170F9">
        <w:t>When a relationship breaks down, the Property (Relationships) Act 1976 may be invoked by a court order or an agreement between the parties.  When the statutory regime is invoked, new property rights operate from the date of the court order or agreement.  The property of the spouses or partners is reapportioned between them under principles from the statutory regime.  Each item of property is divided into one of two statutory categories:</w:t>
      </w:r>
    </w:p>
    <w:p w:rsidR="00195866" w:rsidRPr="00A170F9" w:rsidRDefault="00195866" w:rsidP="00195866"/>
    <w:p w:rsidR="00195866" w:rsidRPr="00A170F9" w:rsidRDefault="00195866" w:rsidP="00D05403">
      <w:pPr>
        <w:pStyle w:val="Bullets"/>
      </w:pPr>
      <w:r w:rsidRPr="00A170F9">
        <w:t xml:space="preserve">relationship property; </w:t>
      </w:r>
      <w:r w:rsidR="0083608B" w:rsidRPr="00A170F9">
        <w:t>or</w:t>
      </w:r>
    </w:p>
    <w:p w:rsidR="00195866" w:rsidRPr="00A170F9" w:rsidRDefault="00195866" w:rsidP="00D05403">
      <w:pPr>
        <w:pStyle w:val="Bullets"/>
        <w:spacing w:after="0"/>
      </w:pPr>
      <w:r w:rsidRPr="00A170F9">
        <w:t>separate property.</w:t>
      </w:r>
    </w:p>
    <w:p w:rsidR="00C14AF3" w:rsidRPr="00A170F9" w:rsidRDefault="00C14AF3" w:rsidP="00195866"/>
    <w:p w:rsidR="00195866" w:rsidRPr="00A170F9" w:rsidRDefault="00195866" w:rsidP="00195866">
      <w:r w:rsidRPr="00A170F9">
        <w:t xml:space="preserve">The fact that a particular item of property is placed within one of these two categories then produces a </w:t>
      </w:r>
      <w:r w:rsidRPr="00A170F9">
        <w:rPr>
          <w:i/>
        </w:rPr>
        <w:t>prima facie</w:t>
      </w:r>
      <w:r w:rsidRPr="00A170F9">
        <w:t xml:space="preserve"> result in the way it is treated as between the two spouses or partners.  </w:t>
      </w:r>
      <w:r w:rsidRPr="00A170F9">
        <w:rPr>
          <w:i/>
        </w:rPr>
        <w:t>Prima facie,</w:t>
      </w:r>
      <w:r w:rsidRPr="00A170F9">
        <w:t xml:space="preserve"> all relationship property is divided in equal shares, while separate property is retained by the owner.</w:t>
      </w:r>
    </w:p>
    <w:p w:rsidR="00195866" w:rsidRPr="00A170F9" w:rsidRDefault="00195866" w:rsidP="00195866"/>
    <w:p w:rsidR="00932409" w:rsidRDefault="00932409">
      <w:pPr>
        <w:jc w:val="left"/>
        <w:rPr>
          <w:b/>
          <w:bCs/>
          <w:i/>
        </w:rPr>
      </w:pPr>
      <w:r>
        <w:br w:type="page"/>
      </w:r>
    </w:p>
    <w:p w:rsidR="00195866" w:rsidRPr="00A170F9" w:rsidRDefault="00972C04" w:rsidP="00376839">
      <w:pPr>
        <w:pStyle w:val="Heading3"/>
      </w:pPr>
      <w:r w:rsidRPr="00A170F9">
        <w:lastRenderedPageBreak/>
        <w:t>Rollover for relationship property</w:t>
      </w:r>
    </w:p>
    <w:p w:rsidR="00195866" w:rsidRPr="00A170F9" w:rsidRDefault="00195866" w:rsidP="00195866"/>
    <w:p w:rsidR="00195866" w:rsidRPr="00A170F9" w:rsidRDefault="00195866" w:rsidP="00195866">
      <w:r w:rsidRPr="00A170F9">
        <w:t>A transfer of property under a relationship property agreement will be entitled to the current rollover relief that applies to such transfers.  This will mean that no tax liability under the bright-line test arises for the transfer of the property under the relationship property agreement.  However, the person to whom the relationship property has been transferred may be liable under the bright-line test for any subsequent disposal of the property.  A tax liability will arise if the property is disposed of within two years of the registration date on the acquisition by the person who transferred the property (and the property was not the main home</w:t>
      </w:r>
      <w:r w:rsidR="0083608B" w:rsidRPr="00A170F9">
        <w:t xml:space="preserve"> of the person disposing of the property</w:t>
      </w:r>
      <w:r w:rsidRPr="00A170F9">
        <w:t>).</w:t>
      </w:r>
    </w:p>
    <w:p w:rsidR="005012A4" w:rsidRPr="00A170F9" w:rsidRDefault="005012A4" w:rsidP="00195866"/>
    <w:p w:rsidR="005012A4" w:rsidRPr="00A170F9" w:rsidRDefault="005012A4" w:rsidP="00376839">
      <w:pPr>
        <w:pBdr>
          <w:top w:val="single" w:sz="4" w:space="10" w:color="auto"/>
          <w:left w:val="single" w:sz="4" w:space="10" w:color="auto"/>
          <w:bottom w:val="single" w:sz="4" w:space="10" w:color="auto"/>
          <w:right w:val="single" w:sz="4" w:space="10" w:color="auto"/>
        </w:pBdr>
        <w:rPr>
          <w:b/>
          <w:bCs/>
          <w:sz w:val="20"/>
          <w:szCs w:val="20"/>
          <w:lang w:eastAsia="en-NZ"/>
        </w:rPr>
      </w:pPr>
      <w:r w:rsidRPr="00A170F9">
        <w:rPr>
          <w:b/>
          <w:bCs/>
          <w:sz w:val="20"/>
          <w:szCs w:val="20"/>
          <w:lang w:eastAsia="en-NZ"/>
        </w:rPr>
        <w:t>Example: Relationship property</w:t>
      </w:r>
    </w:p>
    <w:p w:rsidR="005235CB" w:rsidRPr="00A170F9" w:rsidRDefault="005235CB" w:rsidP="00C14AF3">
      <w:pPr>
        <w:pBdr>
          <w:top w:val="single" w:sz="4" w:space="10" w:color="auto"/>
          <w:left w:val="single" w:sz="4" w:space="10" w:color="auto"/>
          <w:bottom w:val="single" w:sz="4" w:space="10" w:color="auto"/>
          <w:right w:val="single" w:sz="4" w:space="10" w:color="auto"/>
        </w:pBdr>
        <w:rPr>
          <w:bCs/>
          <w:sz w:val="20"/>
          <w:szCs w:val="20"/>
          <w:lang w:eastAsia="en-NZ"/>
        </w:rPr>
      </w:pPr>
    </w:p>
    <w:p w:rsidR="00D64A17" w:rsidRPr="00A170F9" w:rsidRDefault="00D64A17" w:rsidP="00D64A17">
      <w:pPr>
        <w:pBdr>
          <w:top w:val="single" w:sz="4" w:space="10" w:color="auto"/>
          <w:left w:val="single" w:sz="4" w:space="10" w:color="auto"/>
          <w:bottom w:val="single" w:sz="4" w:space="10" w:color="auto"/>
          <w:right w:val="single" w:sz="4" w:space="10" w:color="auto"/>
        </w:pBdr>
        <w:jc w:val="center"/>
        <w:rPr>
          <w:sz w:val="20"/>
          <w:szCs w:val="20"/>
        </w:rPr>
      </w:pPr>
      <w:r w:rsidRPr="00A170F9">
        <w:rPr>
          <w:noProof/>
          <w:lang w:eastAsia="en-NZ"/>
        </w:rPr>
        <w:drawing>
          <wp:inline distT="0" distB="0" distL="0" distR="0" wp14:anchorId="2AB88796" wp14:editId="04365B4A">
            <wp:extent cx="5343525" cy="1495425"/>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1495425"/>
                    </a:xfrm>
                    <a:prstGeom prst="rect">
                      <a:avLst/>
                    </a:prstGeom>
                    <a:noFill/>
                    <a:ln>
                      <a:noFill/>
                    </a:ln>
                  </pic:spPr>
                </pic:pic>
              </a:graphicData>
            </a:graphic>
          </wp:inline>
        </w:drawing>
      </w:r>
    </w:p>
    <w:p w:rsidR="00D64A17" w:rsidRPr="00A170F9" w:rsidRDefault="00D64A17" w:rsidP="00C14AF3">
      <w:pPr>
        <w:pBdr>
          <w:top w:val="single" w:sz="4" w:space="10" w:color="auto"/>
          <w:left w:val="single" w:sz="4" w:space="10" w:color="auto"/>
          <w:bottom w:val="single" w:sz="4" w:space="10" w:color="auto"/>
          <w:right w:val="single" w:sz="4" w:space="10" w:color="auto"/>
        </w:pBdr>
        <w:rPr>
          <w:sz w:val="20"/>
          <w:szCs w:val="20"/>
        </w:rPr>
      </w:pPr>
    </w:p>
    <w:p w:rsidR="005012A4" w:rsidRPr="00A170F9" w:rsidRDefault="005012A4" w:rsidP="00700D9A"/>
    <w:p w:rsidR="006F4375" w:rsidRPr="00A170F9" w:rsidRDefault="006F4375" w:rsidP="00D05403">
      <w:pPr>
        <w:pStyle w:val="Heading2"/>
      </w:pPr>
      <w:r w:rsidRPr="00A170F9">
        <w:t>Rollover for land transferred under a resident’s restricted amalgamation</w:t>
      </w:r>
    </w:p>
    <w:p w:rsidR="00195866" w:rsidRPr="00A170F9" w:rsidRDefault="00C14AF3" w:rsidP="00634114">
      <w:pPr>
        <w:pStyle w:val="Sectionclause"/>
      </w:pPr>
      <w:r w:rsidRPr="00A170F9">
        <w:t>(Sections FO</w:t>
      </w:r>
      <w:r w:rsidR="00634114" w:rsidRPr="00A170F9">
        <w:t xml:space="preserve"> </w:t>
      </w:r>
      <w:r w:rsidRPr="00A170F9">
        <w:t>10, FO</w:t>
      </w:r>
      <w:r w:rsidR="00634114" w:rsidRPr="00A170F9">
        <w:t xml:space="preserve"> </w:t>
      </w:r>
      <w:r w:rsidRPr="00A170F9">
        <w:t>17)</w:t>
      </w:r>
    </w:p>
    <w:p w:rsidR="00C14AF3" w:rsidRPr="00A170F9" w:rsidRDefault="00C14AF3" w:rsidP="00195866"/>
    <w:p w:rsidR="00195866" w:rsidRPr="00A170F9" w:rsidRDefault="002C76B9" w:rsidP="00195866">
      <w:r w:rsidRPr="00A170F9">
        <w:t>Under the bright-line test there is</w:t>
      </w:r>
      <w:r w:rsidR="00195866" w:rsidRPr="00A170F9">
        <w:t xml:space="preserve"> rollover relief for amalgamations</w:t>
      </w:r>
      <w:r w:rsidRPr="00A170F9">
        <w:t xml:space="preserve">. </w:t>
      </w:r>
      <w:r w:rsidR="00C97B9B" w:rsidRPr="00A170F9">
        <w:t xml:space="preserve"> </w:t>
      </w:r>
      <w:r w:rsidRPr="00A170F9">
        <w:t xml:space="preserve">This </w:t>
      </w:r>
      <w:r w:rsidR="00C7621C" w:rsidRPr="00A170F9">
        <w:t>rollover relief extends</w:t>
      </w:r>
      <w:r w:rsidRPr="00A170F9">
        <w:t xml:space="preserve"> the existing rollover relief for amalgamations</w:t>
      </w:r>
      <w:r w:rsidR="00195866" w:rsidRPr="00A170F9">
        <w:t xml:space="preserve"> to property that is revenue account property of an amalgamating company due to the application of the new bright-line test.</w:t>
      </w:r>
    </w:p>
    <w:p w:rsidR="002C76B9" w:rsidRPr="00A170F9" w:rsidRDefault="002C76B9" w:rsidP="00195866"/>
    <w:p w:rsidR="00713452" w:rsidRPr="00A170F9" w:rsidRDefault="00972C04" w:rsidP="00376839">
      <w:pPr>
        <w:pStyle w:val="Heading3"/>
      </w:pPr>
      <w:r w:rsidRPr="00A170F9">
        <w:t>Current amalgamation rules</w:t>
      </w:r>
    </w:p>
    <w:p w:rsidR="00713452" w:rsidRPr="00A170F9" w:rsidRDefault="00713452" w:rsidP="00195866"/>
    <w:p w:rsidR="00195866" w:rsidRPr="00A170F9" w:rsidRDefault="00195866" w:rsidP="00195866">
      <w:r w:rsidRPr="00A170F9">
        <w:t>The amalgamation rules in the Income Tax Act 2007 contain a rollover provision for property transferred as a result of an amalgamation.</w:t>
      </w:r>
      <w:r w:rsidRPr="00A170F9">
        <w:rPr>
          <w:rStyle w:val="FootnoteReference"/>
        </w:rPr>
        <w:footnoteReference w:id="3"/>
      </w:r>
    </w:p>
    <w:p w:rsidR="00195866" w:rsidRPr="00A170F9" w:rsidRDefault="00195866" w:rsidP="00195866"/>
    <w:p w:rsidR="00195866" w:rsidRPr="00A170F9" w:rsidRDefault="00195866" w:rsidP="00195866">
      <w:r w:rsidRPr="00A170F9">
        <w:t>The rules provide that whe</w:t>
      </w:r>
      <w:r w:rsidR="0083608B" w:rsidRPr="00A170F9">
        <w:t>n</w:t>
      </w:r>
      <w:r w:rsidRPr="00A170F9">
        <w:t xml:space="preserve"> property is held on revenue account by an amalgamating company solely due to the application of a 10-year rule in sections CB 9 to CB 11 and CB 14, the property is transferred to the amalgamated company at cost.</w:t>
      </w:r>
    </w:p>
    <w:p w:rsidR="00195866" w:rsidRPr="00A170F9" w:rsidRDefault="00195866" w:rsidP="00195866"/>
    <w:p w:rsidR="00195866" w:rsidRPr="00A170F9" w:rsidRDefault="00195866" w:rsidP="00195866">
      <w:r w:rsidRPr="00A170F9">
        <w:t>If the amalgamated company disposes of the property within 10 years of the original date of acquisition of the property by the amalgamating company, any gain from the sale is taxable.</w:t>
      </w:r>
    </w:p>
    <w:p w:rsidR="00195866" w:rsidRPr="00A170F9" w:rsidRDefault="00195866" w:rsidP="00195866"/>
    <w:p w:rsidR="00713452" w:rsidRPr="00A170F9" w:rsidRDefault="00972C04" w:rsidP="00376839">
      <w:pPr>
        <w:pStyle w:val="Heading3"/>
      </w:pPr>
      <w:r w:rsidRPr="00A170F9">
        <w:t>Extending current rules to bright-line test</w:t>
      </w:r>
    </w:p>
    <w:p w:rsidR="00713452" w:rsidRPr="00A170F9" w:rsidRDefault="00713452" w:rsidP="00195866"/>
    <w:p w:rsidR="00195866" w:rsidRPr="00A170F9" w:rsidRDefault="00DE48B5" w:rsidP="00195866">
      <w:r w:rsidRPr="00A170F9">
        <w:t>Under the bright-line test t</w:t>
      </w:r>
      <w:r w:rsidR="00195866" w:rsidRPr="00A170F9">
        <w:t>his rollover relief</w:t>
      </w:r>
      <w:r w:rsidR="00C7621C" w:rsidRPr="00A170F9">
        <w:t xml:space="preserve"> is extended</w:t>
      </w:r>
      <w:r w:rsidR="00195866" w:rsidRPr="00A170F9">
        <w:t xml:space="preserve"> to property that is revenue account property of an amalgamating company due to the appli</w:t>
      </w:r>
      <w:r w:rsidR="00D3573A" w:rsidRPr="00A170F9">
        <w:t>cation of the bright-line test.</w:t>
      </w:r>
    </w:p>
    <w:p w:rsidR="00657DB8" w:rsidRPr="00A170F9" w:rsidRDefault="0075540B" w:rsidP="00376839">
      <w:pPr>
        <w:pBdr>
          <w:top w:val="single" w:sz="4" w:space="10" w:color="auto"/>
          <w:left w:val="single" w:sz="4" w:space="10" w:color="auto"/>
          <w:bottom w:val="single" w:sz="4" w:space="10" w:color="auto"/>
          <w:right w:val="single" w:sz="4" w:space="10" w:color="auto"/>
        </w:pBdr>
        <w:rPr>
          <w:rFonts w:eastAsia="Calibri"/>
          <w:b/>
          <w:iCs/>
          <w:sz w:val="20"/>
          <w:szCs w:val="20"/>
          <w:lang w:eastAsia="en-NZ"/>
        </w:rPr>
      </w:pPr>
      <w:r w:rsidRPr="00A170F9">
        <w:rPr>
          <w:rFonts w:eastAsia="Calibri"/>
          <w:b/>
          <w:iCs/>
          <w:sz w:val="20"/>
          <w:szCs w:val="20"/>
          <w:lang w:eastAsia="en-NZ"/>
        </w:rPr>
        <w:lastRenderedPageBreak/>
        <w:t>Example:</w:t>
      </w:r>
      <w:r w:rsidR="00657DB8" w:rsidRPr="00A170F9">
        <w:rPr>
          <w:rFonts w:eastAsia="Calibri"/>
          <w:b/>
          <w:iCs/>
          <w:sz w:val="20"/>
          <w:szCs w:val="20"/>
          <w:lang w:eastAsia="en-NZ"/>
        </w:rPr>
        <w:t xml:space="preserve"> Land held on revenue account solely due to bright-line test</w:t>
      </w:r>
    </w:p>
    <w:p w:rsidR="00195866" w:rsidRPr="00A170F9" w:rsidRDefault="00195866" w:rsidP="0075540B">
      <w:pPr>
        <w:pBdr>
          <w:top w:val="single" w:sz="4" w:space="10" w:color="auto"/>
          <w:left w:val="single" w:sz="4" w:space="10" w:color="auto"/>
          <w:bottom w:val="single" w:sz="4" w:space="10" w:color="auto"/>
          <w:right w:val="single" w:sz="4" w:space="10" w:color="auto"/>
        </w:pBdr>
        <w:rPr>
          <w:rFonts w:eastAsia="Calibri"/>
          <w:iCs/>
          <w:sz w:val="20"/>
          <w:szCs w:val="20"/>
          <w:lang w:eastAsia="en-NZ"/>
        </w:rPr>
      </w:pPr>
    </w:p>
    <w:p w:rsidR="00D64A17" w:rsidRPr="00A170F9" w:rsidRDefault="00D64A17" w:rsidP="00D64A17">
      <w:pPr>
        <w:pBdr>
          <w:top w:val="single" w:sz="4" w:space="10" w:color="auto"/>
          <w:left w:val="single" w:sz="4" w:space="10" w:color="auto"/>
          <w:bottom w:val="single" w:sz="4" w:space="10" w:color="auto"/>
          <w:right w:val="single" w:sz="4" w:space="10" w:color="auto"/>
        </w:pBdr>
        <w:jc w:val="center"/>
        <w:rPr>
          <w:sz w:val="20"/>
          <w:szCs w:val="20"/>
        </w:rPr>
      </w:pPr>
      <w:r w:rsidRPr="00A170F9">
        <w:rPr>
          <w:noProof/>
          <w:sz w:val="20"/>
          <w:szCs w:val="20"/>
          <w:lang w:eastAsia="en-NZ"/>
        </w:rPr>
        <w:drawing>
          <wp:inline distT="0" distB="0" distL="0" distR="0" wp14:anchorId="3458D889" wp14:editId="4F77D184">
            <wp:extent cx="5267325" cy="13430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1343025"/>
                    </a:xfrm>
                    <a:prstGeom prst="rect">
                      <a:avLst/>
                    </a:prstGeom>
                    <a:noFill/>
                    <a:ln>
                      <a:noFill/>
                    </a:ln>
                  </pic:spPr>
                </pic:pic>
              </a:graphicData>
            </a:graphic>
          </wp:inline>
        </w:drawing>
      </w:r>
    </w:p>
    <w:p w:rsidR="005235CB" w:rsidRPr="00A170F9" w:rsidRDefault="005235CB" w:rsidP="00411476">
      <w:pPr>
        <w:pBdr>
          <w:top w:val="single" w:sz="4" w:space="10" w:color="auto"/>
          <w:left w:val="single" w:sz="4" w:space="10" w:color="auto"/>
          <w:bottom w:val="single" w:sz="4" w:space="10" w:color="auto"/>
          <w:right w:val="single" w:sz="4" w:space="10" w:color="auto"/>
        </w:pBdr>
        <w:rPr>
          <w:sz w:val="20"/>
          <w:szCs w:val="20"/>
        </w:rPr>
      </w:pPr>
    </w:p>
    <w:p w:rsidR="00657DB8" w:rsidRPr="00A170F9" w:rsidRDefault="00657DB8"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On 1 May 2018 the property is transferred from A to B at cost ($500k). </w:t>
      </w:r>
      <w:r w:rsidR="00C97B9B" w:rsidRPr="00A170F9">
        <w:rPr>
          <w:sz w:val="20"/>
          <w:szCs w:val="20"/>
        </w:rPr>
        <w:t xml:space="preserve"> </w:t>
      </w:r>
      <w:r w:rsidRPr="00A170F9">
        <w:rPr>
          <w:sz w:val="20"/>
          <w:szCs w:val="20"/>
        </w:rPr>
        <w:t>A does not have a tax liability from the transfer as there is no gain from the disposal.</w:t>
      </w:r>
    </w:p>
    <w:p w:rsidR="00657DB8" w:rsidRPr="00A170F9" w:rsidRDefault="00657DB8" w:rsidP="0075540B">
      <w:pPr>
        <w:pBdr>
          <w:top w:val="single" w:sz="4" w:space="10" w:color="auto"/>
          <w:left w:val="single" w:sz="4" w:space="10" w:color="auto"/>
          <w:bottom w:val="single" w:sz="4" w:space="10" w:color="auto"/>
          <w:right w:val="single" w:sz="4" w:space="10" w:color="auto"/>
        </w:pBdr>
        <w:rPr>
          <w:sz w:val="20"/>
          <w:szCs w:val="20"/>
        </w:rPr>
      </w:pPr>
    </w:p>
    <w:p w:rsidR="00657DB8" w:rsidRPr="00A170F9" w:rsidRDefault="00657DB8"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On 1 June 2018, B is taxable on the $150k gain from the sale.</w:t>
      </w:r>
      <w:r w:rsidR="00C97B9B" w:rsidRPr="00A170F9">
        <w:rPr>
          <w:sz w:val="20"/>
          <w:szCs w:val="20"/>
        </w:rPr>
        <w:t xml:space="preserve"> </w:t>
      </w:r>
      <w:r w:rsidRPr="00A170F9">
        <w:rPr>
          <w:sz w:val="20"/>
          <w:szCs w:val="20"/>
        </w:rPr>
        <w:t xml:space="preserve"> This is because B disposed of the property within two years of the original date of acquisition of the property by A (1 May 2017).</w:t>
      </w:r>
    </w:p>
    <w:p w:rsidR="0075540B" w:rsidRPr="00A170F9" w:rsidRDefault="0075540B" w:rsidP="00195866">
      <w:pPr>
        <w:jc w:val="left"/>
      </w:pPr>
    </w:p>
    <w:p w:rsidR="006F4375" w:rsidRPr="00A170F9" w:rsidRDefault="006F4375" w:rsidP="00D05403">
      <w:pPr>
        <w:pStyle w:val="Heading2"/>
      </w:pPr>
      <w:r w:rsidRPr="00A170F9">
        <w:t>Deductions</w:t>
      </w:r>
    </w:p>
    <w:p w:rsidR="0075540B" w:rsidRPr="00A170F9" w:rsidRDefault="0075540B" w:rsidP="00195866"/>
    <w:p w:rsidR="00195866" w:rsidRPr="00A170F9" w:rsidRDefault="00195866" w:rsidP="00376839">
      <w:r w:rsidRPr="00A170F9">
        <w:t>For property that is liable for tax under the bright-line test, taxpayers will be able to deduct expenditure according to the ordinary tax rules.</w:t>
      </w:r>
    </w:p>
    <w:p w:rsidR="00195866" w:rsidRPr="00A170F9" w:rsidRDefault="00195866" w:rsidP="00195866"/>
    <w:p w:rsidR="00195866" w:rsidRPr="00A170F9" w:rsidRDefault="00195866" w:rsidP="00376839">
      <w:pPr>
        <w:pStyle w:val="Heading3"/>
      </w:pPr>
      <w:bookmarkStart w:id="6" w:name="_Toc422743977"/>
      <w:r w:rsidRPr="00A170F9">
        <w:t>The cost of the property can be deducted</w:t>
      </w:r>
      <w:bookmarkEnd w:id="6"/>
    </w:p>
    <w:p w:rsidR="00195866" w:rsidRPr="00A170F9" w:rsidRDefault="00195866" w:rsidP="0075540B"/>
    <w:p w:rsidR="00195866" w:rsidRPr="00A170F9" w:rsidRDefault="00195866" w:rsidP="00195866">
      <w:r w:rsidRPr="00A170F9">
        <w:t>A person who sells property that is subject to the bright-line test will be allowed a deduction for the cost of the property at the time of sale.</w:t>
      </w:r>
    </w:p>
    <w:p w:rsidR="00195866" w:rsidRPr="00A170F9" w:rsidRDefault="00195866" w:rsidP="00195866"/>
    <w:p w:rsidR="00195866" w:rsidRPr="00A170F9" w:rsidRDefault="00195866" w:rsidP="00195866">
      <w:r w:rsidRPr="00A170F9">
        <w:t>The cost of the property includes the amount that was paid to acquire the property (the initial acquisition price of the property).  The cost of the property also includes any expenditure related to the acquisition.  As a result, the costs of lawyers, valuers, surveyors and real estate agents are deductible.  The incidental costs of disposing of the property are also deductible as part of the cost of the property.  The cost of the property also includes any capital improvements to the property made after acquisition, such as renovations.</w:t>
      </w:r>
    </w:p>
    <w:p w:rsidR="00195866" w:rsidRPr="00A170F9" w:rsidRDefault="00195866" w:rsidP="00195866"/>
    <w:p w:rsidR="00195866" w:rsidRPr="00A170F9" w:rsidRDefault="00195866" w:rsidP="00376839">
      <w:pPr>
        <w:pStyle w:val="Heading3"/>
      </w:pPr>
      <w:bookmarkStart w:id="7" w:name="_Toc422743978"/>
      <w:r w:rsidRPr="00A170F9">
        <w:t>Holding costs deductible to the extent sufficient nexus and not private in nature</w:t>
      </w:r>
      <w:bookmarkEnd w:id="7"/>
    </w:p>
    <w:p w:rsidR="00195866" w:rsidRPr="00A170F9" w:rsidRDefault="00195866" w:rsidP="00195866"/>
    <w:p w:rsidR="00195866" w:rsidRPr="00A170F9" w:rsidRDefault="00195866" w:rsidP="00195866">
      <w:r w:rsidRPr="00A170F9">
        <w:t>While a property is owned there will be periodic holding costs (of a non-capital nature) such as interest, insurance, rates and repairs, and maintenance expenses.</w:t>
      </w:r>
    </w:p>
    <w:p w:rsidR="00195866" w:rsidRPr="00A170F9" w:rsidRDefault="00195866" w:rsidP="00195866"/>
    <w:p w:rsidR="00195866" w:rsidRPr="00A170F9" w:rsidRDefault="00195866" w:rsidP="00195866">
      <w:r w:rsidRPr="00A170F9">
        <w:t>To be deductible as incurred, the holding costs must satisfy the normal deduction requirements.  In other words, the holding costs are deductible to the extent they have a nexus</w:t>
      </w:r>
      <w:r w:rsidR="0075540B" w:rsidRPr="00A170F9">
        <w:t xml:space="preserve"> </w:t>
      </w:r>
      <w:r w:rsidRPr="00A170F9">
        <w:t>with income and are not private in nature (or otherwise subject to any of the general limitations on deductions).</w:t>
      </w:r>
    </w:p>
    <w:p w:rsidR="00195866" w:rsidRPr="00A170F9" w:rsidRDefault="00195866" w:rsidP="00195866"/>
    <w:p w:rsidR="00195866" w:rsidRPr="00A170F9" w:rsidRDefault="00195866" w:rsidP="00195866">
      <w:r w:rsidRPr="00A170F9">
        <w:t>A deduction will be considered to be of a private nature if it is exclusively related to living as an individual.  This will be determined by the specific facts of any given situation.  However, interest costs can automatically be deducted if the property is owned by a company (subject to some limitations).</w:t>
      </w:r>
    </w:p>
    <w:p w:rsidR="00195866" w:rsidRPr="00A170F9" w:rsidRDefault="00195866" w:rsidP="00195866"/>
    <w:p w:rsidR="00B1203F" w:rsidRPr="00A170F9" w:rsidRDefault="00195866" w:rsidP="00195866">
      <w:r w:rsidRPr="00A170F9">
        <w:lastRenderedPageBreak/>
        <w:t>For example, when the property is part of a business or profit-making undertaking or scheme, and there is no private use, it is likely that the nexus would be satisfied.  Further, when the property is rented out there would likely be a nexus between the holding costs and the rental income.  However, if a person purchases a bach for family use, but sells the bach within two years, the holding costs would not be deductible because of the private limitation.</w:t>
      </w:r>
    </w:p>
    <w:p w:rsidR="0075540B" w:rsidRPr="00A170F9" w:rsidRDefault="0075540B" w:rsidP="00195866"/>
    <w:p w:rsidR="00B1203F" w:rsidRPr="00A170F9" w:rsidRDefault="00B1203F" w:rsidP="00D05403">
      <w:pPr>
        <w:pStyle w:val="Heading2"/>
      </w:pPr>
      <w:r w:rsidRPr="00A170F9">
        <w:t>Ring-fencing losses</w:t>
      </w:r>
    </w:p>
    <w:p w:rsidR="00B1203F" w:rsidRPr="00A170F9" w:rsidRDefault="0075540B" w:rsidP="00634114">
      <w:pPr>
        <w:pStyle w:val="Sectionclause"/>
      </w:pPr>
      <w:r w:rsidRPr="00A170F9">
        <w:t>(Section DB</w:t>
      </w:r>
      <w:r w:rsidR="00634114" w:rsidRPr="00A170F9">
        <w:t xml:space="preserve"> </w:t>
      </w:r>
      <w:r w:rsidRPr="00A170F9">
        <w:t>18A)</w:t>
      </w:r>
    </w:p>
    <w:p w:rsidR="0075540B" w:rsidRPr="00A170F9" w:rsidRDefault="0075540B" w:rsidP="00195866"/>
    <w:p w:rsidR="00195866" w:rsidRPr="00A170F9" w:rsidRDefault="001F0586" w:rsidP="00195866">
      <w:r w:rsidRPr="00A170F9">
        <w:t>L</w:t>
      </w:r>
      <w:r w:rsidR="00195866" w:rsidRPr="00A170F9">
        <w:t xml:space="preserve">osses from deductions that are claimable solely against bright-line income (bright-line deductions) </w:t>
      </w:r>
      <w:r w:rsidRPr="00A170F9">
        <w:t>are</w:t>
      </w:r>
      <w:r w:rsidR="00195866" w:rsidRPr="00A170F9">
        <w:t xml:space="preserve"> ring-fenced, so they can only be offset against gains on other land sales that are taxable under any of the land sale provisions.</w:t>
      </w:r>
    </w:p>
    <w:p w:rsidR="00195866" w:rsidRPr="00A170F9" w:rsidRDefault="00195866" w:rsidP="00195866"/>
    <w:p w:rsidR="00195866" w:rsidRPr="00A170F9" w:rsidRDefault="00195866" w:rsidP="00195866">
      <w:r w:rsidRPr="00A170F9">
        <w:t xml:space="preserve">The amount of bright-line deductions allowed in any income year is limited to the amount of bright-line income and </w:t>
      </w:r>
      <w:r w:rsidR="00317817" w:rsidRPr="00A170F9">
        <w:t xml:space="preserve">net </w:t>
      </w:r>
      <w:r w:rsidRPr="00A170F9">
        <w:t xml:space="preserve">land income for that year.  </w:t>
      </w:r>
      <w:r w:rsidR="00317817" w:rsidRPr="00A170F9">
        <w:t>Net l</w:t>
      </w:r>
      <w:r w:rsidRPr="00A170F9">
        <w:t>and income is the amount of net income for the year as if the person’s only income they derived was from the disposal of land under sections CB 6 to CB 1</w:t>
      </w:r>
      <w:r w:rsidR="001F0586" w:rsidRPr="00A170F9">
        <w:t>4</w:t>
      </w:r>
      <w:r w:rsidRPr="00A170F9">
        <w:t>.</w:t>
      </w:r>
    </w:p>
    <w:p w:rsidR="00195866" w:rsidRPr="00A170F9" w:rsidRDefault="00195866" w:rsidP="00195866"/>
    <w:p w:rsidR="00195866" w:rsidRPr="00A170F9" w:rsidRDefault="00195866" w:rsidP="00D05403">
      <w:r w:rsidRPr="00A170F9">
        <w:t>Any excess deductions not allocated to the income year will be treated as the cost of revenue account property and carried forward to the next income year.  However, any excess deductions will not be able to be carried forward if the general continuity requirements for carrying forward tax losses are not satisfied.</w:t>
      </w:r>
    </w:p>
    <w:p w:rsidR="00195866" w:rsidRPr="00A170F9" w:rsidRDefault="00195866" w:rsidP="00195866"/>
    <w:p w:rsidR="00D35EFC" w:rsidRPr="00A170F9" w:rsidRDefault="00D31048" w:rsidP="0075540B">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 xml:space="preserve">Example: </w:t>
      </w:r>
      <w:r w:rsidR="00D35EFC" w:rsidRPr="00A170F9">
        <w:rPr>
          <w:b/>
          <w:sz w:val="20"/>
          <w:szCs w:val="20"/>
        </w:rPr>
        <w:t>Ring-fenced loss</w:t>
      </w: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In June 2017 Zac sells residential land that is taxable solely due to the bright-line test.  Zac acquired the land for $600,000 and sold it for $540,000.  For the 2017–18 income year, Zac also earned $80,000 in salary.</w:t>
      </w: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The $60,000 loss for the sale of residential land is ring-fenced so that it may only be used to offset income from other land sales.  Zac cannot use the $60,000 loss to offset his income from salary and wages.</w:t>
      </w: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p>
    <w:p w:rsidR="00D35EFC" w:rsidRPr="00A170F9" w:rsidRDefault="00D35EFC"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In August 2019 Zac sells land that he purchased with an intention of resale.  Zac made a gain of $100,000 from the sale.  Zac may offset his previous $60,000 loss against the $100,000 gain.  As a result Zac only has to pay tax on $40,000 of the gain in the 2019–20 income year.</w:t>
      </w:r>
    </w:p>
    <w:p w:rsidR="0075540B" w:rsidRPr="00A170F9" w:rsidRDefault="0075540B" w:rsidP="00195866"/>
    <w:p w:rsidR="006F4375" w:rsidRPr="00A170F9" w:rsidRDefault="006F4375" w:rsidP="00D05403">
      <w:pPr>
        <w:pStyle w:val="Heading2"/>
      </w:pPr>
      <w:r w:rsidRPr="00A170F9">
        <w:t>Losses from transfers to associated persons</w:t>
      </w:r>
    </w:p>
    <w:p w:rsidR="006F4375" w:rsidRPr="00A170F9" w:rsidRDefault="0075540B" w:rsidP="00634114">
      <w:pPr>
        <w:pStyle w:val="Sectionclause"/>
      </w:pPr>
      <w:r w:rsidRPr="00A170F9">
        <w:t>(Section DB</w:t>
      </w:r>
      <w:r w:rsidR="00634114" w:rsidRPr="00A170F9">
        <w:t xml:space="preserve"> </w:t>
      </w:r>
      <w:r w:rsidRPr="00A170F9">
        <w:t>18AB)</w:t>
      </w:r>
    </w:p>
    <w:p w:rsidR="0075540B" w:rsidRPr="00A170F9" w:rsidRDefault="0075540B" w:rsidP="00700D9A"/>
    <w:p w:rsidR="00195866" w:rsidRPr="00A170F9" w:rsidRDefault="00195866" w:rsidP="00700D9A">
      <w:r w:rsidRPr="00A170F9">
        <w:t>A person cannot recognise a loss arising from a transfer of property to an associated person</w:t>
      </w:r>
      <w:r w:rsidR="00D31048" w:rsidRPr="00A170F9">
        <w:t xml:space="preserve"> if that loss is taxable solely due to the bright-line test</w:t>
      </w:r>
      <w:r w:rsidRPr="00A170F9">
        <w:t>.</w:t>
      </w:r>
    </w:p>
    <w:p w:rsidR="001F0586" w:rsidRPr="00A170F9" w:rsidRDefault="001F0586" w:rsidP="00700D9A"/>
    <w:p w:rsidR="001F0586" w:rsidRPr="00A170F9" w:rsidRDefault="001F0586" w:rsidP="001F0586">
      <w:r w:rsidRPr="00A170F9">
        <w:t xml:space="preserve">However, to avoid genuine losses being denied permanently, the associate may increase the cost base of the land by the </w:t>
      </w:r>
      <w:r w:rsidR="00521AB5" w:rsidRPr="00A170F9">
        <w:t>amount of the denied deduction.</w:t>
      </w:r>
    </w:p>
    <w:p w:rsidR="0075540B" w:rsidRPr="00A170F9" w:rsidRDefault="0075540B">
      <w:pPr>
        <w:jc w:val="left"/>
      </w:pPr>
      <w:r w:rsidRPr="00A170F9">
        <w:br w:type="page"/>
      </w:r>
    </w:p>
    <w:p w:rsidR="00515BA9" w:rsidRPr="00A170F9" w:rsidRDefault="00515BA9" w:rsidP="00376839">
      <w:pPr>
        <w:pBdr>
          <w:top w:val="single" w:sz="4" w:space="10" w:color="auto"/>
          <w:left w:val="single" w:sz="4" w:space="10" w:color="auto"/>
          <w:bottom w:val="single" w:sz="4" w:space="10" w:color="auto"/>
          <w:right w:val="single" w:sz="4" w:space="10" w:color="auto"/>
        </w:pBdr>
        <w:rPr>
          <w:b/>
          <w:bCs/>
          <w:sz w:val="20"/>
          <w:szCs w:val="20"/>
          <w:lang w:eastAsia="en-NZ"/>
        </w:rPr>
      </w:pPr>
      <w:r w:rsidRPr="00A170F9">
        <w:rPr>
          <w:b/>
          <w:bCs/>
          <w:sz w:val="20"/>
          <w:szCs w:val="20"/>
          <w:lang w:eastAsia="en-NZ"/>
        </w:rPr>
        <w:lastRenderedPageBreak/>
        <w:t>Example: Transfer to associate</w:t>
      </w:r>
    </w:p>
    <w:p w:rsidR="00C50FC3" w:rsidRPr="00A170F9" w:rsidRDefault="00C50FC3" w:rsidP="0075540B">
      <w:pPr>
        <w:pBdr>
          <w:top w:val="single" w:sz="4" w:space="10" w:color="auto"/>
          <w:left w:val="single" w:sz="4" w:space="10" w:color="auto"/>
          <w:bottom w:val="single" w:sz="4" w:space="10" w:color="auto"/>
          <w:right w:val="single" w:sz="4" w:space="10" w:color="auto"/>
        </w:pBdr>
        <w:rPr>
          <w:bCs/>
          <w:sz w:val="20"/>
          <w:szCs w:val="20"/>
          <w:lang w:eastAsia="en-NZ"/>
        </w:rPr>
      </w:pPr>
    </w:p>
    <w:p w:rsidR="005C2FF2" w:rsidRPr="00A170F9" w:rsidRDefault="005C2FF2" w:rsidP="005C2FF2">
      <w:pPr>
        <w:pBdr>
          <w:top w:val="single" w:sz="4" w:space="10" w:color="auto"/>
          <w:left w:val="single" w:sz="4" w:space="10" w:color="auto"/>
          <w:bottom w:val="single" w:sz="4" w:space="10" w:color="auto"/>
          <w:right w:val="single" w:sz="4" w:space="10" w:color="auto"/>
        </w:pBdr>
        <w:jc w:val="center"/>
        <w:rPr>
          <w:bCs/>
          <w:sz w:val="20"/>
          <w:szCs w:val="20"/>
          <w:lang w:eastAsia="en-NZ"/>
        </w:rPr>
      </w:pPr>
      <w:r w:rsidRPr="00A170F9">
        <w:rPr>
          <w:bCs/>
          <w:noProof/>
          <w:sz w:val="20"/>
          <w:szCs w:val="20"/>
          <w:lang w:eastAsia="en-NZ"/>
        </w:rPr>
        <w:drawing>
          <wp:inline distT="0" distB="0" distL="0" distR="0" wp14:anchorId="42AD9550" wp14:editId="1845E82B">
            <wp:extent cx="5486400" cy="933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933450"/>
                    </a:xfrm>
                    <a:prstGeom prst="rect">
                      <a:avLst/>
                    </a:prstGeom>
                    <a:noFill/>
                    <a:ln>
                      <a:noFill/>
                    </a:ln>
                  </pic:spPr>
                </pic:pic>
              </a:graphicData>
            </a:graphic>
          </wp:inline>
        </w:drawing>
      </w:r>
    </w:p>
    <w:p w:rsidR="005C2FF2" w:rsidRPr="00A170F9" w:rsidRDefault="005C2FF2" w:rsidP="0075540B">
      <w:pPr>
        <w:pBdr>
          <w:top w:val="single" w:sz="4" w:space="10" w:color="auto"/>
          <w:left w:val="single" w:sz="4" w:space="10" w:color="auto"/>
          <w:bottom w:val="single" w:sz="4" w:space="10" w:color="auto"/>
          <w:right w:val="single" w:sz="4" w:space="10" w:color="auto"/>
        </w:pBdr>
        <w:rPr>
          <w:sz w:val="20"/>
          <w:szCs w:val="20"/>
        </w:rPr>
      </w:pPr>
    </w:p>
    <w:p w:rsidR="00515BA9" w:rsidRPr="00A170F9" w:rsidRDefault="00515BA9"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Steve’s deductions are capped at $400k for the transfer on 1 January 2017.</w:t>
      </w:r>
      <w:r w:rsidR="00C97B9B" w:rsidRPr="00A170F9">
        <w:rPr>
          <w:sz w:val="20"/>
          <w:szCs w:val="20"/>
        </w:rPr>
        <w:t xml:space="preserve"> </w:t>
      </w:r>
      <w:r w:rsidRPr="00A170F9">
        <w:rPr>
          <w:sz w:val="20"/>
          <w:szCs w:val="20"/>
        </w:rPr>
        <w:t xml:space="preserve"> He cannot claim the $100k loss for the year.</w:t>
      </w:r>
    </w:p>
    <w:p w:rsidR="00515BA9" w:rsidRPr="00A170F9" w:rsidRDefault="00515BA9" w:rsidP="0075540B">
      <w:pPr>
        <w:pBdr>
          <w:top w:val="single" w:sz="4" w:space="10" w:color="auto"/>
          <w:left w:val="single" w:sz="4" w:space="10" w:color="auto"/>
          <w:bottom w:val="single" w:sz="4" w:space="10" w:color="auto"/>
          <w:right w:val="single" w:sz="4" w:space="10" w:color="auto"/>
        </w:pBdr>
        <w:rPr>
          <w:sz w:val="20"/>
          <w:szCs w:val="20"/>
        </w:rPr>
      </w:pPr>
    </w:p>
    <w:p w:rsidR="00515BA9" w:rsidRPr="00A170F9" w:rsidRDefault="00515BA9"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 xml:space="preserve">When Tara sells the land on 1 June 2018, she can deduct $500k. </w:t>
      </w:r>
      <w:r w:rsidR="00C97B9B" w:rsidRPr="00A170F9">
        <w:rPr>
          <w:sz w:val="20"/>
          <w:szCs w:val="20"/>
        </w:rPr>
        <w:t xml:space="preserve"> </w:t>
      </w:r>
      <w:r w:rsidRPr="00A170F9">
        <w:rPr>
          <w:sz w:val="20"/>
          <w:szCs w:val="20"/>
        </w:rPr>
        <w:t>This is made up of the $400k cost of acquisition as well as the $100k of denied deductions.</w:t>
      </w:r>
    </w:p>
    <w:p w:rsidR="0075540B" w:rsidRPr="00A170F9" w:rsidRDefault="0075540B" w:rsidP="00700D9A"/>
    <w:p w:rsidR="006F4375" w:rsidRPr="00A170F9" w:rsidRDefault="006F4375" w:rsidP="00D05403">
      <w:pPr>
        <w:pStyle w:val="Heading2"/>
      </w:pPr>
      <w:r w:rsidRPr="00A170F9">
        <w:t>Land-rich companies and trusts</w:t>
      </w:r>
    </w:p>
    <w:p w:rsidR="006F4375" w:rsidRPr="00A170F9" w:rsidRDefault="0075540B" w:rsidP="00634114">
      <w:pPr>
        <w:pStyle w:val="Sectionclause"/>
      </w:pPr>
      <w:r w:rsidRPr="00A170F9">
        <w:t>(Sections GB</w:t>
      </w:r>
      <w:r w:rsidR="00634114" w:rsidRPr="00A170F9">
        <w:t xml:space="preserve"> </w:t>
      </w:r>
      <w:r w:rsidRPr="00A170F9">
        <w:t>52, GB</w:t>
      </w:r>
      <w:r w:rsidR="00634114" w:rsidRPr="00A170F9">
        <w:t xml:space="preserve"> </w:t>
      </w:r>
      <w:r w:rsidRPr="00A170F9">
        <w:t>53)</w:t>
      </w:r>
    </w:p>
    <w:p w:rsidR="0075540B" w:rsidRPr="00A170F9" w:rsidRDefault="0075540B" w:rsidP="00700D9A"/>
    <w:p w:rsidR="00FC6E96" w:rsidRPr="00A170F9" w:rsidRDefault="00FC6E96" w:rsidP="00700D9A">
      <w:r w:rsidRPr="00A170F9">
        <w:t>To address the risk of people using land-rich companies and trusts to circumvent the bright-line test, a specific anti-avoidance rule deems disposals of residential land to have occurred when companies and trusts are used to defeat the intent and application of the bright-line test.</w:t>
      </w:r>
    </w:p>
    <w:p w:rsidR="00FC6E96" w:rsidRPr="00A170F9" w:rsidRDefault="00FC6E96" w:rsidP="00700D9A"/>
    <w:p w:rsidR="00FC6E96" w:rsidRPr="00A170F9" w:rsidRDefault="00FC6E96" w:rsidP="00376839">
      <w:pPr>
        <w:pStyle w:val="Heading3"/>
      </w:pPr>
      <w:r w:rsidRPr="00A170F9">
        <w:t>Land-rich companies</w:t>
      </w:r>
    </w:p>
    <w:p w:rsidR="00FC6E96" w:rsidRPr="00A170F9" w:rsidRDefault="00FC6E96" w:rsidP="00700D9A"/>
    <w:p w:rsidR="00FC6E96" w:rsidRPr="00A170F9" w:rsidRDefault="004016ED" w:rsidP="00FC6E96">
      <w:r w:rsidRPr="00A170F9">
        <w:t>The anti-avoidance rule for land-rich companies</w:t>
      </w:r>
      <w:r w:rsidR="00FC6E96" w:rsidRPr="00A170F9">
        <w:t xml:space="preserve"> applies when the following four requirements are met:</w:t>
      </w:r>
    </w:p>
    <w:p w:rsidR="00364C5A" w:rsidRPr="00A170F9" w:rsidRDefault="00364C5A" w:rsidP="00FC6E96"/>
    <w:p w:rsidR="00FC6E96" w:rsidRPr="00A170F9" w:rsidRDefault="00E9710C" w:rsidP="00D05403">
      <w:pPr>
        <w:pStyle w:val="Bullets"/>
      </w:pPr>
      <w:r w:rsidRPr="00A170F9">
        <w:t>T</w:t>
      </w:r>
      <w:r w:rsidR="00FC6E96" w:rsidRPr="00A170F9">
        <w:t>he company is land-rich – this means at least 50 percent of the value of the company is attributable to residential land</w:t>
      </w:r>
      <w:r w:rsidRPr="00A170F9">
        <w:t>.</w:t>
      </w:r>
    </w:p>
    <w:p w:rsidR="00FC6E96" w:rsidRPr="00A170F9" w:rsidRDefault="00FC6E96" w:rsidP="00D05403">
      <w:pPr>
        <w:pStyle w:val="Bullets"/>
      </w:pPr>
      <w:r w:rsidRPr="00A170F9">
        <w:t>50 percent of the shares in the company are disposed of within a 12 month period</w:t>
      </w:r>
      <w:r w:rsidR="00E9710C" w:rsidRPr="00A170F9">
        <w:t>.</w:t>
      </w:r>
    </w:p>
    <w:p w:rsidR="00FC6E96" w:rsidRPr="00A170F9" w:rsidRDefault="00E9710C" w:rsidP="00D05403">
      <w:pPr>
        <w:pStyle w:val="Bullets"/>
      </w:pPr>
      <w:r w:rsidRPr="00A170F9">
        <w:t>S</w:t>
      </w:r>
      <w:r w:rsidR="00FC6E96" w:rsidRPr="00A170F9">
        <w:t>ome of the company</w:t>
      </w:r>
      <w:r w:rsidR="0083608B" w:rsidRPr="00A170F9">
        <w:t>’s</w:t>
      </w:r>
      <w:r w:rsidR="00FC6E96" w:rsidRPr="00A170F9">
        <w:t xml:space="preserve"> residential land was acquired within two years of the disposal of the shares</w:t>
      </w:r>
      <w:r w:rsidRPr="00A170F9">
        <w:t>.</w:t>
      </w:r>
    </w:p>
    <w:p w:rsidR="00787574" w:rsidRPr="00A170F9" w:rsidRDefault="00E9710C" w:rsidP="00D05403">
      <w:pPr>
        <w:pStyle w:val="Bullets"/>
        <w:spacing w:after="0"/>
      </w:pPr>
      <w:r w:rsidRPr="00A170F9">
        <w:t>T</w:t>
      </w:r>
      <w:r w:rsidR="00FC6E96" w:rsidRPr="00A170F9">
        <w:t>he disposal of shares had a purpose or effect of defeating the intent and application of the bright-line test.</w:t>
      </w:r>
    </w:p>
    <w:p w:rsidR="00787574" w:rsidRPr="00A170F9" w:rsidRDefault="00787574" w:rsidP="00376839"/>
    <w:p w:rsidR="00FC6E96" w:rsidRPr="00A170F9" w:rsidRDefault="00FC6E96" w:rsidP="00376839">
      <w:pPr>
        <w:pStyle w:val="Heading4"/>
      </w:pPr>
      <w:r w:rsidRPr="00A170F9">
        <w:t>Definition of land-rich company</w:t>
      </w:r>
    </w:p>
    <w:p w:rsidR="00376839" w:rsidRPr="00A170F9" w:rsidRDefault="00376839" w:rsidP="00376839"/>
    <w:p w:rsidR="00FC6E96" w:rsidRPr="00A170F9" w:rsidRDefault="00FC6E96" w:rsidP="00376839">
      <w:r w:rsidRPr="00A170F9">
        <w:t xml:space="preserve">A “land-rich” company is one where at least 50 percent of the value of the company is attributable to residential land either directly or indirectly. </w:t>
      </w:r>
      <w:r w:rsidR="00C97B9B" w:rsidRPr="00A170F9">
        <w:t xml:space="preserve"> </w:t>
      </w:r>
      <w:r w:rsidRPr="00A170F9">
        <w:t>This is intended to mirror similar provisions contained in international double tax agreements.</w:t>
      </w:r>
      <w:r w:rsidR="00C97B9B" w:rsidRPr="00A170F9">
        <w:t xml:space="preserve"> </w:t>
      </w:r>
      <w:r w:rsidRPr="00A170F9">
        <w:t xml:space="preserve"> Residential land can be attributable to a company either through the company owning the residential land in its own name or holding shares in another land-rich company.</w:t>
      </w:r>
    </w:p>
    <w:p w:rsidR="00FC6E96" w:rsidRPr="00A170F9" w:rsidRDefault="00FC6E96" w:rsidP="00376839"/>
    <w:p w:rsidR="00FC6E96" w:rsidRPr="00A170F9" w:rsidRDefault="00FC6E96" w:rsidP="00376839">
      <w:pPr>
        <w:pStyle w:val="Heading4"/>
      </w:pPr>
      <w:r w:rsidRPr="00A170F9">
        <w:t>Deemed disposal</w:t>
      </w:r>
    </w:p>
    <w:p w:rsidR="00FC6E96" w:rsidRPr="00A170F9" w:rsidRDefault="00FC6E96" w:rsidP="00376839"/>
    <w:p w:rsidR="00FC6E96" w:rsidRPr="00A170F9" w:rsidRDefault="00FC6E96" w:rsidP="00376839">
      <w:r w:rsidRPr="00A170F9">
        <w:t xml:space="preserve">When the requirements are met the </w:t>
      </w:r>
      <w:r w:rsidR="00E65FF0" w:rsidRPr="00A170F9">
        <w:t xml:space="preserve">land-rich </w:t>
      </w:r>
      <w:r w:rsidRPr="00A170F9">
        <w:t>company is treated as disposing of residential land</w:t>
      </w:r>
      <w:r w:rsidR="006629C9" w:rsidRPr="00A170F9">
        <w:t xml:space="preserve"> that it acquired within two years of the share disposal</w:t>
      </w:r>
      <w:r w:rsidRPr="00A170F9">
        <w:t xml:space="preserve"> to the shareholder at cost. </w:t>
      </w:r>
      <w:r w:rsidR="00C97B9B" w:rsidRPr="00A170F9">
        <w:t xml:space="preserve"> </w:t>
      </w:r>
      <w:r w:rsidRPr="00A170F9">
        <w:t>The amount of residential land and the price are at the cost proportional to the shareholding of the relevant shareholder.</w:t>
      </w:r>
    </w:p>
    <w:p w:rsidR="00FC6E96" w:rsidRPr="00A170F9" w:rsidRDefault="00FC6E96" w:rsidP="00376839"/>
    <w:p w:rsidR="00FC6E96" w:rsidRPr="00A170F9" w:rsidRDefault="00FC6E96" w:rsidP="00376839">
      <w:r w:rsidRPr="00A170F9">
        <w:t xml:space="preserve">The shareholder is then treated as immediately disposing of the residential land back to the company at </w:t>
      </w:r>
      <w:r w:rsidR="00961DC5" w:rsidRPr="00A170F9">
        <w:t>market value</w:t>
      </w:r>
      <w:r w:rsidRPr="00A170F9">
        <w:t>.</w:t>
      </w:r>
    </w:p>
    <w:p w:rsidR="006629C9" w:rsidRPr="00A170F9" w:rsidRDefault="006629C9" w:rsidP="00376839"/>
    <w:p w:rsidR="006629C9" w:rsidRPr="00A170F9" w:rsidRDefault="006629C9" w:rsidP="00376839">
      <w:pPr>
        <w:pBdr>
          <w:top w:val="single" w:sz="4" w:space="10" w:color="auto"/>
          <w:left w:val="single" w:sz="4" w:space="10" w:color="auto"/>
          <w:bottom w:val="single" w:sz="4" w:space="10" w:color="auto"/>
          <w:right w:val="single" w:sz="4" w:space="10" w:color="auto"/>
        </w:pBdr>
        <w:rPr>
          <w:b/>
          <w:sz w:val="20"/>
          <w:szCs w:val="20"/>
        </w:rPr>
      </w:pPr>
      <w:r w:rsidRPr="00A170F9">
        <w:rPr>
          <w:b/>
          <w:sz w:val="20"/>
          <w:szCs w:val="20"/>
        </w:rPr>
        <w:t>Example: Land-rich company</w:t>
      </w:r>
    </w:p>
    <w:p w:rsidR="00961DC5" w:rsidRPr="00A170F9" w:rsidRDefault="00961DC5" w:rsidP="00376839">
      <w:pPr>
        <w:pBdr>
          <w:top w:val="single" w:sz="4" w:space="10" w:color="auto"/>
          <w:left w:val="single" w:sz="4" w:space="10" w:color="auto"/>
          <w:bottom w:val="single" w:sz="4" w:space="10" w:color="auto"/>
          <w:right w:val="single" w:sz="4" w:space="10" w:color="auto"/>
        </w:pBdr>
        <w:rPr>
          <w:sz w:val="20"/>
          <w:szCs w:val="20"/>
        </w:rPr>
      </w:pPr>
    </w:p>
    <w:p w:rsidR="005C2FF2" w:rsidRPr="00A170F9" w:rsidRDefault="005C2FF2" w:rsidP="00376839">
      <w:pPr>
        <w:pBdr>
          <w:top w:val="single" w:sz="4" w:space="10" w:color="auto"/>
          <w:left w:val="single" w:sz="4" w:space="10" w:color="auto"/>
          <w:bottom w:val="single" w:sz="4" w:space="10" w:color="auto"/>
          <w:right w:val="single" w:sz="4" w:space="10" w:color="auto"/>
        </w:pBdr>
        <w:jc w:val="center"/>
        <w:rPr>
          <w:sz w:val="20"/>
          <w:szCs w:val="20"/>
        </w:rPr>
      </w:pPr>
      <w:r w:rsidRPr="00A170F9">
        <w:rPr>
          <w:noProof/>
          <w:sz w:val="20"/>
          <w:szCs w:val="20"/>
          <w:lang w:eastAsia="en-NZ"/>
        </w:rPr>
        <w:drawing>
          <wp:inline distT="0" distB="0" distL="0" distR="0" wp14:anchorId="4CE885BF" wp14:editId="0F5FDF35">
            <wp:extent cx="5731510" cy="926878"/>
            <wp:effectExtent l="0" t="0" r="254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926878"/>
                    </a:xfrm>
                    <a:prstGeom prst="rect">
                      <a:avLst/>
                    </a:prstGeom>
                    <a:noFill/>
                    <a:ln>
                      <a:noFill/>
                    </a:ln>
                  </pic:spPr>
                </pic:pic>
              </a:graphicData>
            </a:graphic>
          </wp:inline>
        </w:drawing>
      </w:r>
    </w:p>
    <w:p w:rsidR="005C2FF2" w:rsidRPr="00A170F9" w:rsidRDefault="005C2FF2" w:rsidP="00376839">
      <w:pPr>
        <w:pBdr>
          <w:top w:val="single" w:sz="4" w:space="10" w:color="auto"/>
          <w:left w:val="single" w:sz="4" w:space="10" w:color="auto"/>
          <w:bottom w:val="single" w:sz="4" w:space="10" w:color="auto"/>
          <w:right w:val="single" w:sz="4" w:space="10" w:color="auto"/>
        </w:pBdr>
        <w:rPr>
          <w:sz w:val="20"/>
          <w:szCs w:val="20"/>
        </w:rPr>
      </w:pPr>
    </w:p>
    <w:p w:rsidR="006629C9" w:rsidRPr="00A170F9" w:rsidRDefault="006629C9"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X co. will be treated as disposing of 50</w:t>
      </w:r>
      <w:r w:rsidR="00A170F9">
        <w:rPr>
          <w:sz w:val="20"/>
          <w:szCs w:val="20"/>
        </w:rPr>
        <w:t xml:space="preserve"> percent</w:t>
      </w:r>
      <w:r w:rsidRPr="00A170F9">
        <w:rPr>
          <w:sz w:val="20"/>
          <w:szCs w:val="20"/>
        </w:rPr>
        <w:t xml:space="preserve"> of the residential land to Steve for $250k.</w:t>
      </w:r>
    </w:p>
    <w:p w:rsidR="006629C9" w:rsidRPr="00A170F9" w:rsidRDefault="006629C9" w:rsidP="0075540B">
      <w:pPr>
        <w:pBdr>
          <w:top w:val="single" w:sz="4" w:space="10" w:color="auto"/>
          <w:left w:val="single" w:sz="4" w:space="10" w:color="auto"/>
          <w:bottom w:val="single" w:sz="4" w:space="10" w:color="auto"/>
          <w:right w:val="single" w:sz="4" w:space="10" w:color="auto"/>
        </w:pBdr>
        <w:rPr>
          <w:sz w:val="20"/>
          <w:szCs w:val="20"/>
        </w:rPr>
      </w:pPr>
    </w:p>
    <w:p w:rsidR="006629C9" w:rsidRPr="00A170F9" w:rsidRDefault="006629C9"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Steve will then be treated as disposing of the residential land back to the company for $300k.</w:t>
      </w:r>
    </w:p>
    <w:p w:rsidR="006629C9" w:rsidRPr="00A170F9" w:rsidRDefault="006629C9" w:rsidP="0075540B">
      <w:pPr>
        <w:pBdr>
          <w:top w:val="single" w:sz="4" w:space="10" w:color="auto"/>
          <w:left w:val="single" w:sz="4" w:space="10" w:color="auto"/>
          <w:bottom w:val="single" w:sz="4" w:space="10" w:color="auto"/>
          <w:right w:val="single" w:sz="4" w:space="10" w:color="auto"/>
        </w:pBdr>
        <w:rPr>
          <w:sz w:val="20"/>
          <w:szCs w:val="20"/>
        </w:rPr>
      </w:pPr>
    </w:p>
    <w:p w:rsidR="006629C9" w:rsidRPr="00A170F9" w:rsidRDefault="006629C9" w:rsidP="0075540B">
      <w:pPr>
        <w:pBdr>
          <w:top w:val="single" w:sz="4" w:space="10" w:color="auto"/>
          <w:left w:val="single" w:sz="4" w:space="10" w:color="auto"/>
          <w:bottom w:val="single" w:sz="4" w:space="10" w:color="auto"/>
          <w:right w:val="single" w:sz="4" w:space="10" w:color="auto"/>
        </w:pBdr>
        <w:rPr>
          <w:sz w:val="20"/>
          <w:szCs w:val="20"/>
        </w:rPr>
      </w:pPr>
      <w:r w:rsidRPr="00A170F9">
        <w:rPr>
          <w:sz w:val="20"/>
          <w:szCs w:val="20"/>
        </w:rPr>
        <w:t>As a result, Steve will have to pay income tax on the $50k gain from the deemed sale.</w:t>
      </w:r>
    </w:p>
    <w:p w:rsidR="006629C9" w:rsidRPr="00A170F9" w:rsidRDefault="006629C9" w:rsidP="00376839"/>
    <w:p w:rsidR="00D531CD" w:rsidRPr="00A170F9" w:rsidRDefault="00D531CD" w:rsidP="00376839">
      <w:pPr>
        <w:pStyle w:val="Heading3"/>
      </w:pPr>
      <w:r w:rsidRPr="00A170F9">
        <w:t>Land-rich trusts</w:t>
      </w:r>
    </w:p>
    <w:p w:rsidR="0075540B" w:rsidRPr="00A170F9" w:rsidRDefault="0075540B" w:rsidP="00376839"/>
    <w:p w:rsidR="00D531CD" w:rsidRPr="00A170F9" w:rsidRDefault="0083608B" w:rsidP="00376839">
      <w:r w:rsidRPr="00A170F9">
        <w:t xml:space="preserve">Section </w:t>
      </w:r>
      <w:r w:rsidR="00D531CD" w:rsidRPr="00A170F9">
        <w:t xml:space="preserve">GB 53 deems a trustee to have disposed of residential land </w:t>
      </w:r>
      <w:r w:rsidR="00D54AC0">
        <w:t xml:space="preserve">at market value </w:t>
      </w:r>
      <w:r w:rsidR="00D531CD" w:rsidRPr="00A170F9">
        <w:t xml:space="preserve">whenever all three of the following </w:t>
      </w:r>
      <w:r w:rsidR="00E65FF0" w:rsidRPr="00A170F9">
        <w:t>apply</w:t>
      </w:r>
      <w:r w:rsidR="00D531CD" w:rsidRPr="00A170F9">
        <w:t>:</w:t>
      </w:r>
    </w:p>
    <w:p w:rsidR="00364C5A" w:rsidRPr="00A170F9" w:rsidRDefault="00364C5A" w:rsidP="00376839"/>
    <w:p w:rsidR="00D531CD" w:rsidRPr="00A170F9" w:rsidRDefault="00D531CD" w:rsidP="00D05403">
      <w:pPr>
        <w:pStyle w:val="Bullets"/>
      </w:pPr>
      <w:r w:rsidRPr="00A170F9">
        <w:t>The trust is land-rich – this means that at least 50 percent of the value of the trust is attributable to residential land</w:t>
      </w:r>
      <w:r w:rsidR="008E6098">
        <w:t>.</w:t>
      </w:r>
    </w:p>
    <w:p w:rsidR="00D531CD" w:rsidRPr="00A170F9" w:rsidRDefault="008E6098" w:rsidP="00D05403">
      <w:pPr>
        <w:pStyle w:val="Bullets"/>
      </w:pPr>
      <w:r>
        <w:t>A</w:t>
      </w:r>
      <w:r w:rsidR="009929D8">
        <w:t>n</w:t>
      </w:r>
      <w:r>
        <w:t>y of the following changes are made</w:t>
      </w:r>
      <w:r w:rsidR="00D531CD" w:rsidRPr="00A170F9">
        <w:t>:</w:t>
      </w:r>
    </w:p>
    <w:p w:rsidR="00D531CD" w:rsidRPr="00A170F9" w:rsidRDefault="00D531CD" w:rsidP="00D05403">
      <w:pPr>
        <w:pStyle w:val="Bullets2"/>
      </w:pPr>
      <w:r w:rsidRPr="00A170F9">
        <w:t>the trust deed changes; or</w:t>
      </w:r>
    </w:p>
    <w:p w:rsidR="00D531CD" w:rsidRPr="00A170F9" w:rsidRDefault="00D531CD" w:rsidP="00D05403">
      <w:pPr>
        <w:pStyle w:val="Bullets2"/>
      </w:pPr>
      <w:r w:rsidRPr="00A170F9">
        <w:t>a decision</w:t>
      </w:r>
      <w:r w:rsidR="008E6098">
        <w:t>-</w:t>
      </w:r>
      <w:r w:rsidRPr="00A170F9">
        <w:t>maker under the trust deed changes; or</w:t>
      </w:r>
    </w:p>
    <w:p w:rsidR="00D531CD" w:rsidRPr="00A170F9" w:rsidRDefault="00D531CD" w:rsidP="00D05403">
      <w:pPr>
        <w:pStyle w:val="Bullets2"/>
      </w:pPr>
      <w:r w:rsidRPr="00A170F9">
        <w:t>an arrangement under the trust changes</w:t>
      </w:r>
      <w:r w:rsidR="008E6098">
        <w:t>.</w:t>
      </w:r>
    </w:p>
    <w:p w:rsidR="00364C5A" w:rsidRPr="00A170F9" w:rsidRDefault="008E6098" w:rsidP="00D05403">
      <w:pPr>
        <w:pStyle w:val="Bullets"/>
        <w:spacing w:after="0"/>
      </w:pPr>
      <w:r>
        <w:t xml:space="preserve">The change was made </w:t>
      </w:r>
      <w:r w:rsidR="00D531CD" w:rsidRPr="00A170F9">
        <w:t>with a purpose or effect of defeating the intent and application of the bright-line test.</w:t>
      </w:r>
    </w:p>
    <w:p w:rsidR="007135BF" w:rsidRPr="00A170F9" w:rsidRDefault="007135BF" w:rsidP="00B1203F">
      <w:pPr>
        <w:jc w:val="left"/>
      </w:pPr>
    </w:p>
    <w:p w:rsidR="00D3573A" w:rsidRPr="00A170F9" w:rsidRDefault="00D3573A">
      <w:pPr>
        <w:jc w:val="left"/>
        <w:rPr>
          <w:b/>
        </w:rPr>
      </w:pPr>
      <w:r w:rsidRPr="00A170F9">
        <w:rPr>
          <w:b/>
        </w:rPr>
        <w:br w:type="page"/>
      </w:r>
    </w:p>
    <w:p w:rsidR="008B1072" w:rsidRPr="00A170F9" w:rsidRDefault="008B1072" w:rsidP="008B1072">
      <w:pPr>
        <w:pStyle w:val="Heading1"/>
      </w:pPr>
      <w:r w:rsidRPr="00A170F9">
        <w:lastRenderedPageBreak/>
        <w:t>Other remedial amendments</w:t>
      </w:r>
    </w:p>
    <w:p w:rsidR="0075540B" w:rsidRPr="00A170F9" w:rsidRDefault="0075540B" w:rsidP="00B1203F">
      <w:pPr>
        <w:jc w:val="left"/>
      </w:pPr>
    </w:p>
    <w:p w:rsidR="006F4375" w:rsidRPr="00A170F9" w:rsidRDefault="006F4375" w:rsidP="00D05403">
      <w:pPr>
        <w:pStyle w:val="Heading2"/>
      </w:pPr>
      <w:r w:rsidRPr="00A170F9">
        <w:t>Non-active trust filing exception</w:t>
      </w:r>
    </w:p>
    <w:p w:rsidR="008E6098" w:rsidRPr="00A170F9" w:rsidRDefault="008E6098" w:rsidP="008E6098">
      <w:pPr>
        <w:pStyle w:val="Sectionclause"/>
      </w:pPr>
      <w:r w:rsidRPr="00A170F9">
        <w:t>(Section 43B Tax Administration Act 1994)</w:t>
      </w:r>
    </w:p>
    <w:p w:rsidR="00977020" w:rsidRPr="00A170F9" w:rsidRDefault="00977020" w:rsidP="00977020"/>
    <w:p w:rsidR="00977020" w:rsidRPr="00A170F9" w:rsidRDefault="00505A37" w:rsidP="00977020">
      <w:r w:rsidRPr="00A170F9">
        <w:t>An amendment to the Tax Administration Act 1994 allows non-active trusts (which are currently required to file nil income tax returns)</w:t>
      </w:r>
      <w:r w:rsidR="0083608B" w:rsidRPr="00A170F9">
        <w:t xml:space="preserve"> to apply</w:t>
      </w:r>
      <w:r w:rsidRPr="00A170F9">
        <w:t xml:space="preserve"> to be exempted from the obligation to file, thereby reducing compliance costs.</w:t>
      </w:r>
    </w:p>
    <w:p w:rsidR="00977020" w:rsidRPr="00A170F9" w:rsidRDefault="00977020" w:rsidP="00977020"/>
    <w:p w:rsidR="00BB2D0A" w:rsidRPr="00A170F9" w:rsidRDefault="00BB2D0A" w:rsidP="00376839">
      <w:pPr>
        <w:pStyle w:val="Heading3"/>
      </w:pPr>
      <w:r w:rsidRPr="00A170F9">
        <w:t>Requirements for exception</w:t>
      </w:r>
    </w:p>
    <w:p w:rsidR="00BB2D0A" w:rsidRPr="00A170F9" w:rsidRDefault="00BB2D0A" w:rsidP="00977020"/>
    <w:p w:rsidR="00977020" w:rsidRPr="00A170F9" w:rsidRDefault="00977020" w:rsidP="00977020">
      <w:r w:rsidRPr="00A170F9">
        <w:t>Trusts that are non-active will no longer be required to file annual income tax returns if:</w:t>
      </w:r>
    </w:p>
    <w:p w:rsidR="00977020" w:rsidRPr="00A170F9" w:rsidRDefault="00977020" w:rsidP="00977020"/>
    <w:p w:rsidR="00977020" w:rsidRPr="00A170F9" w:rsidRDefault="00977020" w:rsidP="00D05403">
      <w:pPr>
        <w:pStyle w:val="Bullets"/>
      </w:pPr>
      <w:r w:rsidRPr="00A170F9">
        <w:t>throughout the tax year the trust is a non-active complying trust; and</w:t>
      </w:r>
    </w:p>
    <w:p w:rsidR="00977020" w:rsidRPr="00A170F9" w:rsidRDefault="00977020" w:rsidP="00D05403">
      <w:pPr>
        <w:pStyle w:val="Bullets"/>
        <w:spacing w:after="0"/>
      </w:pPr>
      <w:r w:rsidRPr="00A170F9">
        <w:t>the trustee of the trust has filed a declaration that the trust is non-active (and the trust has not become active since making the declaration).</w:t>
      </w:r>
    </w:p>
    <w:p w:rsidR="00977020" w:rsidRPr="00A170F9" w:rsidRDefault="00977020" w:rsidP="00977020"/>
    <w:p w:rsidR="00977020" w:rsidRPr="00A170F9" w:rsidRDefault="00977020" w:rsidP="00977020">
      <w:r w:rsidRPr="00A170F9">
        <w:t>A trust will be non-active if it:</w:t>
      </w:r>
    </w:p>
    <w:p w:rsidR="00977020" w:rsidRPr="00A170F9" w:rsidRDefault="00977020" w:rsidP="00977020"/>
    <w:p w:rsidR="00977020" w:rsidRPr="00A170F9" w:rsidRDefault="00977020" w:rsidP="00D05403">
      <w:pPr>
        <w:pStyle w:val="Bullets"/>
      </w:pPr>
      <w:r w:rsidRPr="00A170F9">
        <w:t>has not derived or been deemed to have derived any income;</w:t>
      </w:r>
    </w:p>
    <w:p w:rsidR="00977020" w:rsidRPr="00A170F9" w:rsidRDefault="00977020" w:rsidP="00D05403">
      <w:pPr>
        <w:pStyle w:val="Bullets"/>
      </w:pPr>
      <w:r w:rsidRPr="00A170F9">
        <w:t>has no deductions; and</w:t>
      </w:r>
    </w:p>
    <w:p w:rsidR="00977020" w:rsidRPr="00A170F9" w:rsidRDefault="00977020" w:rsidP="00D05403">
      <w:pPr>
        <w:pStyle w:val="Bullets"/>
        <w:spacing w:after="0"/>
      </w:pPr>
      <w:r w:rsidRPr="00A170F9">
        <w:t>has not been a party to, or perpetuated or continued with, any transactions with assets of the trust in the tax year, which give rise to income in any person’s hands, or fringe benefits to any employee or to any former employee.</w:t>
      </w:r>
    </w:p>
    <w:p w:rsidR="00977020" w:rsidRPr="00A170F9" w:rsidRDefault="00977020" w:rsidP="00977020"/>
    <w:p w:rsidR="00977020" w:rsidRPr="00A170F9" w:rsidRDefault="00977020" w:rsidP="00977020">
      <w:r w:rsidRPr="00A170F9">
        <w:t>Certain minimal amounts of income or deductions can be ignored in determining whether a trust is non-active.</w:t>
      </w:r>
      <w:r w:rsidR="00C97B9B" w:rsidRPr="00A170F9">
        <w:t xml:space="preserve"> </w:t>
      </w:r>
      <w:r w:rsidR="00505A37" w:rsidRPr="00A170F9">
        <w:t xml:space="preserve"> This includes:</w:t>
      </w:r>
    </w:p>
    <w:p w:rsidR="00505A37" w:rsidRPr="00A170F9" w:rsidRDefault="00505A37" w:rsidP="00977020"/>
    <w:p w:rsidR="00505A37" w:rsidRPr="00A170F9" w:rsidRDefault="00E947AC" w:rsidP="00D05403">
      <w:pPr>
        <w:pStyle w:val="Bullets"/>
      </w:pPr>
      <w:r w:rsidRPr="00A170F9">
        <w:t>re</w:t>
      </w:r>
      <w:r w:rsidR="00505A37" w:rsidRPr="00A170F9">
        <w:t>asonable fees paid to professional t</w:t>
      </w:r>
      <w:r w:rsidRPr="00A170F9">
        <w:t>rustees to administer the trust;</w:t>
      </w:r>
    </w:p>
    <w:p w:rsidR="00505A37" w:rsidRPr="00A170F9" w:rsidRDefault="00E947AC" w:rsidP="00D05403">
      <w:pPr>
        <w:pStyle w:val="Bullets"/>
      </w:pPr>
      <w:r w:rsidRPr="00A170F9">
        <w:t>u</w:t>
      </w:r>
      <w:r w:rsidR="00505A37" w:rsidRPr="00A170F9">
        <w:t>p to $200 of bank charges or oth</w:t>
      </w:r>
      <w:r w:rsidRPr="00A170F9">
        <w:t>er minimal administration costs;</w:t>
      </w:r>
    </w:p>
    <w:p w:rsidR="00977020" w:rsidRPr="00A170F9" w:rsidRDefault="00E947AC" w:rsidP="00D05403">
      <w:pPr>
        <w:pStyle w:val="Bullets"/>
      </w:pPr>
      <w:r w:rsidRPr="00A170F9">
        <w:t>u</w:t>
      </w:r>
      <w:r w:rsidR="00505A37" w:rsidRPr="00A170F9">
        <w:t>p to $200 of interest earned on trust assets in a b</w:t>
      </w:r>
      <w:r w:rsidRPr="00A170F9">
        <w:t>ank account during the tax year; and</w:t>
      </w:r>
    </w:p>
    <w:p w:rsidR="00505A37" w:rsidRPr="00A170F9" w:rsidRDefault="00E947AC" w:rsidP="00D05403">
      <w:pPr>
        <w:pStyle w:val="Bullets"/>
        <w:spacing w:after="0"/>
      </w:pPr>
      <w:r w:rsidRPr="00A170F9">
        <w:t>i</w:t>
      </w:r>
      <w:r w:rsidR="007E56F4" w:rsidRPr="00A170F9">
        <w:t>nsurance, rates, and other expenditure incidental to the occupation of a dwelling owned by the trust and incurred by the beneficiaries of the trust.</w:t>
      </w:r>
    </w:p>
    <w:p w:rsidR="0075540B" w:rsidRPr="00A170F9" w:rsidRDefault="0075540B" w:rsidP="00977020"/>
    <w:p w:rsidR="00977020" w:rsidRPr="00A170F9" w:rsidRDefault="00977020" w:rsidP="00977020">
      <w:r w:rsidRPr="00A170F9">
        <w:t>The amendment sets out the process by which a non-active trust may make application for exemption from filing income tax returns.</w:t>
      </w:r>
      <w:r w:rsidR="00C97B9B" w:rsidRPr="00A170F9">
        <w:t xml:space="preserve"> </w:t>
      </w:r>
      <w:r w:rsidRPr="00A170F9">
        <w:t xml:space="preserve"> This process entails the completion of a declaration – first, that the trust is a non-active trust and secondly, that a trustee of the trust will inform the Commissioner if it ceases to be so. </w:t>
      </w:r>
      <w:r w:rsidR="00C97B9B" w:rsidRPr="00A170F9">
        <w:t xml:space="preserve"> </w:t>
      </w:r>
      <w:r w:rsidRPr="00A170F9">
        <w:t>The trustees of the trust are thereby placed under a statutory obligation to inform the Commissioner upon the cessation.</w:t>
      </w:r>
    </w:p>
    <w:p w:rsidR="00977020" w:rsidRPr="00A170F9" w:rsidRDefault="00977020" w:rsidP="00977020"/>
    <w:p w:rsidR="00977020" w:rsidRPr="00A170F9" w:rsidRDefault="00977020" w:rsidP="00977020">
      <w:r w:rsidRPr="00A170F9">
        <w:t xml:space="preserve">The Commissioner will retain the power to request the trustees of a trust to </w:t>
      </w:r>
      <w:r w:rsidR="0083608B" w:rsidRPr="00A170F9">
        <w:t>file</w:t>
      </w:r>
      <w:r w:rsidRPr="00A170F9">
        <w:t xml:space="preserve"> a return of income even if it holds an exemption under the </w:t>
      </w:r>
      <w:r w:rsidR="0083608B" w:rsidRPr="00A170F9">
        <w:t>amended</w:t>
      </w:r>
      <w:r w:rsidRPr="00A170F9">
        <w:t xml:space="preserve"> provision.</w:t>
      </w:r>
    </w:p>
    <w:p w:rsidR="00977020" w:rsidRPr="00A170F9" w:rsidRDefault="00977020" w:rsidP="00977020"/>
    <w:p w:rsidR="00977020" w:rsidRPr="00A170F9" w:rsidRDefault="00977020" w:rsidP="00977020">
      <w:r w:rsidRPr="00A170F9">
        <w:t>The amendment is based on a similar provision for non-active companies in section 43A of the Tax Administration Act 1994.</w:t>
      </w:r>
    </w:p>
    <w:p w:rsidR="0075540B" w:rsidRPr="00A170F9" w:rsidRDefault="0075540B" w:rsidP="00977020">
      <w:bookmarkStart w:id="8" w:name="_Toc427854413"/>
      <w:bookmarkEnd w:id="5"/>
    </w:p>
    <w:p w:rsidR="00977020" w:rsidRPr="00A170F9" w:rsidRDefault="00977020" w:rsidP="00D05403">
      <w:pPr>
        <w:pStyle w:val="Heading2"/>
      </w:pPr>
      <w:r w:rsidRPr="00A170F9">
        <w:lastRenderedPageBreak/>
        <w:t>Definition of “land”</w:t>
      </w:r>
      <w:bookmarkEnd w:id="8"/>
    </w:p>
    <w:p w:rsidR="008A68F2" w:rsidRPr="00A170F9" w:rsidRDefault="0075540B" w:rsidP="00634114">
      <w:pPr>
        <w:pStyle w:val="Sectionclause"/>
      </w:pPr>
      <w:r w:rsidRPr="00A170F9">
        <w:t>(Section YA</w:t>
      </w:r>
      <w:r w:rsidR="00634114" w:rsidRPr="00A170F9">
        <w:t xml:space="preserve"> </w:t>
      </w:r>
      <w:r w:rsidRPr="00A170F9">
        <w:t>1)</w:t>
      </w:r>
    </w:p>
    <w:p w:rsidR="0075540B" w:rsidRPr="00A170F9" w:rsidRDefault="0075540B" w:rsidP="00977020"/>
    <w:p w:rsidR="008A68F2" w:rsidRPr="00A170F9" w:rsidRDefault="008A68F2" w:rsidP="00977020">
      <w:r w:rsidRPr="00A170F9">
        <w:t xml:space="preserve">As a result of the rewrite of income tax legislation, there was an unintended change to the definition of “land”. </w:t>
      </w:r>
      <w:r w:rsidR="00C97B9B" w:rsidRPr="00A170F9">
        <w:t xml:space="preserve"> </w:t>
      </w:r>
      <w:r w:rsidRPr="00A170F9">
        <w:t>This change created uncertainty over whether i</w:t>
      </w:r>
      <w:r w:rsidR="00A76F95" w:rsidRPr="00A170F9">
        <w:t>t included an interest in land.</w:t>
      </w:r>
    </w:p>
    <w:p w:rsidR="008A68F2" w:rsidRPr="00A170F9" w:rsidRDefault="008A68F2" w:rsidP="00977020"/>
    <w:p w:rsidR="008A68F2" w:rsidRPr="00A170F9" w:rsidRDefault="00A76F95" w:rsidP="008A68F2">
      <w:r w:rsidRPr="00A170F9">
        <w:t>To resolve this, t</w:t>
      </w:r>
      <w:r w:rsidR="008A68F2" w:rsidRPr="00A170F9">
        <w:t>he definition of “estate” and “interest” in land are replaced with a definition of estate and interest in land that clearly includes interests in land.  The definition of land clearly include</w:t>
      </w:r>
      <w:r w:rsidR="00465821" w:rsidRPr="00A170F9">
        <w:t>d</w:t>
      </w:r>
      <w:r w:rsidR="008A68F2" w:rsidRPr="00A170F9">
        <w:t xml:space="preserve"> an interest in land prior to the rewrite of the definition.</w:t>
      </w:r>
    </w:p>
    <w:p w:rsidR="008A68F2" w:rsidRPr="00A170F9" w:rsidRDefault="008A68F2" w:rsidP="008A68F2"/>
    <w:p w:rsidR="008A68F2" w:rsidRPr="00A170F9" w:rsidRDefault="008A68F2" w:rsidP="00977020">
      <w:r w:rsidRPr="00A170F9">
        <w:t>In addition, the new definition clarifies that an interest in land includes the right to possession of land.</w:t>
      </w:r>
    </w:p>
    <w:p w:rsidR="0075540B" w:rsidRPr="00A170F9" w:rsidRDefault="0075540B" w:rsidP="00977020">
      <w:bookmarkStart w:id="9" w:name="_Toc427854414"/>
    </w:p>
    <w:p w:rsidR="00977020" w:rsidRPr="00A170F9" w:rsidRDefault="00977020" w:rsidP="00D05403">
      <w:pPr>
        <w:pStyle w:val="Heading2"/>
      </w:pPr>
      <w:r w:rsidRPr="00A170F9">
        <w:t>Clarifying treatment of land transferred under a resident’s restricted amalgamation</w:t>
      </w:r>
      <w:bookmarkEnd w:id="9"/>
    </w:p>
    <w:p w:rsidR="00977020" w:rsidRPr="00A170F9" w:rsidRDefault="0075540B" w:rsidP="00634114">
      <w:pPr>
        <w:pStyle w:val="Sectionclause"/>
      </w:pPr>
      <w:r w:rsidRPr="00A170F9">
        <w:t>(Section FO</w:t>
      </w:r>
      <w:r w:rsidR="00634114" w:rsidRPr="00A170F9">
        <w:t xml:space="preserve"> </w:t>
      </w:r>
      <w:r w:rsidRPr="00A170F9">
        <w:t>17)</w:t>
      </w:r>
    </w:p>
    <w:p w:rsidR="0075540B" w:rsidRPr="00A170F9" w:rsidRDefault="0075540B" w:rsidP="008B7AF0"/>
    <w:p w:rsidR="00977020" w:rsidRPr="00A170F9" w:rsidRDefault="00977020" w:rsidP="00977020">
      <w:r w:rsidRPr="00A170F9">
        <w:t xml:space="preserve">The </w:t>
      </w:r>
      <w:r w:rsidR="002B5E59" w:rsidRPr="00A170F9">
        <w:t xml:space="preserve">new </w:t>
      </w:r>
      <w:r w:rsidR="00044348" w:rsidRPr="00A170F9">
        <w:t>Act</w:t>
      </w:r>
      <w:r w:rsidRPr="00A170F9">
        <w:t xml:space="preserve"> c</w:t>
      </w:r>
      <w:r w:rsidR="008A68F2" w:rsidRPr="00A170F9">
        <w:t>larifies</w:t>
      </w:r>
      <w:r w:rsidRPr="00A170F9">
        <w:t xml:space="preserve"> the treatment of revenue account property transferred as a result of a resident’s restricted amalgamation when, at the time of the amalgamation, it is unclear whether the amalgamated company holds the property on revenue or capital account.</w:t>
      </w:r>
    </w:p>
    <w:p w:rsidR="00977020" w:rsidRPr="00A170F9" w:rsidRDefault="00977020" w:rsidP="00977020"/>
    <w:p w:rsidR="008A68F2" w:rsidRPr="00A170F9" w:rsidRDefault="00A76F95" w:rsidP="00376839">
      <w:pPr>
        <w:pStyle w:val="Heading3"/>
      </w:pPr>
      <w:r w:rsidRPr="00A170F9">
        <w:t>Current amalgamation rules</w:t>
      </w:r>
    </w:p>
    <w:p w:rsidR="008A68F2" w:rsidRPr="00A170F9" w:rsidRDefault="008A68F2" w:rsidP="008A68F2"/>
    <w:p w:rsidR="008A68F2" w:rsidRPr="00A170F9" w:rsidRDefault="008A68F2" w:rsidP="008A68F2">
      <w:r w:rsidRPr="00A170F9">
        <w:t>When two companies merge under an amalgamation, the transfer of assets between the companies is generally exempt from tax.  However, the transfer is not exempt from tax if the property leaves the tax base.</w:t>
      </w:r>
    </w:p>
    <w:p w:rsidR="008A68F2" w:rsidRPr="00A170F9" w:rsidRDefault="008A68F2" w:rsidP="008A68F2"/>
    <w:p w:rsidR="00977020" w:rsidRPr="00A170F9" w:rsidRDefault="008A68F2" w:rsidP="00977020">
      <w:r w:rsidRPr="00A170F9">
        <w:t>The amalgamation rules achieve this result by transferring property either at cost or at market value, depending on whether the amalgamating and amalgamated company hold the property on revenue or capital account.  This is illustrated in Table 1.</w:t>
      </w:r>
    </w:p>
    <w:p w:rsidR="00BB7503" w:rsidRPr="00A170F9" w:rsidRDefault="00BB7503">
      <w:pPr>
        <w:jc w:val="left"/>
      </w:pPr>
    </w:p>
    <w:p w:rsidR="008A68F2" w:rsidRDefault="008A68F2" w:rsidP="008A68F2">
      <w:pPr>
        <w:rPr>
          <w:b/>
        </w:rPr>
      </w:pPr>
      <w:r w:rsidRPr="00A170F9">
        <w:rPr>
          <w:b/>
        </w:rPr>
        <w:t>Table 1</w:t>
      </w:r>
    </w:p>
    <w:tbl>
      <w:tblPr>
        <w:tblStyle w:val="TableGrid"/>
        <w:tblW w:w="0" w:type="auto"/>
        <w:tblCellMar>
          <w:top w:w="28" w:type="dxa"/>
          <w:bottom w:w="28" w:type="dxa"/>
        </w:tblCellMar>
        <w:tblLook w:val="04A0" w:firstRow="1" w:lastRow="0" w:firstColumn="1" w:lastColumn="0" w:noHBand="0" w:noVBand="1"/>
      </w:tblPr>
      <w:tblGrid>
        <w:gridCol w:w="579"/>
        <w:gridCol w:w="2165"/>
        <w:gridCol w:w="2166"/>
        <w:gridCol w:w="2166"/>
        <w:gridCol w:w="2166"/>
      </w:tblGrid>
      <w:tr w:rsidR="008A68F2" w:rsidRPr="00A170F9" w:rsidTr="00634114">
        <w:tc>
          <w:tcPr>
            <w:tcW w:w="579" w:type="dxa"/>
            <w:tcBorders>
              <w:top w:val="nil"/>
              <w:left w:val="nil"/>
              <w:bottom w:val="nil"/>
              <w:right w:val="nil"/>
            </w:tcBorders>
          </w:tcPr>
          <w:p w:rsidR="008A68F2" w:rsidRPr="00A170F9" w:rsidRDefault="008A68F2" w:rsidP="001143A9">
            <w:pPr>
              <w:spacing w:before="60" w:after="60"/>
              <w:rPr>
                <w:sz w:val="20"/>
                <w:szCs w:val="20"/>
              </w:rPr>
            </w:pPr>
          </w:p>
        </w:tc>
        <w:tc>
          <w:tcPr>
            <w:tcW w:w="2165" w:type="dxa"/>
            <w:tcBorders>
              <w:top w:val="nil"/>
              <w:left w:val="nil"/>
              <w:bottom w:val="nil"/>
              <w:right w:val="nil"/>
            </w:tcBorders>
          </w:tcPr>
          <w:p w:rsidR="008A68F2" w:rsidRPr="00A170F9" w:rsidRDefault="008A68F2" w:rsidP="001143A9">
            <w:pPr>
              <w:spacing w:before="60" w:after="60"/>
              <w:rPr>
                <w:sz w:val="20"/>
                <w:szCs w:val="20"/>
              </w:rPr>
            </w:pPr>
          </w:p>
        </w:tc>
        <w:tc>
          <w:tcPr>
            <w:tcW w:w="6498" w:type="dxa"/>
            <w:gridSpan w:val="3"/>
            <w:tcBorders>
              <w:top w:val="nil"/>
              <w:left w:val="nil"/>
              <w:bottom w:val="single" w:sz="4" w:space="0" w:color="auto"/>
              <w:right w:val="nil"/>
            </w:tcBorders>
          </w:tcPr>
          <w:p w:rsidR="008A68F2" w:rsidRPr="00A170F9" w:rsidRDefault="009A55D6" w:rsidP="001143A9">
            <w:pPr>
              <w:spacing w:before="60" w:after="60"/>
              <w:jc w:val="center"/>
              <w:rPr>
                <w:b/>
                <w:sz w:val="20"/>
                <w:szCs w:val="20"/>
              </w:rPr>
            </w:pPr>
            <w:r w:rsidRPr="00A170F9">
              <w:rPr>
                <w:b/>
                <w:sz w:val="20"/>
                <w:szCs w:val="20"/>
              </w:rPr>
              <w:t>Amalgamated company</w:t>
            </w:r>
          </w:p>
        </w:tc>
      </w:tr>
      <w:tr w:rsidR="008A5527" w:rsidRPr="00A170F9" w:rsidTr="00634114">
        <w:tc>
          <w:tcPr>
            <w:tcW w:w="579" w:type="dxa"/>
            <w:vMerge w:val="restart"/>
            <w:tcBorders>
              <w:top w:val="nil"/>
              <w:left w:val="nil"/>
              <w:right w:val="nil"/>
            </w:tcBorders>
            <w:textDirection w:val="btLr"/>
          </w:tcPr>
          <w:p w:rsidR="008A5527" w:rsidRPr="00A170F9" w:rsidRDefault="008A5527" w:rsidP="001143A9">
            <w:pPr>
              <w:spacing w:before="60" w:after="60"/>
              <w:ind w:left="113" w:right="113"/>
              <w:jc w:val="left"/>
              <w:rPr>
                <w:sz w:val="20"/>
                <w:szCs w:val="20"/>
              </w:rPr>
            </w:pPr>
            <w:r w:rsidRPr="00A170F9">
              <w:rPr>
                <w:b/>
                <w:sz w:val="20"/>
                <w:szCs w:val="20"/>
              </w:rPr>
              <w:t>Amalgamating company</w:t>
            </w:r>
          </w:p>
        </w:tc>
        <w:tc>
          <w:tcPr>
            <w:tcW w:w="2165" w:type="dxa"/>
            <w:tcBorders>
              <w:top w:val="nil"/>
              <w:left w:val="nil"/>
              <w:bottom w:val="single" w:sz="4" w:space="0" w:color="auto"/>
              <w:right w:val="single" w:sz="4" w:space="0" w:color="auto"/>
            </w:tcBorders>
          </w:tcPr>
          <w:p w:rsidR="008A5527" w:rsidRPr="00A170F9" w:rsidRDefault="008A5527" w:rsidP="001143A9">
            <w:pPr>
              <w:spacing w:before="60" w:after="60"/>
              <w:rPr>
                <w:sz w:val="20"/>
                <w:szCs w:val="20"/>
              </w:rPr>
            </w:pPr>
          </w:p>
        </w:tc>
        <w:tc>
          <w:tcPr>
            <w:tcW w:w="2166" w:type="dxa"/>
            <w:tcBorders>
              <w:top w:val="single" w:sz="4" w:space="0" w:color="auto"/>
              <w:left w:val="single" w:sz="4" w:space="0" w:color="auto"/>
            </w:tcBorders>
          </w:tcPr>
          <w:p w:rsidR="008A5527" w:rsidRPr="00A170F9" w:rsidRDefault="008A5527" w:rsidP="001143A9">
            <w:pPr>
              <w:spacing w:before="60" w:after="60"/>
              <w:jc w:val="center"/>
              <w:rPr>
                <w:b/>
                <w:sz w:val="20"/>
                <w:szCs w:val="20"/>
              </w:rPr>
            </w:pPr>
            <w:r w:rsidRPr="00A170F9">
              <w:rPr>
                <w:b/>
                <w:sz w:val="20"/>
                <w:szCs w:val="20"/>
              </w:rPr>
              <w:t>Holds on capital account</w:t>
            </w:r>
          </w:p>
        </w:tc>
        <w:tc>
          <w:tcPr>
            <w:tcW w:w="2166" w:type="dxa"/>
            <w:tcBorders>
              <w:top w:val="single" w:sz="4" w:space="0" w:color="auto"/>
            </w:tcBorders>
          </w:tcPr>
          <w:p w:rsidR="008A5527" w:rsidRPr="00A170F9" w:rsidRDefault="008A5527" w:rsidP="001143A9">
            <w:pPr>
              <w:spacing w:before="60" w:after="60"/>
              <w:jc w:val="center"/>
              <w:rPr>
                <w:b/>
                <w:sz w:val="20"/>
                <w:szCs w:val="20"/>
              </w:rPr>
            </w:pPr>
            <w:r w:rsidRPr="00A170F9">
              <w:rPr>
                <w:b/>
                <w:sz w:val="20"/>
                <w:szCs w:val="20"/>
              </w:rPr>
              <w:t>Holds on revenue account (except if solely due to 10-year rule)</w:t>
            </w:r>
          </w:p>
        </w:tc>
        <w:tc>
          <w:tcPr>
            <w:tcW w:w="2166" w:type="dxa"/>
            <w:tcBorders>
              <w:top w:val="single" w:sz="4" w:space="0" w:color="auto"/>
            </w:tcBorders>
          </w:tcPr>
          <w:p w:rsidR="008A5527" w:rsidRPr="00A170F9" w:rsidRDefault="008A5527" w:rsidP="001143A9">
            <w:pPr>
              <w:spacing w:before="60" w:after="60"/>
              <w:jc w:val="center"/>
              <w:rPr>
                <w:b/>
                <w:sz w:val="20"/>
                <w:szCs w:val="20"/>
              </w:rPr>
            </w:pPr>
            <w:r w:rsidRPr="00A170F9">
              <w:rPr>
                <w:b/>
                <w:sz w:val="20"/>
                <w:szCs w:val="20"/>
              </w:rPr>
              <w:t>Holds on revenue account solely due to 10-year rule</w:t>
            </w:r>
          </w:p>
        </w:tc>
      </w:tr>
      <w:tr w:rsidR="008A5527" w:rsidRPr="00A170F9" w:rsidTr="002F7CE1">
        <w:trPr>
          <w:cantSplit/>
          <w:trHeight w:val="340"/>
        </w:trPr>
        <w:tc>
          <w:tcPr>
            <w:tcW w:w="579" w:type="dxa"/>
            <w:vMerge/>
            <w:tcBorders>
              <w:left w:val="nil"/>
              <w:right w:val="single" w:sz="4" w:space="0" w:color="auto"/>
            </w:tcBorders>
            <w:textDirection w:val="btLr"/>
            <w:vAlign w:val="center"/>
          </w:tcPr>
          <w:p w:rsidR="008A5527" w:rsidRPr="00A170F9" w:rsidRDefault="008A5527" w:rsidP="001143A9">
            <w:pPr>
              <w:spacing w:before="60" w:after="60"/>
              <w:ind w:left="113" w:right="113"/>
              <w:jc w:val="center"/>
              <w:rPr>
                <w:b/>
                <w:sz w:val="20"/>
                <w:szCs w:val="20"/>
              </w:rPr>
            </w:pPr>
          </w:p>
        </w:tc>
        <w:tc>
          <w:tcPr>
            <w:tcW w:w="2165" w:type="dxa"/>
            <w:tcBorders>
              <w:top w:val="single" w:sz="4" w:space="0" w:color="auto"/>
              <w:left w:val="single" w:sz="4" w:space="0" w:color="auto"/>
            </w:tcBorders>
          </w:tcPr>
          <w:p w:rsidR="008A5527" w:rsidRPr="00A170F9" w:rsidRDefault="008A5527" w:rsidP="001143A9">
            <w:pPr>
              <w:spacing w:before="60" w:after="60"/>
              <w:jc w:val="left"/>
              <w:rPr>
                <w:b/>
                <w:sz w:val="20"/>
                <w:szCs w:val="20"/>
              </w:rPr>
            </w:pPr>
            <w:r w:rsidRPr="00A170F9">
              <w:rPr>
                <w:b/>
                <w:sz w:val="20"/>
                <w:szCs w:val="20"/>
              </w:rPr>
              <w:t>Holds on capital account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Cost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Market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Market</w:t>
            </w:r>
          </w:p>
        </w:tc>
      </w:tr>
      <w:tr w:rsidR="008A5527" w:rsidRPr="00A170F9" w:rsidTr="002F7CE1">
        <w:trPr>
          <w:cantSplit/>
          <w:trHeight w:val="340"/>
        </w:trPr>
        <w:tc>
          <w:tcPr>
            <w:tcW w:w="579" w:type="dxa"/>
            <w:vMerge/>
            <w:tcBorders>
              <w:left w:val="nil"/>
              <w:right w:val="single" w:sz="4" w:space="0" w:color="auto"/>
            </w:tcBorders>
          </w:tcPr>
          <w:p w:rsidR="008A5527" w:rsidRPr="00A170F9" w:rsidRDefault="008A5527" w:rsidP="001143A9">
            <w:pPr>
              <w:spacing w:before="60" w:after="60"/>
              <w:rPr>
                <w:sz w:val="20"/>
                <w:szCs w:val="20"/>
              </w:rPr>
            </w:pPr>
          </w:p>
        </w:tc>
        <w:tc>
          <w:tcPr>
            <w:tcW w:w="2165" w:type="dxa"/>
            <w:tcBorders>
              <w:left w:val="single" w:sz="4" w:space="0" w:color="auto"/>
            </w:tcBorders>
          </w:tcPr>
          <w:p w:rsidR="008A5527" w:rsidRPr="00A170F9" w:rsidRDefault="008A5527" w:rsidP="001143A9">
            <w:pPr>
              <w:spacing w:before="60" w:after="60"/>
              <w:jc w:val="left"/>
              <w:rPr>
                <w:b/>
                <w:sz w:val="20"/>
                <w:szCs w:val="20"/>
              </w:rPr>
            </w:pPr>
            <w:r w:rsidRPr="00A170F9">
              <w:rPr>
                <w:b/>
                <w:sz w:val="20"/>
                <w:szCs w:val="20"/>
              </w:rPr>
              <w:t>Holds on revenue account (except if solely due to 10-year rule)</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Market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Cost</w:t>
            </w:r>
          </w:p>
        </w:tc>
        <w:tc>
          <w:tcPr>
            <w:tcW w:w="2166" w:type="dxa"/>
            <w:vAlign w:val="center"/>
          </w:tcPr>
          <w:p w:rsidR="008A5527" w:rsidRPr="00A170F9" w:rsidRDefault="008A5527" w:rsidP="002F7CE1">
            <w:pPr>
              <w:spacing w:before="60" w:after="60"/>
              <w:jc w:val="center"/>
              <w:rPr>
                <w:i/>
                <w:strike/>
                <w:sz w:val="20"/>
                <w:szCs w:val="20"/>
                <w:u w:val="single"/>
              </w:rPr>
            </w:pPr>
            <w:r w:rsidRPr="00A170F9">
              <w:rPr>
                <w:i/>
                <w:strike/>
                <w:sz w:val="20"/>
                <w:szCs w:val="20"/>
              </w:rPr>
              <w:t xml:space="preserve">Cost </w:t>
            </w:r>
            <w:r w:rsidRPr="00A170F9">
              <w:rPr>
                <w:i/>
                <w:sz w:val="20"/>
                <w:szCs w:val="20"/>
                <w:u w:val="single"/>
              </w:rPr>
              <w:t>Market</w:t>
            </w:r>
          </w:p>
        </w:tc>
      </w:tr>
      <w:tr w:rsidR="008A5527" w:rsidRPr="00A170F9" w:rsidTr="002F7CE1">
        <w:trPr>
          <w:cantSplit/>
          <w:trHeight w:val="603"/>
        </w:trPr>
        <w:tc>
          <w:tcPr>
            <w:tcW w:w="579" w:type="dxa"/>
            <w:vMerge/>
            <w:tcBorders>
              <w:left w:val="nil"/>
              <w:bottom w:val="nil"/>
              <w:right w:val="single" w:sz="4" w:space="0" w:color="auto"/>
            </w:tcBorders>
          </w:tcPr>
          <w:p w:rsidR="008A5527" w:rsidRPr="00A170F9" w:rsidRDefault="008A5527" w:rsidP="001143A9">
            <w:pPr>
              <w:spacing w:before="60" w:after="60"/>
              <w:rPr>
                <w:sz w:val="20"/>
                <w:szCs w:val="20"/>
              </w:rPr>
            </w:pPr>
          </w:p>
        </w:tc>
        <w:tc>
          <w:tcPr>
            <w:tcW w:w="2165" w:type="dxa"/>
            <w:tcBorders>
              <w:left w:val="single" w:sz="4" w:space="0" w:color="auto"/>
            </w:tcBorders>
          </w:tcPr>
          <w:p w:rsidR="008A5527" w:rsidRPr="00A170F9" w:rsidRDefault="008A5527" w:rsidP="001143A9">
            <w:pPr>
              <w:spacing w:before="60" w:after="60"/>
              <w:jc w:val="left"/>
              <w:rPr>
                <w:b/>
                <w:sz w:val="20"/>
                <w:szCs w:val="20"/>
              </w:rPr>
            </w:pPr>
            <w:r w:rsidRPr="00A170F9">
              <w:rPr>
                <w:b/>
                <w:sz w:val="20"/>
                <w:szCs w:val="20"/>
              </w:rPr>
              <w:t>Holds on revenue account solely due to 10-year rule</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Cost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Cost</w:t>
            </w:r>
          </w:p>
        </w:tc>
        <w:tc>
          <w:tcPr>
            <w:tcW w:w="2166" w:type="dxa"/>
            <w:vAlign w:val="center"/>
          </w:tcPr>
          <w:p w:rsidR="008A5527" w:rsidRPr="00A170F9" w:rsidRDefault="008A5527" w:rsidP="002F7CE1">
            <w:pPr>
              <w:spacing w:before="60" w:after="60"/>
              <w:jc w:val="center"/>
              <w:rPr>
                <w:sz w:val="20"/>
                <w:szCs w:val="20"/>
              </w:rPr>
            </w:pPr>
            <w:r w:rsidRPr="00A170F9">
              <w:rPr>
                <w:sz w:val="20"/>
                <w:szCs w:val="20"/>
              </w:rPr>
              <w:t>Cost</w:t>
            </w:r>
          </w:p>
        </w:tc>
      </w:tr>
    </w:tbl>
    <w:p w:rsidR="00977020" w:rsidRPr="00A170F9" w:rsidRDefault="00977020" w:rsidP="00977020"/>
    <w:p w:rsidR="002F7CE1" w:rsidRDefault="002F7CE1">
      <w:pPr>
        <w:jc w:val="left"/>
      </w:pPr>
      <w:r>
        <w:br w:type="page"/>
      </w:r>
    </w:p>
    <w:p w:rsidR="008A68F2" w:rsidRPr="00A170F9" w:rsidRDefault="008A68F2" w:rsidP="00977020">
      <w:r w:rsidRPr="00A170F9">
        <w:lastRenderedPageBreak/>
        <w:t>However, when the amalgamated company holds the property on revenue account, if it disposes of the property within 10 years, it is unclear for the amalgamating company whether they transfer the property at cost (and have no tax liability) or at market value (and have a tax liability).</w:t>
      </w:r>
    </w:p>
    <w:p w:rsidR="008A68F2" w:rsidRPr="00A170F9" w:rsidRDefault="008A68F2" w:rsidP="00977020"/>
    <w:p w:rsidR="00977020" w:rsidRPr="00A170F9" w:rsidRDefault="00A76F95" w:rsidP="00376839">
      <w:pPr>
        <w:pStyle w:val="Heading3"/>
      </w:pPr>
      <w:r w:rsidRPr="00A170F9">
        <w:t>Deemed market value transfer</w:t>
      </w:r>
    </w:p>
    <w:p w:rsidR="00977020" w:rsidRPr="00A170F9" w:rsidRDefault="00977020" w:rsidP="00977020"/>
    <w:p w:rsidR="00977020" w:rsidRPr="00A170F9" w:rsidRDefault="00977020" w:rsidP="00977020">
      <w:r w:rsidRPr="00A170F9">
        <w:t>The amendment applies so that property is deemed to be transferred at market value when:</w:t>
      </w:r>
    </w:p>
    <w:p w:rsidR="00977020" w:rsidRPr="00A170F9" w:rsidRDefault="00977020" w:rsidP="00977020"/>
    <w:p w:rsidR="00977020" w:rsidRPr="00A170F9" w:rsidRDefault="00977020" w:rsidP="00D05403">
      <w:pPr>
        <w:pStyle w:val="Bullets"/>
      </w:pPr>
      <w:r w:rsidRPr="00A170F9">
        <w:t>the land is held on revenue account for the amalgamating company; and</w:t>
      </w:r>
    </w:p>
    <w:p w:rsidR="00977020" w:rsidRPr="00A170F9" w:rsidRDefault="00977020" w:rsidP="00D05403">
      <w:pPr>
        <w:pStyle w:val="Bullets"/>
        <w:spacing w:after="0"/>
      </w:pPr>
      <w:r w:rsidRPr="00A170F9">
        <w:t>the land is, or may be, revenue account property of the amalgamating company solely because of the 2-year bright-line test or a 10-year rule in any of sections CB 9 to CB 11, and CB 14.</w:t>
      </w:r>
    </w:p>
    <w:p w:rsidR="00977020" w:rsidRPr="00A170F9" w:rsidRDefault="00977020" w:rsidP="00977020"/>
    <w:p w:rsidR="00977020" w:rsidRPr="00A170F9" w:rsidRDefault="00977020" w:rsidP="00977020">
      <w:r w:rsidRPr="00A170F9">
        <w:t>When the two criteria above are met the property is deemed to be transferred at market value.</w:t>
      </w:r>
    </w:p>
    <w:sectPr w:rsidR="00977020" w:rsidRPr="00A170F9" w:rsidSect="000D1F56">
      <w:footerReference w:type="default" r:id="rId2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09" w:rsidRDefault="00932409" w:rsidP="00855AF4">
      <w:r>
        <w:separator/>
      </w:r>
    </w:p>
  </w:endnote>
  <w:endnote w:type="continuationSeparator" w:id="0">
    <w:p w:rsidR="00932409" w:rsidRDefault="00932409" w:rsidP="008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09" w:rsidRPr="00D8492F" w:rsidRDefault="00932409" w:rsidP="00515963">
    <w:pPr>
      <w:jc w:val="center"/>
      <w:rPr>
        <w:sz w:val="22"/>
      </w:rPr>
    </w:pPr>
    <w:r w:rsidRPr="00D8492F">
      <w:rPr>
        <w:sz w:val="22"/>
      </w:rPr>
      <w:fldChar w:fldCharType="begin"/>
    </w:r>
    <w:r w:rsidRPr="00D8492F">
      <w:rPr>
        <w:sz w:val="22"/>
      </w:rPr>
      <w:instrText xml:space="preserve"> PAGE   \* MERGEFORMAT </w:instrText>
    </w:r>
    <w:r w:rsidRPr="00D8492F">
      <w:rPr>
        <w:sz w:val="22"/>
      </w:rPr>
      <w:fldChar w:fldCharType="separate"/>
    </w:r>
    <w:r w:rsidR="00C432CE">
      <w:rPr>
        <w:noProof/>
        <w:sz w:val="22"/>
      </w:rPr>
      <w:t>26</w:t>
    </w:r>
    <w:r w:rsidRPr="00D8492F">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09" w:rsidRDefault="00932409" w:rsidP="00855AF4">
      <w:r>
        <w:separator/>
      </w:r>
    </w:p>
  </w:footnote>
  <w:footnote w:type="continuationSeparator" w:id="0">
    <w:p w:rsidR="00932409" w:rsidRDefault="00932409" w:rsidP="00855AF4">
      <w:r>
        <w:continuationSeparator/>
      </w:r>
    </w:p>
  </w:footnote>
  <w:footnote w:id="1">
    <w:p w:rsidR="00932409" w:rsidRPr="00634114" w:rsidRDefault="00932409" w:rsidP="00C73CF4">
      <w:pPr>
        <w:pStyle w:val="FootnoteText"/>
        <w:rPr>
          <w:lang w:val="en-NZ"/>
        </w:rPr>
      </w:pPr>
      <w:r w:rsidRPr="00634114">
        <w:rPr>
          <w:rStyle w:val="FootnoteReference"/>
          <w:lang w:val="en-NZ"/>
        </w:rPr>
        <w:footnoteRef/>
      </w:r>
      <w:r w:rsidRPr="00634114">
        <w:rPr>
          <w:lang w:val="en-NZ"/>
        </w:rPr>
        <w:t xml:space="preserve"> Public Works Act 1981, section 26(3)</w:t>
      </w:r>
      <w:r w:rsidR="002A1A5F">
        <w:rPr>
          <w:lang w:val="en-NZ"/>
        </w:rPr>
        <w:t>.</w:t>
      </w:r>
    </w:p>
  </w:footnote>
  <w:footnote w:id="2">
    <w:p w:rsidR="00932409" w:rsidRPr="00634114" w:rsidRDefault="00932409">
      <w:pPr>
        <w:pStyle w:val="FootnoteText"/>
        <w:rPr>
          <w:lang w:val="en-NZ"/>
        </w:rPr>
      </w:pPr>
      <w:r w:rsidRPr="00634114">
        <w:rPr>
          <w:rStyle w:val="FootnoteReference"/>
          <w:lang w:val="en-NZ"/>
        </w:rPr>
        <w:footnoteRef/>
      </w:r>
      <w:r w:rsidRPr="00634114">
        <w:rPr>
          <w:lang w:val="en-NZ"/>
        </w:rPr>
        <w:t xml:space="preserve"> The nomination in this example refers to a nomination under a “purchaser or nominee” clause in an agreement for sale and purchase for land.  This example does not deal with nominees under section YB 21 of the Income Tax Act 2007 which have a different tax treatment.</w:t>
      </w:r>
    </w:p>
  </w:footnote>
  <w:footnote w:id="3">
    <w:p w:rsidR="00932409" w:rsidRPr="00BF0367" w:rsidRDefault="00932409" w:rsidP="00195866">
      <w:pPr>
        <w:pStyle w:val="FootnoteText"/>
        <w:rPr>
          <w:lang w:val="en-NZ"/>
        </w:rPr>
      </w:pPr>
      <w:r w:rsidRPr="00634114">
        <w:rPr>
          <w:rStyle w:val="FootnoteReference"/>
          <w:lang w:val="en-NZ"/>
        </w:rPr>
        <w:footnoteRef/>
      </w:r>
      <w:r w:rsidRPr="00634114">
        <w:rPr>
          <w:lang w:val="en-NZ"/>
        </w:rPr>
        <w:t xml:space="preserve"> That meets the criterion to be a “resident’s restricted amalgamation” under section FO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1B1615"/>
    <w:multiLevelType w:val="hybridMultilevel"/>
    <w:tmpl w:val="BC906638"/>
    <w:lvl w:ilvl="0" w:tplc="FDE02BA6">
      <w:start w:val="1"/>
      <w:numFmt w:val="bullet"/>
      <w:pStyle w:val="Bullets2"/>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A6E2DB7"/>
    <w:multiLevelType w:val="hybridMultilevel"/>
    <w:tmpl w:val="4364A500"/>
    <w:lvl w:ilvl="0" w:tplc="298C4C64">
      <w:start w:val="1"/>
      <w:numFmt w:val="bullet"/>
      <w:lvlText w:val=""/>
      <w:lvlJc w:val="left"/>
      <w:pPr>
        <w:ind w:left="720" w:hanging="360"/>
      </w:pPr>
      <w:rPr>
        <w:rFonts w:ascii="Symbol" w:hAnsi="Symbol" w:hint="default"/>
      </w:rPr>
    </w:lvl>
    <w:lvl w:ilvl="1" w:tplc="8AF67EA6">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68E644B"/>
    <w:multiLevelType w:val="hybridMultilevel"/>
    <w:tmpl w:val="708AE008"/>
    <w:lvl w:ilvl="0" w:tplc="298C4C6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051CF"/>
    <w:rsid w:val="000062FF"/>
    <w:rsid w:val="0001177E"/>
    <w:rsid w:val="00017D2C"/>
    <w:rsid w:val="00034A48"/>
    <w:rsid w:val="000352C3"/>
    <w:rsid w:val="000353B1"/>
    <w:rsid w:val="00042EA4"/>
    <w:rsid w:val="00044348"/>
    <w:rsid w:val="00044E87"/>
    <w:rsid w:val="000458DC"/>
    <w:rsid w:val="000509C9"/>
    <w:rsid w:val="00053031"/>
    <w:rsid w:val="00056A4F"/>
    <w:rsid w:val="0005766C"/>
    <w:rsid w:val="000577E5"/>
    <w:rsid w:val="00065A06"/>
    <w:rsid w:val="00066CBD"/>
    <w:rsid w:val="00070AFB"/>
    <w:rsid w:val="00072B9C"/>
    <w:rsid w:val="00075CE0"/>
    <w:rsid w:val="00076A9D"/>
    <w:rsid w:val="00076D4F"/>
    <w:rsid w:val="000777BF"/>
    <w:rsid w:val="00083A44"/>
    <w:rsid w:val="00087AE7"/>
    <w:rsid w:val="00090A73"/>
    <w:rsid w:val="00094B7A"/>
    <w:rsid w:val="0009739D"/>
    <w:rsid w:val="000A4303"/>
    <w:rsid w:val="000B0AC8"/>
    <w:rsid w:val="000B0FA6"/>
    <w:rsid w:val="000B1CCB"/>
    <w:rsid w:val="000B31B8"/>
    <w:rsid w:val="000C0BB8"/>
    <w:rsid w:val="000C0E25"/>
    <w:rsid w:val="000C1D42"/>
    <w:rsid w:val="000C508D"/>
    <w:rsid w:val="000C572C"/>
    <w:rsid w:val="000C5EBC"/>
    <w:rsid w:val="000C6EC4"/>
    <w:rsid w:val="000C784B"/>
    <w:rsid w:val="000D1F56"/>
    <w:rsid w:val="000E17E1"/>
    <w:rsid w:val="000F14D7"/>
    <w:rsid w:val="000F361E"/>
    <w:rsid w:val="000F36E8"/>
    <w:rsid w:val="000F4C3B"/>
    <w:rsid w:val="000F4DED"/>
    <w:rsid w:val="000F699A"/>
    <w:rsid w:val="000F6E19"/>
    <w:rsid w:val="00101286"/>
    <w:rsid w:val="00101373"/>
    <w:rsid w:val="001015F4"/>
    <w:rsid w:val="00103CED"/>
    <w:rsid w:val="001070DF"/>
    <w:rsid w:val="00111392"/>
    <w:rsid w:val="0011398B"/>
    <w:rsid w:val="0011414F"/>
    <w:rsid w:val="001143A9"/>
    <w:rsid w:val="001239B1"/>
    <w:rsid w:val="00123A50"/>
    <w:rsid w:val="00125CD4"/>
    <w:rsid w:val="0013022E"/>
    <w:rsid w:val="0013037B"/>
    <w:rsid w:val="00131DE6"/>
    <w:rsid w:val="001325B0"/>
    <w:rsid w:val="001448C2"/>
    <w:rsid w:val="00144BC9"/>
    <w:rsid w:val="00145EFF"/>
    <w:rsid w:val="001506E6"/>
    <w:rsid w:val="001536AD"/>
    <w:rsid w:val="00153C2B"/>
    <w:rsid w:val="00160FF1"/>
    <w:rsid w:val="0016492F"/>
    <w:rsid w:val="00164F61"/>
    <w:rsid w:val="001755FA"/>
    <w:rsid w:val="001778E3"/>
    <w:rsid w:val="00187D01"/>
    <w:rsid w:val="001940AC"/>
    <w:rsid w:val="00195247"/>
    <w:rsid w:val="00195866"/>
    <w:rsid w:val="001967FB"/>
    <w:rsid w:val="00196984"/>
    <w:rsid w:val="001A277B"/>
    <w:rsid w:val="001A4240"/>
    <w:rsid w:val="001A6CBD"/>
    <w:rsid w:val="001B1637"/>
    <w:rsid w:val="001B4C96"/>
    <w:rsid w:val="001C1C11"/>
    <w:rsid w:val="001C2177"/>
    <w:rsid w:val="001C4E70"/>
    <w:rsid w:val="001C5C22"/>
    <w:rsid w:val="001C5EBE"/>
    <w:rsid w:val="001C68E1"/>
    <w:rsid w:val="001D3BC1"/>
    <w:rsid w:val="001D4AFA"/>
    <w:rsid w:val="001D70A5"/>
    <w:rsid w:val="001E2B13"/>
    <w:rsid w:val="001E375B"/>
    <w:rsid w:val="001E4583"/>
    <w:rsid w:val="001F0586"/>
    <w:rsid w:val="001F0AF1"/>
    <w:rsid w:val="001F394C"/>
    <w:rsid w:val="001F6206"/>
    <w:rsid w:val="001F6C60"/>
    <w:rsid w:val="001F6FE6"/>
    <w:rsid w:val="00201331"/>
    <w:rsid w:val="00201DA1"/>
    <w:rsid w:val="00202C73"/>
    <w:rsid w:val="002059D0"/>
    <w:rsid w:val="00207C80"/>
    <w:rsid w:val="00212EBE"/>
    <w:rsid w:val="00214962"/>
    <w:rsid w:val="0021792E"/>
    <w:rsid w:val="0022119D"/>
    <w:rsid w:val="00223C4E"/>
    <w:rsid w:val="002347EF"/>
    <w:rsid w:val="002354E6"/>
    <w:rsid w:val="0023662E"/>
    <w:rsid w:val="00237D3C"/>
    <w:rsid w:val="002404EA"/>
    <w:rsid w:val="00240A40"/>
    <w:rsid w:val="00244F50"/>
    <w:rsid w:val="00245DB6"/>
    <w:rsid w:val="00246124"/>
    <w:rsid w:val="00250369"/>
    <w:rsid w:val="00250C6B"/>
    <w:rsid w:val="00250FEA"/>
    <w:rsid w:val="0025339B"/>
    <w:rsid w:val="00254887"/>
    <w:rsid w:val="0026456C"/>
    <w:rsid w:val="002649A4"/>
    <w:rsid w:val="00267CB1"/>
    <w:rsid w:val="00270F66"/>
    <w:rsid w:val="00273338"/>
    <w:rsid w:val="002740CF"/>
    <w:rsid w:val="0027420F"/>
    <w:rsid w:val="002743FE"/>
    <w:rsid w:val="002759AA"/>
    <w:rsid w:val="0027672D"/>
    <w:rsid w:val="0027692C"/>
    <w:rsid w:val="00277CB2"/>
    <w:rsid w:val="00281167"/>
    <w:rsid w:val="002851A5"/>
    <w:rsid w:val="002874AD"/>
    <w:rsid w:val="00293137"/>
    <w:rsid w:val="00294520"/>
    <w:rsid w:val="002945E5"/>
    <w:rsid w:val="0029585C"/>
    <w:rsid w:val="002A0654"/>
    <w:rsid w:val="002A1811"/>
    <w:rsid w:val="002A1A5F"/>
    <w:rsid w:val="002A3243"/>
    <w:rsid w:val="002A3B27"/>
    <w:rsid w:val="002A6C92"/>
    <w:rsid w:val="002B3BCB"/>
    <w:rsid w:val="002B5148"/>
    <w:rsid w:val="002B5E59"/>
    <w:rsid w:val="002C5A81"/>
    <w:rsid w:val="002C76B9"/>
    <w:rsid w:val="002C7D0E"/>
    <w:rsid w:val="002D2BC7"/>
    <w:rsid w:val="002E0F30"/>
    <w:rsid w:val="002E2EB4"/>
    <w:rsid w:val="002E4AF7"/>
    <w:rsid w:val="002F3257"/>
    <w:rsid w:val="002F3CFA"/>
    <w:rsid w:val="002F68A9"/>
    <w:rsid w:val="002F7CE1"/>
    <w:rsid w:val="00303265"/>
    <w:rsid w:val="003059A9"/>
    <w:rsid w:val="003110C5"/>
    <w:rsid w:val="003134E2"/>
    <w:rsid w:val="0031474C"/>
    <w:rsid w:val="00315070"/>
    <w:rsid w:val="003165D5"/>
    <w:rsid w:val="00317817"/>
    <w:rsid w:val="0032091F"/>
    <w:rsid w:val="003218D5"/>
    <w:rsid w:val="0032319D"/>
    <w:rsid w:val="003253B3"/>
    <w:rsid w:val="00325B5C"/>
    <w:rsid w:val="00325CD8"/>
    <w:rsid w:val="003263AE"/>
    <w:rsid w:val="00331CE5"/>
    <w:rsid w:val="00334A23"/>
    <w:rsid w:val="0033673B"/>
    <w:rsid w:val="00344033"/>
    <w:rsid w:val="00344BFE"/>
    <w:rsid w:val="00345D06"/>
    <w:rsid w:val="00347762"/>
    <w:rsid w:val="0035263A"/>
    <w:rsid w:val="00353769"/>
    <w:rsid w:val="00355BE0"/>
    <w:rsid w:val="003564C5"/>
    <w:rsid w:val="00360167"/>
    <w:rsid w:val="00363984"/>
    <w:rsid w:val="00364527"/>
    <w:rsid w:val="00364C5A"/>
    <w:rsid w:val="00367BD8"/>
    <w:rsid w:val="003722BA"/>
    <w:rsid w:val="00376073"/>
    <w:rsid w:val="0037647C"/>
    <w:rsid w:val="00376839"/>
    <w:rsid w:val="003771F0"/>
    <w:rsid w:val="0038193A"/>
    <w:rsid w:val="003855D9"/>
    <w:rsid w:val="00387B41"/>
    <w:rsid w:val="00390D9D"/>
    <w:rsid w:val="00395D1F"/>
    <w:rsid w:val="00395E3A"/>
    <w:rsid w:val="003A1330"/>
    <w:rsid w:val="003A6920"/>
    <w:rsid w:val="003B03A6"/>
    <w:rsid w:val="003B2319"/>
    <w:rsid w:val="003B640E"/>
    <w:rsid w:val="003B6623"/>
    <w:rsid w:val="003C2B07"/>
    <w:rsid w:val="003C447F"/>
    <w:rsid w:val="003C4728"/>
    <w:rsid w:val="003D4FB2"/>
    <w:rsid w:val="003D6D97"/>
    <w:rsid w:val="003E3AFB"/>
    <w:rsid w:val="003E639F"/>
    <w:rsid w:val="003F2ED1"/>
    <w:rsid w:val="003F30E7"/>
    <w:rsid w:val="003F67DC"/>
    <w:rsid w:val="0040067F"/>
    <w:rsid w:val="004009A9"/>
    <w:rsid w:val="00400D20"/>
    <w:rsid w:val="004016ED"/>
    <w:rsid w:val="00401F9E"/>
    <w:rsid w:val="004020C5"/>
    <w:rsid w:val="00404388"/>
    <w:rsid w:val="00404B23"/>
    <w:rsid w:val="00404DE1"/>
    <w:rsid w:val="00407206"/>
    <w:rsid w:val="00410CD0"/>
    <w:rsid w:val="00411476"/>
    <w:rsid w:val="004232DE"/>
    <w:rsid w:val="00424697"/>
    <w:rsid w:val="004247A1"/>
    <w:rsid w:val="004271DB"/>
    <w:rsid w:val="00431420"/>
    <w:rsid w:val="00432F56"/>
    <w:rsid w:val="004333A1"/>
    <w:rsid w:val="00440AD4"/>
    <w:rsid w:val="00441B59"/>
    <w:rsid w:val="00442181"/>
    <w:rsid w:val="004438C6"/>
    <w:rsid w:val="00443E41"/>
    <w:rsid w:val="00444E28"/>
    <w:rsid w:val="00445820"/>
    <w:rsid w:val="0044700C"/>
    <w:rsid w:val="00452D4D"/>
    <w:rsid w:val="0045347E"/>
    <w:rsid w:val="004545A7"/>
    <w:rsid w:val="00455803"/>
    <w:rsid w:val="00463A61"/>
    <w:rsid w:val="00465095"/>
    <w:rsid w:val="00465821"/>
    <w:rsid w:val="004679A9"/>
    <w:rsid w:val="00467A5F"/>
    <w:rsid w:val="00470E37"/>
    <w:rsid w:val="00475636"/>
    <w:rsid w:val="00475DC6"/>
    <w:rsid w:val="0048330D"/>
    <w:rsid w:val="00484DE3"/>
    <w:rsid w:val="0048736B"/>
    <w:rsid w:val="00494C2F"/>
    <w:rsid w:val="004953E0"/>
    <w:rsid w:val="00496419"/>
    <w:rsid w:val="00497C8D"/>
    <w:rsid w:val="00497EDF"/>
    <w:rsid w:val="004A039E"/>
    <w:rsid w:val="004A0A24"/>
    <w:rsid w:val="004A0EA4"/>
    <w:rsid w:val="004A121E"/>
    <w:rsid w:val="004A53A3"/>
    <w:rsid w:val="004A640E"/>
    <w:rsid w:val="004B037F"/>
    <w:rsid w:val="004B2C91"/>
    <w:rsid w:val="004B50A5"/>
    <w:rsid w:val="004B60A3"/>
    <w:rsid w:val="004B60BF"/>
    <w:rsid w:val="004B6C8B"/>
    <w:rsid w:val="004B6EED"/>
    <w:rsid w:val="004C2030"/>
    <w:rsid w:val="004C4F7F"/>
    <w:rsid w:val="004D0B38"/>
    <w:rsid w:val="004D2100"/>
    <w:rsid w:val="004D2754"/>
    <w:rsid w:val="004D2BE5"/>
    <w:rsid w:val="004D7FD1"/>
    <w:rsid w:val="004E2E0B"/>
    <w:rsid w:val="004E63DC"/>
    <w:rsid w:val="004F12D1"/>
    <w:rsid w:val="004F21C6"/>
    <w:rsid w:val="004F423F"/>
    <w:rsid w:val="004F46F7"/>
    <w:rsid w:val="004F51CF"/>
    <w:rsid w:val="004F6FE3"/>
    <w:rsid w:val="005012A4"/>
    <w:rsid w:val="00504641"/>
    <w:rsid w:val="00504F89"/>
    <w:rsid w:val="0050519F"/>
    <w:rsid w:val="00505A37"/>
    <w:rsid w:val="00511BB2"/>
    <w:rsid w:val="00512B49"/>
    <w:rsid w:val="00513D15"/>
    <w:rsid w:val="00514CF1"/>
    <w:rsid w:val="00515786"/>
    <w:rsid w:val="00515963"/>
    <w:rsid w:val="00515BA9"/>
    <w:rsid w:val="00516396"/>
    <w:rsid w:val="00517BEA"/>
    <w:rsid w:val="00521AB5"/>
    <w:rsid w:val="005235CB"/>
    <w:rsid w:val="00524522"/>
    <w:rsid w:val="00524E97"/>
    <w:rsid w:val="005259EB"/>
    <w:rsid w:val="00525B08"/>
    <w:rsid w:val="00530A6E"/>
    <w:rsid w:val="00533091"/>
    <w:rsid w:val="005356CD"/>
    <w:rsid w:val="0053679C"/>
    <w:rsid w:val="00537B8B"/>
    <w:rsid w:val="00537FC0"/>
    <w:rsid w:val="00541FAB"/>
    <w:rsid w:val="0054224B"/>
    <w:rsid w:val="00543035"/>
    <w:rsid w:val="0055011E"/>
    <w:rsid w:val="0055096B"/>
    <w:rsid w:val="00550F33"/>
    <w:rsid w:val="005521FF"/>
    <w:rsid w:val="00556709"/>
    <w:rsid w:val="00557882"/>
    <w:rsid w:val="00560AC4"/>
    <w:rsid w:val="0056280C"/>
    <w:rsid w:val="00563FA5"/>
    <w:rsid w:val="00570D37"/>
    <w:rsid w:val="00573360"/>
    <w:rsid w:val="005743E7"/>
    <w:rsid w:val="005746B7"/>
    <w:rsid w:val="00574D9B"/>
    <w:rsid w:val="005756A8"/>
    <w:rsid w:val="00584892"/>
    <w:rsid w:val="00587821"/>
    <w:rsid w:val="00590AD4"/>
    <w:rsid w:val="00591601"/>
    <w:rsid w:val="005926B6"/>
    <w:rsid w:val="005956F7"/>
    <w:rsid w:val="005A027F"/>
    <w:rsid w:val="005A2CC3"/>
    <w:rsid w:val="005A3CD8"/>
    <w:rsid w:val="005A4DC2"/>
    <w:rsid w:val="005B6D9A"/>
    <w:rsid w:val="005C0B82"/>
    <w:rsid w:val="005C1653"/>
    <w:rsid w:val="005C1B55"/>
    <w:rsid w:val="005C2FF2"/>
    <w:rsid w:val="005C70B5"/>
    <w:rsid w:val="005D213B"/>
    <w:rsid w:val="005D3878"/>
    <w:rsid w:val="005D3D7A"/>
    <w:rsid w:val="005D4025"/>
    <w:rsid w:val="005D4DB6"/>
    <w:rsid w:val="005D664C"/>
    <w:rsid w:val="005E243A"/>
    <w:rsid w:val="005E56F2"/>
    <w:rsid w:val="005E5F2D"/>
    <w:rsid w:val="005E7498"/>
    <w:rsid w:val="005F0145"/>
    <w:rsid w:val="005F05C8"/>
    <w:rsid w:val="005F231B"/>
    <w:rsid w:val="005F6DDC"/>
    <w:rsid w:val="00600CBA"/>
    <w:rsid w:val="00601038"/>
    <w:rsid w:val="00603D1F"/>
    <w:rsid w:val="00604706"/>
    <w:rsid w:val="00605939"/>
    <w:rsid w:val="0060597E"/>
    <w:rsid w:val="0060670E"/>
    <w:rsid w:val="00607107"/>
    <w:rsid w:val="006074EC"/>
    <w:rsid w:val="00613DEE"/>
    <w:rsid w:val="006143C8"/>
    <w:rsid w:val="006147FE"/>
    <w:rsid w:val="006213A3"/>
    <w:rsid w:val="00622D81"/>
    <w:rsid w:val="00623F73"/>
    <w:rsid w:val="00624C4C"/>
    <w:rsid w:val="00624DD7"/>
    <w:rsid w:val="00624DF4"/>
    <w:rsid w:val="00630DEA"/>
    <w:rsid w:val="00630EE4"/>
    <w:rsid w:val="00633032"/>
    <w:rsid w:val="006339C4"/>
    <w:rsid w:val="00634114"/>
    <w:rsid w:val="00641556"/>
    <w:rsid w:val="006508C7"/>
    <w:rsid w:val="00651137"/>
    <w:rsid w:val="006527CB"/>
    <w:rsid w:val="00652F0F"/>
    <w:rsid w:val="006543EE"/>
    <w:rsid w:val="0065699C"/>
    <w:rsid w:val="00657DB8"/>
    <w:rsid w:val="0066015F"/>
    <w:rsid w:val="00662034"/>
    <w:rsid w:val="006629C9"/>
    <w:rsid w:val="006664F2"/>
    <w:rsid w:val="0067295E"/>
    <w:rsid w:val="00673802"/>
    <w:rsid w:val="00677694"/>
    <w:rsid w:val="00684566"/>
    <w:rsid w:val="006905D8"/>
    <w:rsid w:val="00693BF4"/>
    <w:rsid w:val="006969EE"/>
    <w:rsid w:val="006A1AA8"/>
    <w:rsid w:val="006A502B"/>
    <w:rsid w:val="006B321C"/>
    <w:rsid w:val="006C2975"/>
    <w:rsid w:val="006C3C6C"/>
    <w:rsid w:val="006C6882"/>
    <w:rsid w:val="006C6B54"/>
    <w:rsid w:val="006C7311"/>
    <w:rsid w:val="006D01AE"/>
    <w:rsid w:val="006D21A3"/>
    <w:rsid w:val="006D52FD"/>
    <w:rsid w:val="006D6C98"/>
    <w:rsid w:val="006E2842"/>
    <w:rsid w:val="006E691A"/>
    <w:rsid w:val="006E7072"/>
    <w:rsid w:val="006E7D3E"/>
    <w:rsid w:val="006F1651"/>
    <w:rsid w:val="006F2866"/>
    <w:rsid w:val="006F3BAC"/>
    <w:rsid w:val="006F4375"/>
    <w:rsid w:val="006F5874"/>
    <w:rsid w:val="00700D9A"/>
    <w:rsid w:val="00705503"/>
    <w:rsid w:val="007068D6"/>
    <w:rsid w:val="007079C0"/>
    <w:rsid w:val="00710A86"/>
    <w:rsid w:val="0071142C"/>
    <w:rsid w:val="00711E1C"/>
    <w:rsid w:val="0071280A"/>
    <w:rsid w:val="00713452"/>
    <w:rsid w:val="007135BF"/>
    <w:rsid w:val="00726EFC"/>
    <w:rsid w:val="00733337"/>
    <w:rsid w:val="0073668C"/>
    <w:rsid w:val="00740009"/>
    <w:rsid w:val="00740516"/>
    <w:rsid w:val="00742B12"/>
    <w:rsid w:val="007454BF"/>
    <w:rsid w:val="00745C2E"/>
    <w:rsid w:val="00746849"/>
    <w:rsid w:val="007513C5"/>
    <w:rsid w:val="007523EF"/>
    <w:rsid w:val="00754603"/>
    <w:rsid w:val="0075540B"/>
    <w:rsid w:val="00756843"/>
    <w:rsid w:val="00757EE0"/>
    <w:rsid w:val="00760BF3"/>
    <w:rsid w:val="00762483"/>
    <w:rsid w:val="00765114"/>
    <w:rsid w:val="00771B07"/>
    <w:rsid w:val="0077363F"/>
    <w:rsid w:val="007739A4"/>
    <w:rsid w:val="00773FAE"/>
    <w:rsid w:val="007757E4"/>
    <w:rsid w:val="00782328"/>
    <w:rsid w:val="00783066"/>
    <w:rsid w:val="00787574"/>
    <w:rsid w:val="007932E9"/>
    <w:rsid w:val="007968E6"/>
    <w:rsid w:val="00797BD8"/>
    <w:rsid w:val="00797D04"/>
    <w:rsid w:val="007A4192"/>
    <w:rsid w:val="007A7849"/>
    <w:rsid w:val="007B027F"/>
    <w:rsid w:val="007B0F53"/>
    <w:rsid w:val="007B23D5"/>
    <w:rsid w:val="007B63EE"/>
    <w:rsid w:val="007D25B5"/>
    <w:rsid w:val="007D3428"/>
    <w:rsid w:val="007D6381"/>
    <w:rsid w:val="007D6E9D"/>
    <w:rsid w:val="007D7378"/>
    <w:rsid w:val="007E04FF"/>
    <w:rsid w:val="007E4219"/>
    <w:rsid w:val="007E56F4"/>
    <w:rsid w:val="007E693B"/>
    <w:rsid w:val="007F0D7A"/>
    <w:rsid w:val="007F274C"/>
    <w:rsid w:val="007F313C"/>
    <w:rsid w:val="007F3B90"/>
    <w:rsid w:val="007F6EE5"/>
    <w:rsid w:val="00807C56"/>
    <w:rsid w:val="00814FF1"/>
    <w:rsid w:val="008154DE"/>
    <w:rsid w:val="008165FA"/>
    <w:rsid w:val="00816AED"/>
    <w:rsid w:val="008256D8"/>
    <w:rsid w:val="008276A3"/>
    <w:rsid w:val="00827F01"/>
    <w:rsid w:val="00833593"/>
    <w:rsid w:val="0083608B"/>
    <w:rsid w:val="0084531A"/>
    <w:rsid w:val="00846FCB"/>
    <w:rsid w:val="00847A19"/>
    <w:rsid w:val="008505DE"/>
    <w:rsid w:val="00851B80"/>
    <w:rsid w:val="00853877"/>
    <w:rsid w:val="0085448F"/>
    <w:rsid w:val="00855AF4"/>
    <w:rsid w:val="00855B90"/>
    <w:rsid w:val="00856C7F"/>
    <w:rsid w:val="00857121"/>
    <w:rsid w:val="00860C90"/>
    <w:rsid w:val="00861CE8"/>
    <w:rsid w:val="008624C8"/>
    <w:rsid w:val="00862574"/>
    <w:rsid w:val="0086427E"/>
    <w:rsid w:val="00864686"/>
    <w:rsid w:val="0086591D"/>
    <w:rsid w:val="00865A3B"/>
    <w:rsid w:val="0086719A"/>
    <w:rsid w:val="0086724B"/>
    <w:rsid w:val="00870175"/>
    <w:rsid w:val="0087063D"/>
    <w:rsid w:val="00872666"/>
    <w:rsid w:val="00872A71"/>
    <w:rsid w:val="00874E4E"/>
    <w:rsid w:val="00876AD9"/>
    <w:rsid w:val="00880CDC"/>
    <w:rsid w:val="00881EBF"/>
    <w:rsid w:val="0088683B"/>
    <w:rsid w:val="008925AF"/>
    <w:rsid w:val="008A09E8"/>
    <w:rsid w:val="008A1397"/>
    <w:rsid w:val="008A13B8"/>
    <w:rsid w:val="008A2E63"/>
    <w:rsid w:val="008A5527"/>
    <w:rsid w:val="008A63C6"/>
    <w:rsid w:val="008A68EA"/>
    <w:rsid w:val="008A68F2"/>
    <w:rsid w:val="008B0BC0"/>
    <w:rsid w:val="008B0DA9"/>
    <w:rsid w:val="008B1072"/>
    <w:rsid w:val="008B111E"/>
    <w:rsid w:val="008B2F3B"/>
    <w:rsid w:val="008B309C"/>
    <w:rsid w:val="008B6DCA"/>
    <w:rsid w:val="008B7AF0"/>
    <w:rsid w:val="008C2130"/>
    <w:rsid w:val="008C5CDF"/>
    <w:rsid w:val="008C656F"/>
    <w:rsid w:val="008D09E9"/>
    <w:rsid w:val="008D0A3D"/>
    <w:rsid w:val="008D4C17"/>
    <w:rsid w:val="008D62F6"/>
    <w:rsid w:val="008E6098"/>
    <w:rsid w:val="008F0C2A"/>
    <w:rsid w:val="008F2054"/>
    <w:rsid w:val="008F3FDC"/>
    <w:rsid w:val="008F5A52"/>
    <w:rsid w:val="008F7718"/>
    <w:rsid w:val="00900AF6"/>
    <w:rsid w:val="0090317C"/>
    <w:rsid w:val="00906094"/>
    <w:rsid w:val="009066CB"/>
    <w:rsid w:val="00907173"/>
    <w:rsid w:val="0091384D"/>
    <w:rsid w:val="00914956"/>
    <w:rsid w:val="00916C51"/>
    <w:rsid w:val="009179AA"/>
    <w:rsid w:val="009240FD"/>
    <w:rsid w:val="00925549"/>
    <w:rsid w:val="00925F21"/>
    <w:rsid w:val="00926B77"/>
    <w:rsid w:val="009276AF"/>
    <w:rsid w:val="009278FE"/>
    <w:rsid w:val="00932409"/>
    <w:rsid w:val="00932D23"/>
    <w:rsid w:val="00940381"/>
    <w:rsid w:val="009406D5"/>
    <w:rsid w:val="00941C3C"/>
    <w:rsid w:val="00942374"/>
    <w:rsid w:val="0094666C"/>
    <w:rsid w:val="00947A74"/>
    <w:rsid w:val="00951E99"/>
    <w:rsid w:val="00954855"/>
    <w:rsid w:val="009548FF"/>
    <w:rsid w:val="00961DC5"/>
    <w:rsid w:val="00967F3A"/>
    <w:rsid w:val="00971ACB"/>
    <w:rsid w:val="0097231F"/>
    <w:rsid w:val="00972C04"/>
    <w:rsid w:val="00972CE6"/>
    <w:rsid w:val="009751A5"/>
    <w:rsid w:val="009758C7"/>
    <w:rsid w:val="00977020"/>
    <w:rsid w:val="00977098"/>
    <w:rsid w:val="009772CE"/>
    <w:rsid w:val="00982246"/>
    <w:rsid w:val="00982C0A"/>
    <w:rsid w:val="009839AB"/>
    <w:rsid w:val="009849CE"/>
    <w:rsid w:val="00984D2A"/>
    <w:rsid w:val="00990051"/>
    <w:rsid w:val="00990BFC"/>
    <w:rsid w:val="009910D0"/>
    <w:rsid w:val="009929D8"/>
    <w:rsid w:val="00996050"/>
    <w:rsid w:val="009965D5"/>
    <w:rsid w:val="00996813"/>
    <w:rsid w:val="00996E32"/>
    <w:rsid w:val="00997A1A"/>
    <w:rsid w:val="009A3858"/>
    <w:rsid w:val="009A427A"/>
    <w:rsid w:val="009A44AE"/>
    <w:rsid w:val="009A55D6"/>
    <w:rsid w:val="009A6CF4"/>
    <w:rsid w:val="009C0ECE"/>
    <w:rsid w:val="009C1D1F"/>
    <w:rsid w:val="009C2EEB"/>
    <w:rsid w:val="009C5B0A"/>
    <w:rsid w:val="009C6E16"/>
    <w:rsid w:val="009C737F"/>
    <w:rsid w:val="009C77BC"/>
    <w:rsid w:val="009D1304"/>
    <w:rsid w:val="009D2CE2"/>
    <w:rsid w:val="009D6F33"/>
    <w:rsid w:val="009E0E6F"/>
    <w:rsid w:val="009E1474"/>
    <w:rsid w:val="009E3426"/>
    <w:rsid w:val="009E4409"/>
    <w:rsid w:val="009E5EB3"/>
    <w:rsid w:val="009E6040"/>
    <w:rsid w:val="009E61F0"/>
    <w:rsid w:val="009F1560"/>
    <w:rsid w:val="009F2E69"/>
    <w:rsid w:val="009F5586"/>
    <w:rsid w:val="009F6278"/>
    <w:rsid w:val="009F63C3"/>
    <w:rsid w:val="009F6A50"/>
    <w:rsid w:val="00A00FF9"/>
    <w:rsid w:val="00A035AA"/>
    <w:rsid w:val="00A0383D"/>
    <w:rsid w:val="00A04EC9"/>
    <w:rsid w:val="00A10436"/>
    <w:rsid w:val="00A11796"/>
    <w:rsid w:val="00A120A5"/>
    <w:rsid w:val="00A16104"/>
    <w:rsid w:val="00A170F9"/>
    <w:rsid w:val="00A20E8F"/>
    <w:rsid w:val="00A21ED2"/>
    <w:rsid w:val="00A27D75"/>
    <w:rsid w:val="00A31B61"/>
    <w:rsid w:val="00A34152"/>
    <w:rsid w:val="00A36D14"/>
    <w:rsid w:val="00A47F49"/>
    <w:rsid w:val="00A50E3C"/>
    <w:rsid w:val="00A51F66"/>
    <w:rsid w:val="00A565A8"/>
    <w:rsid w:val="00A5726C"/>
    <w:rsid w:val="00A635CD"/>
    <w:rsid w:val="00A64351"/>
    <w:rsid w:val="00A6516D"/>
    <w:rsid w:val="00A65434"/>
    <w:rsid w:val="00A670DF"/>
    <w:rsid w:val="00A71E56"/>
    <w:rsid w:val="00A72333"/>
    <w:rsid w:val="00A72897"/>
    <w:rsid w:val="00A729F6"/>
    <w:rsid w:val="00A763CD"/>
    <w:rsid w:val="00A76483"/>
    <w:rsid w:val="00A76F95"/>
    <w:rsid w:val="00A80FA7"/>
    <w:rsid w:val="00A81E46"/>
    <w:rsid w:val="00A821B1"/>
    <w:rsid w:val="00A829E5"/>
    <w:rsid w:val="00A904CC"/>
    <w:rsid w:val="00A9157D"/>
    <w:rsid w:val="00AA01CC"/>
    <w:rsid w:val="00AA0429"/>
    <w:rsid w:val="00AA4989"/>
    <w:rsid w:val="00AA5B5E"/>
    <w:rsid w:val="00AB085C"/>
    <w:rsid w:val="00AB0E4C"/>
    <w:rsid w:val="00AB292E"/>
    <w:rsid w:val="00AB33A7"/>
    <w:rsid w:val="00AB37E9"/>
    <w:rsid w:val="00AC0146"/>
    <w:rsid w:val="00AC40B0"/>
    <w:rsid w:val="00AC65D6"/>
    <w:rsid w:val="00AD0053"/>
    <w:rsid w:val="00AE14B3"/>
    <w:rsid w:val="00AE24CB"/>
    <w:rsid w:val="00AE3C29"/>
    <w:rsid w:val="00AE4138"/>
    <w:rsid w:val="00AE5CFC"/>
    <w:rsid w:val="00AE79A1"/>
    <w:rsid w:val="00AE7A3A"/>
    <w:rsid w:val="00AF0A23"/>
    <w:rsid w:val="00AF1E5B"/>
    <w:rsid w:val="00AF1E73"/>
    <w:rsid w:val="00AF46C9"/>
    <w:rsid w:val="00AF7A57"/>
    <w:rsid w:val="00B011DD"/>
    <w:rsid w:val="00B05EE7"/>
    <w:rsid w:val="00B1002B"/>
    <w:rsid w:val="00B1203F"/>
    <w:rsid w:val="00B12079"/>
    <w:rsid w:val="00B1234A"/>
    <w:rsid w:val="00B15CFC"/>
    <w:rsid w:val="00B16B05"/>
    <w:rsid w:val="00B2351D"/>
    <w:rsid w:val="00B270AA"/>
    <w:rsid w:val="00B27AAE"/>
    <w:rsid w:val="00B37143"/>
    <w:rsid w:val="00B37A0A"/>
    <w:rsid w:val="00B401D4"/>
    <w:rsid w:val="00B505D1"/>
    <w:rsid w:val="00B50848"/>
    <w:rsid w:val="00B526CE"/>
    <w:rsid w:val="00B538BF"/>
    <w:rsid w:val="00B54C2C"/>
    <w:rsid w:val="00B5671C"/>
    <w:rsid w:val="00B56CBE"/>
    <w:rsid w:val="00B6165D"/>
    <w:rsid w:val="00B67045"/>
    <w:rsid w:val="00B73919"/>
    <w:rsid w:val="00B7552F"/>
    <w:rsid w:val="00B75822"/>
    <w:rsid w:val="00B76267"/>
    <w:rsid w:val="00B8003E"/>
    <w:rsid w:val="00B804F2"/>
    <w:rsid w:val="00B832B5"/>
    <w:rsid w:val="00B83460"/>
    <w:rsid w:val="00B9172F"/>
    <w:rsid w:val="00B91FB7"/>
    <w:rsid w:val="00B9282E"/>
    <w:rsid w:val="00B93E76"/>
    <w:rsid w:val="00B947C1"/>
    <w:rsid w:val="00BA02A7"/>
    <w:rsid w:val="00BA1260"/>
    <w:rsid w:val="00BA2CCE"/>
    <w:rsid w:val="00BA4481"/>
    <w:rsid w:val="00BB2D0A"/>
    <w:rsid w:val="00BB2D4D"/>
    <w:rsid w:val="00BB55E5"/>
    <w:rsid w:val="00BB6BAA"/>
    <w:rsid w:val="00BB7503"/>
    <w:rsid w:val="00BB7D5C"/>
    <w:rsid w:val="00BC193A"/>
    <w:rsid w:val="00BC1B14"/>
    <w:rsid w:val="00BC319C"/>
    <w:rsid w:val="00BC3200"/>
    <w:rsid w:val="00BC71CE"/>
    <w:rsid w:val="00BD32BB"/>
    <w:rsid w:val="00BD3537"/>
    <w:rsid w:val="00BD59EE"/>
    <w:rsid w:val="00BD6042"/>
    <w:rsid w:val="00BD614F"/>
    <w:rsid w:val="00BE0262"/>
    <w:rsid w:val="00BE0413"/>
    <w:rsid w:val="00BE365E"/>
    <w:rsid w:val="00BE7740"/>
    <w:rsid w:val="00BF40C1"/>
    <w:rsid w:val="00BF47F6"/>
    <w:rsid w:val="00BF4E05"/>
    <w:rsid w:val="00BF5CD2"/>
    <w:rsid w:val="00BF6494"/>
    <w:rsid w:val="00C0022C"/>
    <w:rsid w:val="00C02252"/>
    <w:rsid w:val="00C02D27"/>
    <w:rsid w:val="00C03713"/>
    <w:rsid w:val="00C039ED"/>
    <w:rsid w:val="00C04895"/>
    <w:rsid w:val="00C05963"/>
    <w:rsid w:val="00C10934"/>
    <w:rsid w:val="00C125B7"/>
    <w:rsid w:val="00C13571"/>
    <w:rsid w:val="00C14AF3"/>
    <w:rsid w:val="00C15144"/>
    <w:rsid w:val="00C15F58"/>
    <w:rsid w:val="00C20EE1"/>
    <w:rsid w:val="00C21F3A"/>
    <w:rsid w:val="00C2504C"/>
    <w:rsid w:val="00C26C99"/>
    <w:rsid w:val="00C2713F"/>
    <w:rsid w:val="00C3554D"/>
    <w:rsid w:val="00C36ED4"/>
    <w:rsid w:val="00C370FA"/>
    <w:rsid w:val="00C41C99"/>
    <w:rsid w:val="00C42397"/>
    <w:rsid w:val="00C432CE"/>
    <w:rsid w:val="00C44F9D"/>
    <w:rsid w:val="00C45925"/>
    <w:rsid w:val="00C50275"/>
    <w:rsid w:val="00C50326"/>
    <w:rsid w:val="00C50FC3"/>
    <w:rsid w:val="00C517E4"/>
    <w:rsid w:val="00C51802"/>
    <w:rsid w:val="00C53A14"/>
    <w:rsid w:val="00C53E3A"/>
    <w:rsid w:val="00C56366"/>
    <w:rsid w:val="00C63A3C"/>
    <w:rsid w:val="00C640AB"/>
    <w:rsid w:val="00C65B49"/>
    <w:rsid w:val="00C6650C"/>
    <w:rsid w:val="00C669B4"/>
    <w:rsid w:val="00C702A9"/>
    <w:rsid w:val="00C70813"/>
    <w:rsid w:val="00C70C98"/>
    <w:rsid w:val="00C71CDA"/>
    <w:rsid w:val="00C73CF4"/>
    <w:rsid w:val="00C73F69"/>
    <w:rsid w:val="00C742A2"/>
    <w:rsid w:val="00C7621C"/>
    <w:rsid w:val="00C779A7"/>
    <w:rsid w:val="00C80189"/>
    <w:rsid w:val="00C8129E"/>
    <w:rsid w:val="00C81DE6"/>
    <w:rsid w:val="00C81DF4"/>
    <w:rsid w:val="00C83D24"/>
    <w:rsid w:val="00C84CA9"/>
    <w:rsid w:val="00C8514A"/>
    <w:rsid w:val="00C85A80"/>
    <w:rsid w:val="00C8662A"/>
    <w:rsid w:val="00C90077"/>
    <w:rsid w:val="00C90CCD"/>
    <w:rsid w:val="00C94901"/>
    <w:rsid w:val="00C97B9B"/>
    <w:rsid w:val="00CA0346"/>
    <w:rsid w:val="00CA1563"/>
    <w:rsid w:val="00CA3D6F"/>
    <w:rsid w:val="00CA579F"/>
    <w:rsid w:val="00CA5E4D"/>
    <w:rsid w:val="00CB2704"/>
    <w:rsid w:val="00CB2A96"/>
    <w:rsid w:val="00CB76AF"/>
    <w:rsid w:val="00CC0B4A"/>
    <w:rsid w:val="00CC2FCA"/>
    <w:rsid w:val="00CC4F07"/>
    <w:rsid w:val="00CD102C"/>
    <w:rsid w:val="00CD4BE8"/>
    <w:rsid w:val="00CD56C7"/>
    <w:rsid w:val="00CD7D38"/>
    <w:rsid w:val="00CE0B8D"/>
    <w:rsid w:val="00CE18FF"/>
    <w:rsid w:val="00CE20BE"/>
    <w:rsid w:val="00CE286D"/>
    <w:rsid w:val="00CE2A12"/>
    <w:rsid w:val="00CE41D7"/>
    <w:rsid w:val="00CF0027"/>
    <w:rsid w:val="00D0059B"/>
    <w:rsid w:val="00D025DE"/>
    <w:rsid w:val="00D02A7F"/>
    <w:rsid w:val="00D05403"/>
    <w:rsid w:val="00D07BA8"/>
    <w:rsid w:val="00D11C6E"/>
    <w:rsid w:val="00D13170"/>
    <w:rsid w:val="00D13199"/>
    <w:rsid w:val="00D13E0E"/>
    <w:rsid w:val="00D16B74"/>
    <w:rsid w:val="00D201AF"/>
    <w:rsid w:val="00D232B8"/>
    <w:rsid w:val="00D25824"/>
    <w:rsid w:val="00D25D0D"/>
    <w:rsid w:val="00D262D6"/>
    <w:rsid w:val="00D265C5"/>
    <w:rsid w:val="00D26BB2"/>
    <w:rsid w:val="00D302F2"/>
    <w:rsid w:val="00D31048"/>
    <w:rsid w:val="00D31220"/>
    <w:rsid w:val="00D325F4"/>
    <w:rsid w:val="00D32F50"/>
    <w:rsid w:val="00D347CD"/>
    <w:rsid w:val="00D34EDC"/>
    <w:rsid w:val="00D3573A"/>
    <w:rsid w:val="00D35EFC"/>
    <w:rsid w:val="00D40653"/>
    <w:rsid w:val="00D463FA"/>
    <w:rsid w:val="00D46939"/>
    <w:rsid w:val="00D531CD"/>
    <w:rsid w:val="00D53985"/>
    <w:rsid w:val="00D54AC0"/>
    <w:rsid w:val="00D57F9B"/>
    <w:rsid w:val="00D6116D"/>
    <w:rsid w:val="00D62811"/>
    <w:rsid w:val="00D638A3"/>
    <w:rsid w:val="00D64A17"/>
    <w:rsid w:val="00D658B8"/>
    <w:rsid w:val="00D673B0"/>
    <w:rsid w:val="00D67772"/>
    <w:rsid w:val="00D70C43"/>
    <w:rsid w:val="00D7562C"/>
    <w:rsid w:val="00D76104"/>
    <w:rsid w:val="00D766D6"/>
    <w:rsid w:val="00D77B68"/>
    <w:rsid w:val="00D8013D"/>
    <w:rsid w:val="00D80DC4"/>
    <w:rsid w:val="00D81D80"/>
    <w:rsid w:val="00D831F4"/>
    <w:rsid w:val="00D8492F"/>
    <w:rsid w:val="00D85374"/>
    <w:rsid w:val="00D85902"/>
    <w:rsid w:val="00D86A23"/>
    <w:rsid w:val="00D86E0B"/>
    <w:rsid w:val="00DA209F"/>
    <w:rsid w:val="00DA7AD1"/>
    <w:rsid w:val="00DB0D63"/>
    <w:rsid w:val="00DB144E"/>
    <w:rsid w:val="00DB1C3D"/>
    <w:rsid w:val="00DB5D5F"/>
    <w:rsid w:val="00DB5D89"/>
    <w:rsid w:val="00DB6F15"/>
    <w:rsid w:val="00DC3C6F"/>
    <w:rsid w:val="00DC6AE2"/>
    <w:rsid w:val="00DD5A66"/>
    <w:rsid w:val="00DD5AB8"/>
    <w:rsid w:val="00DE176C"/>
    <w:rsid w:val="00DE2752"/>
    <w:rsid w:val="00DE41D9"/>
    <w:rsid w:val="00DE4467"/>
    <w:rsid w:val="00DE48B5"/>
    <w:rsid w:val="00DE4935"/>
    <w:rsid w:val="00DE5371"/>
    <w:rsid w:val="00DE6821"/>
    <w:rsid w:val="00DF0E12"/>
    <w:rsid w:val="00DF1597"/>
    <w:rsid w:val="00DF2D9A"/>
    <w:rsid w:val="00DF2E24"/>
    <w:rsid w:val="00DF377E"/>
    <w:rsid w:val="00DF45B9"/>
    <w:rsid w:val="00E0073D"/>
    <w:rsid w:val="00E00EFA"/>
    <w:rsid w:val="00E0152D"/>
    <w:rsid w:val="00E01B5D"/>
    <w:rsid w:val="00E01BE7"/>
    <w:rsid w:val="00E0238A"/>
    <w:rsid w:val="00E06A54"/>
    <w:rsid w:val="00E10334"/>
    <w:rsid w:val="00E1065C"/>
    <w:rsid w:val="00E11112"/>
    <w:rsid w:val="00E12BD3"/>
    <w:rsid w:val="00E13E7A"/>
    <w:rsid w:val="00E154FB"/>
    <w:rsid w:val="00E20363"/>
    <w:rsid w:val="00E208C2"/>
    <w:rsid w:val="00E21CE8"/>
    <w:rsid w:val="00E24175"/>
    <w:rsid w:val="00E2626B"/>
    <w:rsid w:val="00E27A1B"/>
    <w:rsid w:val="00E31583"/>
    <w:rsid w:val="00E33802"/>
    <w:rsid w:val="00E3788E"/>
    <w:rsid w:val="00E40C9A"/>
    <w:rsid w:val="00E453AD"/>
    <w:rsid w:val="00E57BA8"/>
    <w:rsid w:val="00E6043F"/>
    <w:rsid w:val="00E65FF0"/>
    <w:rsid w:val="00E70144"/>
    <w:rsid w:val="00E73DAD"/>
    <w:rsid w:val="00E756A0"/>
    <w:rsid w:val="00E815E6"/>
    <w:rsid w:val="00E85CF6"/>
    <w:rsid w:val="00E85ED9"/>
    <w:rsid w:val="00E932DF"/>
    <w:rsid w:val="00E947AC"/>
    <w:rsid w:val="00E957E2"/>
    <w:rsid w:val="00E9710C"/>
    <w:rsid w:val="00EA1F3A"/>
    <w:rsid w:val="00EA2CC5"/>
    <w:rsid w:val="00EA3080"/>
    <w:rsid w:val="00EB4D95"/>
    <w:rsid w:val="00EB5A00"/>
    <w:rsid w:val="00EB6A4F"/>
    <w:rsid w:val="00EB7981"/>
    <w:rsid w:val="00EC2170"/>
    <w:rsid w:val="00EC2B7D"/>
    <w:rsid w:val="00EC5EEC"/>
    <w:rsid w:val="00EC712E"/>
    <w:rsid w:val="00EC7705"/>
    <w:rsid w:val="00ED12B0"/>
    <w:rsid w:val="00ED169B"/>
    <w:rsid w:val="00ED1CD0"/>
    <w:rsid w:val="00ED3D0A"/>
    <w:rsid w:val="00ED5EC5"/>
    <w:rsid w:val="00ED7249"/>
    <w:rsid w:val="00ED75A2"/>
    <w:rsid w:val="00EE0277"/>
    <w:rsid w:val="00EE7430"/>
    <w:rsid w:val="00EF11ED"/>
    <w:rsid w:val="00EF15BF"/>
    <w:rsid w:val="00EF2281"/>
    <w:rsid w:val="00EF44D0"/>
    <w:rsid w:val="00EF6014"/>
    <w:rsid w:val="00EF6E8E"/>
    <w:rsid w:val="00EF7EF2"/>
    <w:rsid w:val="00F01CC4"/>
    <w:rsid w:val="00F040DC"/>
    <w:rsid w:val="00F05D80"/>
    <w:rsid w:val="00F1439D"/>
    <w:rsid w:val="00F1547E"/>
    <w:rsid w:val="00F20F59"/>
    <w:rsid w:val="00F24784"/>
    <w:rsid w:val="00F31837"/>
    <w:rsid w:val="00F3670D"/>
    <w:rsid w:val="00F4000B"/>
    <w:rsid w:val="00F40970"/>
    <w:rsid w:val="00F40D89"/>
    <w:rsid w:val="00F45A7D"/>
    <w:rsid w:val="00F4684C"/>
    <w:rsid w:val="00F50F49"/>
    <w:rsid w:val="00F512DE"/>
    <w:rsid w:val="00F53281"/>
    <w:rsid w:val="00F61CCA"/>
    <w:rsid w:val="00F62A7E"/>
    <w:rsid w:val="00F64C06"/>
    <w:rsid w:val="00F6548A"/>
    <w:rsid w:val="00F65B35"/>
    <w:rsid w:val="00F66EED"/>
    <w:rsid w:val="00F67754"/>
    <w:rsid w:val="00F70D5D"/>
    <w:rsid w:val="00F72840"/>
    <w:rsid w:val="00F74C65"/>
    <w:rsid w:val="00F7600B"/>
    <w:rsid w:val="00F76C53"/>
    <w:rsid w:val="00F8082C"/>
    <w:rsid w:val="00F810FC"/>
    <w:rsid w:val="00F81F48"/>
    <w:rsid w:val="00F845F6"/>
    <w:rsid w:val="00F848DE"/>
    <w:rsid w:val="00F87C83"/>
    <w:rsid w:val="00F9013D"/>
    <w:rsid w:val="00FA26B7"/>
    <w:rsid w:val="00FA4C3A"/>
    <w:rsid w:val="00FA6FAC"/>
    <w:rsid w:val="00FA77E9"/>
    <w:rsid w:val="00FB0300"/>
    <w:rsid w:val="00FB0FE1"/>
    <w:rsid w:val="00FC27A5"/>
    <w:rsid w:val="00FC3424"/>
    <w:rsid w:val="00FC5C29"/>
    <w:rsid w:val="00FC63BB"/>
    <w:rsid w:val="00FC6519"/>
    <w:rsid w:val="00FC6A2A"/>
    <w:rsid w:val="00FC6E96"/>
    <w:rsid w:val="00FD6F59"/>
    <w:rsid w:val="00FD7780"/>
    <w:rsid w:val="00FE11F8"/>
    <w:rsid w:val="00FE2D5F"/>
    <w:rsid w:val="00FE42A1"/>
    <w:rsid w:val="00FE4763"/>
    <w:rsid w:val="00FE6C25"/>
    <w:rsid w:val="00FE773B"/>
    <w:rsid w:val="00FF7803"/>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32319D"/>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376839"/>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paragraph" w:styleId="Heading5">
    <w:name w:val="heading 5"/>
    <w:basedOn w:val="Normal"/>
    <w:next w:val="Normal"/>
    <w:link w:val="Heading5Char"/>
    <w:uiPriority w:val="9"/>
    <w:semiHidden/>
    <w:unhideWhenUsed/>
    <w:qFormat/>
    <w:rsid w:val="00A17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19D"/>
    <w:rPr>
      <w:b/>
      <w:bCs/>
      <w:sz w:val="28"/>
      <w:szCs w:val="28"/>
      <w:lang w:eastAsia="en-US"/>
    </w:rPr>
  </w:style>
  <w:style w:type="character" w:customStyle="1" w:styleId="Heading2Char">
    <w:name w:val="Heading 2 Char"/>
    <w:link w:val="Heading2"/>
    <w:uiPriority w:val="9"/>
    <w:rsid w:val="00376839"/>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Subject">
    <w:name w:val="annotation subject"/>
    <w:basedOn w:val="Normal"/>
    <w:link w:val="CommentSubjectChar"/>
    <w:uiPriority w:val="99"/>
    <w:semiHidden/>
    <w:unhideWhenUsed/>
    <w:rsid w:val="00C63A3C"/>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table" w:styleId="TableGrid">
    <w:name w:val="Table Grid"/>
    <w:basedOn w:val="TableNormal"/>
    <w:uiPriority w:val="59"/>
    <w:rsid w:val="002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uiPriority w:val="99"/>
    <w:semiHidden/>
    <w:unhideWhenUsed/>
    <w:rsid w:val="00537B8B"/>
    <w:rPr>
      <w:i/>
      <w:iCs/>
    </w:rPr>
  </w:style>
  <w:style w:type="character" w:customStyle="1" w:styleId="q1">
    <w:name w:val="q1"/>
    <w:rsid w:val="00537B8B"/>
    <w:rPr>
      <w:b w:val="0"/>
      <w:bCs w:val="0"/>
      <w:i w:val="0"/>
      <w:iCs w:val="0"/>
      <w:spacing w:val="15"/>
    </w:rPr>
  </w:style>
  <w:style w:type="paragraph" w:styleId="Revision">
    <w:name w:val="Revision"/>
    <w:hidden/>
    <w:uiPriority w:val="99"/>
    <w:semiHidden/>
    <w:rsid w:val="0005766C"/>
    <w:rPr>
      <w:sz w:val="22"/>
      <w:szCs w:val="22"/>
      <w:lang w:eastAsia="en-US"/>
    </w:rPr>
  </w:style>
  <w:style w:type="paragraph" w:customStyle="1" w:styleId="Title-Specialreport">
    <w:name w:val="Title - Special report"/>
    <w:basedOn w:val="Normal"/>
    <w:qFormat/>
    <w:rsid w:val="007B23D5"/>
    <w:pPr>
      <w:pBdr>
        <w:top w:val="single" w:sz="18" w:space="10" w:color="auto"/>
        <w:bottom w:val="single" w:sz="8" w:space="10" w:color="auto"/>
      </w:pBdr>
    </w:pPr>
    <w:rPr>
      <w:b/>
      <w:sz w:val="36"/>
      <w:szCs w:val="36"/>
    </w:rPr>
  </w:style>
  <w:style w:type="paragraph" w:customStyle="1" w:styleId="Bullets2">
    <w:name w:val="Bullets 2"/>
    <w:basedOn w:val="Bullets"/>
    <w:qFormat/>
    <w:rsid w:val="00E24175"/>
    <w:pPr>
      <w:numPr>
        <w:numId w:val="3"/>
      </w:numPr>
      <w:tabs>
        <w:tab w:val="left" w:pos="1134"/>
      </w:tabs>
      <w:ind w:left="1134" w:hanging="567"/>
    </w:pPr>
  </w:style>
  <w:style w:type="paragraph" w:customStyle="1" w:styleId="Bullets">
    <w:name w:val="Bullets"/>
    <w:basedOn w:val="Normal"/>
    <w:link w:val="BulletsChar"/>
    <w:qFormat/>
    <w:rsid w:val="00740516"/>
    <w:pPr>
      <w:numPr>
        <w:numId w:val="1"/>
      </w:numPr>
      <w:spacing w:after="140"/>
      <w:ind w:left="567" w:hanging="567"/>
    </w:pPr>
  </w:style>
  <w:style w:type="character" w:customStyle="1" w:styleId="BulletsChar">
    <w:name w:val="Bullets Char"/>
    <w:link w:val="Bullets"/>
    <w:rsid w:val="005A3CD8"/>
    <w:rPr>
      <w:sz w:val="24"/>
      <w:szCs w:val="22"/>
      <w:lang w:eastAsia="en-US"/>
    </w:rPr>
  </w:style>
  <w:style w:type="character" w:styleId="Strong">
    <w:name w:val="Strong"/>
    <w:uiPriority w:val="22"/>
    <w:qFormat/>
    <w:rsid w:val="001C1C11"/>
    <w:rPr>
      <w:b/>
      <w:bCs/>
    </w:rPr>
  </w:style>
  <w:style w:type="paragraph" w:customStyle="1" w:styleId="Bullets3">
    <w:name w:val="Bullets 3"/>
    <w:basedOn w:val="Bullets2"/>
    <w:qFormat/>
    <w:rsid w:val="003110C5"/>
    <w:pPr>
      <w:numPr>
        <w:numId w:val="0"/>
      </w:numPr>
      <w:ind w:left="1418" w:hanging="284"/>
    </w:pPr>
  </w:style>
  <w:style w:type="paragraph" w:styleId="ListParagraph">
    <w:name w:val="List Paragraph"/>
    <w:basedOn w:val="Normal"/>
    <w:uiPriority w:val="34"/>
    <w:qFormat/>
    <w:rsid w:val="00FC3424"/>
    <w:pPr>
      <w:ind w:left="720"/>
      <w:contextualSpacing/>
    </w:pPr>
  </w:style>
  <w:style w:type="paragraph" w:customStyle="1" w:styleId="Indentbullet">
    <w:name w:val="Indent bullet"/>
    <w:basedOn w:val="BodyText"/>
    <w:rsid w:val="00195866"/>
    <w:pPr>
      <w:spacing w:after="140"/>
      <w:ind w:left="1080" w:hanging="360"/>
    </w:pPr>
    <w:rPr>
      <w:szCs w:val="20"/>
      <w:lang w:val="en-GB" w:eastAsia="en-AU"/>
    </w:rPr>
  </w:style>
  <w:style w:type="paragraph" w:styleId="BodyText">
    <w:name w:val="Body Text"/>
    <w:basedOn w:val="Normal"/>
    <w:link w:val="BodyTextChar"/>
    <w:unhideWhenUsed/>
    <w:qFormat/>
    <w:rsid w:val="00195866"/>
    <w:pPr>
      <w:spacing w:after="120"/>
    </w:pPr>
  </w:style>
  <w:style w:type="character" w:customStyle="1" w:styleId="BodyTextChar">
    <w:name w:val="Body Text Char"/>
    <w:basedOn w:val="DefaultParagraphFont"/>
    <w:link w:val="BodyText"/>
    <w:rsid w:val="00195866"/>
    <w:rPr>
      <w:sz w:val="24"/>
      <w:szCs w:val="22"/>
      <w:lang w:eastAsia="en-US"/>
    </w:rPr>
  </w:style>
  <w:style w:type="paragraph" w:customStyle="1" w:styleId="Numberparagraph">
    <w:name w:val="Number paragraph"/>
    <w:basedOn w:val="Normal"/>
    <w:qFormat/>
    <w:rsid w:val="008B6DCA"/>
    <w:pPr>
      <w:tabs>
        <w:tab w:val="left" w:pos="567"/>
      </w:tabs>
    </w:pPr>
    <w:rPr>
      <w:szCs w:val="24"/>
      <w:lang w:eastAsia="en-AU"/>
    </w:rPr>
  </w:style>
  <w:style w:type="paragraph" w:styleId="CommentText">
    <w:name w:val="annotation text"/>
    <w:basedOn w:val="Normal"/>
    <w:link w:val="CommentTextChar"/>
    <w:semiHidden/>
    <w:unhideWhenUsed/>
    <w:rsid w:val="00C13571"/>
    <w:rPr>
      <w:sz w:val="20"/>
      <w:szCs w:val="20"/>
    </w:rPr>
  </w:style>
  <w:style w:type="character" w:customStyle="1" w:styleId="CommentTextChar">
    <w:name w:val="Comment Text Char"/>
    <w:basedOn w:val="DefaultParagraphFont"/>
    <w:link w:val="CommentText"/>
    <w:semiHidden/>
    <w:rsid w:val="00C13571"/>
    <w:rPr>
      <w:lang w:eastAsia="en-US"/>
    </w:rPr>
  </w:style>
  <w:style w:type="paragraph" w:customStyle="1" w:styleId="Sectionclause">
    <w:name w:val="Section/clause"/>
    <w:basedOn w:val="Normal"/>
    <w:link w:val="SectionclauseChar"/>
    <w:qFormat/>
    <w:rsid w:val="00D05403"/>
    <w:rPr>
      <w:b/>
      <w:i/>
    </w:rPr>
  </w:style>
  <w:style w:type="character" w:customStyle="1" w:styleId="Heading5Char">
    <w:name w:val="Heading 5 Char"/>
    <w:basedOn w:val="DefaultParagraphFont"/>
    <w:link w:val="Heading5"/>
    <w:uiPriority w:val="9"/>
    <w:semiHidden/>
    <w:rsid w:val="00A170F9"/>
    <w:rPr>
      <w:rFonts w:asciiTheme="majorHAnsi" w:eastAsiaTheme="majorEastAsia" w:hAnsiTheme="majorHAnsi" w:cstheme="majorBidi"/>
      <w:color w:val="243F60" w:themeColor="accent1" w:themeShade="7F"/>
      <w:sz w:val="24"/>
      <w:szCs w:val="22"/>
      <w:lang w:eastAsia="en-US"/>
    </w:rPr>
  </w:style>
  <w:style w:type="character" w:customStyle="1" w:styleId="SectionclauseChar">
    <w:name w:val="Section/clause Char"/>
    <w:basedOn w:val="DefaultParagraphFont"/>
    <w:link w:val="Sectionclause"/>
    <w:rsid w:val="00D05403"/>
    <w:rPr>
      <w:b/>
      <w: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32319D"/>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376839"/>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paragraph" w:styleId="Heading5">
    <w:name w:val="heading 5"/>
    <w:basedOn w:val="Normal"/>
    <w:next w:val="Normal"/>
    <w:link w:val="Heading5Char"/>
    <w:uiPriority w:val="9"/>
    <w:semiHidden/>
    <w:unhideWhenUsed/>
    <w:qFormat/>
    <w:rsid w:val="00A17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19D"/>
    <w:rPr>
      <w:b/>
      <w:bCs/>
      <w:sz w:val="28"/>
      <w:szCs w:val="28"/>
      <w:lang w:eastAsia="en-US"/>
    </w:rPr>
  </w:style>
  <w:style w:type="character" w:customStyle="1" w:styleId="Heading2Char">
    <w:name w:val="Heading 2 Char"/>
    <w:link w:val="Heading2"/>
    <w:uiPriority w:val="9"/>
    <w:rsid w:val="00376839"/>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styleId="CommentSubject">
    <w:name w:val="annotation subject"/>
    <w:basedOn w:val="Normal"/>
    <w:link w:val="CommentSubjectChar"/>
    <w:uiPriority w:val="99"/>
    <w:semiHidden/>
    <w:unhideWhenUsed/>
    <w:rsid w:val="00C63A3C"/>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table" w:styleId="TableGrid">
    <w:name w:val="Table Grid"/>
    <w:basedOn w:val="TableNormal"/>
    <w:uiPriority w:val="59"/>
    <w:rsid w:val="002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uiPriority w:val="99"/>
    <w:semiHidden/>
    <w:unhideWhenUsed/>
    <w:rsid w:val="00537B8B"/>
    <w:rPr>
      <w:i/>
      <w:iCs/>
    </w:rPr>
  </w:style>
  <w:style w:type="character" w:customStyle="1" w:styleId="q1">
    <w:name w:val="q1"/>
    <w:rsid w:val="00537B8B"/>
    <w:rPr>
      <w:b w:val="0"/>
      <w:bCs w:val="0"/>
      <w:i w:val="0"/>
      <w:iCs w:val="0"/>
      <w:spacing w:val="15"/>
    </w:rPr>
  </w:style>
  <w:style w:type="paragraph" w:styleId="Revision">
    <w:name w:val="Revision"/>
    <w:hidden/>
    <w:uiPriority w:val="99"/>
    <w:semiHidden/>
    <w:rsid w:val="0005766C"/>
    <w:rPr>
      <w:sz w:val="22"/>
      <w:szCs w:val="22"/>
      <w:lang w:eastAsia="en-US"/>
    </w:rPr>
  </w:style>
  <w:style w:type="paragraph" w:customStyle="1" w:styleId="Title-Specialreport">
    <w:name w:val="Title - Special report"/>
    <w:basedOn w:val="Normal"/>
    <w:qFormat/>
    <w:rsid w:val="007B23D5"/>
    <w:pPr>
      <w:pBdr>
        <w:top w:val="single" w:sz="18" w:space="10" w:color="auto"/>
        <w:bottom w:val="single" w:sz="8" w:space="10" w:color="auto"/>
      </w:pBdr>
    </w:pPr>
    <w:rPr>
      <w:b/>
      <w:sz w:val="36"/>
      <w:szCs w:val="36"/>
    </w:rPr>
  </w:style>
  <w:style w:type="paragraph" w:customStyle="1" w:styleId="Bullets2">
    <w:name w:val="Bullets 2"/>
    <w:basedOn w:val="Bullets"/>
    <w:qFormat/>
    <w:rsid w:val="00E24175"/>
    <w:pPr>
      <w:numPr>
        <w:numId w:val="3"/>
      </w:numPr>
      <w:tabs>
        <w:tab w:val="left" w:pos="1134"/>
      </w:tabs>
      <w:ind w:left="1134" w:hanging="567"/>
    </w:pPr>
  </w:style>
  <w:style w:type="paragraph" w:customStyle="1" w:styleId="Bullets">
    <w:name w:val="Bullets"/>
    <w:basedOn w:val="Normal"/>
    <w:link w:val="BulletsChar"/>
    <w:qFormat/>
    <w:rsid w:val="00740516"/>
    <w:pPr>
      <w:numPr>
        <w:numId w:val="1"/>
      </w:numPr>
      <w:spacing w:after="140"/>
      <w:ind w:left="567" w:hanging="567"/>
    </w:pPr>
  </w:style>
  <w:style w:type="character" w:customStyle="1" w:styleId="BulletsChar">
    <w:name w:val="Bullets Char"/>
    <w:link w:val="Bullets"/>
    <w:rsid w:val="005A3CD8"/>
    <w:rPr>
      <w:sz w:val="24"/>
      <w:szCs w:val="22"/>
      <w:lang w:eastAsia="en-US"/>
    </w:rPr>
  </w:style>
  <w:style w:type="character" w:styleId="Strong">
    <w:name w:val="Strong"/>
    <w:uiPriority w:val="22"/>
    <w:qFormat/>
    <w:rsid w:val="001C1C11"/>
    <w:rPr>
      <w:b/>
      <w:bCs/>
    </w:rPr>
  </w:style>
  <w:style w:type="paragraph" w:customStyle="1" w:styleId="Bullets3">
    <w:name w:val="Bullets 3"/>
    <w:basedOn w:val="Bullets2"/>
    <w:qFormat/>
    <w:rsid w:val="003110C5"/>
    <w:pPr>
      <w:numPr>
        <w:numId w:val="0"/>
      </w:numPr>
      <w:ind w:left="1418" w:hanging="284"/>
    </w:pPr>
  </w:style>
  <w:style w:type="paragraph" w:styleId="ListParagraph">
    <w:name w:val="List Paragraph"/>
    <w:basedOn w:val="Normal"/>
    <w:uiPriority w:val="34"/>
    <w:qFormat/>
    <w:rsid w:val="00FC3424"/>
    <w:pPr>
      <w:ind w:left="720"/>
      <w:contextualSpacing/>
    </w:pPr>
  </w:style>
  <w:style w:type="paragraph" w:customStyle="1" w:styleId="Indentbullet">
    <w:name w:val="Indent bullet"/>
    <w:basedOn w:val="BodyText"/>
    <w:rsid w:val="00195866"/>
    <w:pPr>
      <w:spacing w:after="140"/>
      <w:ind w:left="1080" w:hanging="360"/>
    </w:pPr>
    <w:rPr>
      <w:szCs w:val="20"/>
      <w:lang w:val="en-GB" w:eastAsia="en-AU"/>
    </w:rPr>
  </w:style>
  <w:style w:type="paragraph" w:styleId="BodyText">
    <w:name w:val="Body Text"/>
    <w:basedOn w:val="Normal"/>
    <w:link w:val="BodyTextChar"/>
    <w:unhideWhenUsed/>
    <w:qFormat/>
    <w:rsid w:val="00195866"/>
    <w:pPr>
      <w:spacing w:after="120"/>
    </w:pPr>
  </w:style>
  <w:style w:type="character" w:customStyle="1" w:styleId="BodyTextChar">
    <w:name w:val="Body Text Char"/>
    <w:basedOn w:val="DefaultParagraphFont"/>
    <w:link w:val="BodyText"/>
    <w:rsid w:val="00195866"/>
    <w:rPr>
      <w:sz w:val="24"/>
      <w:szCs w:val="22"/>
      <w:lang w:eastAsia="en-US"/>
    </w:rPr>
  </w:style>
  <w:style w:type="paragraph" w:customStyle="1" w:styleId="Numberparagraph">
    <w:name w:val="Number paragraph"/>
    <w:basedOn w:val="Normal"/>
    <w:qFormat/>
    <w:rsid w:val="008B6DCA"/>
    <w:pPr>
      <w:tabs>
        <w:tab w:val="left" w:pos="567"/>
      </w:tabs>
    </w:pPr>
    <w:rPr>
      <w:szCs w:val="24"/>
      <w:lang w:eastAsia="en-AU"/>
    </w:rPr>
  </w:style>
  <w:style w:type="paragraph" w:styleId="CommentText">
    <w:name w:val="annotation text"/>
    <w:basedOn w:val="Normal"/>
    <w:link w:val="CommentTextChar"/>
    <w:semiHidden/>
    <w:unhideWhenUsed/>
    <w:rsid w:val="00C13571"/>
    <w:rPr>
      <w:sz w:val="20"/>
      <w:szCs w:val="20"/>
    </w:rPr>
  </w:style>
  <w:style w:type="character" w:customStyle="1" w:styleId="CommentTextChar">
    <w:name w:val="Comment Text Char"/>
    <w:basedOn w:val="DefaultParagraphFont"/>
    <w:link w:val="CommentText"/>
    <w:semiHidden/>
    <w:rsid w:val="00C13571"/>
    <w:rPr>
      <w:lang w:eastAsia="en-US"/>
    </w:rPr>
  </w:style>
  <w:style w:type="paragraph" w:customStyle="1" w:styleId="Sectionclause">
    <w:name w:val="Section/clause"/>
    <w:basedOn w:val="Normal"/>
    <w:link w:val="SectionclauseChar"/>
    <w:qFormat/>
    <w:rsid w:val="00D05403"/>
    <w:rPr>
      <w:b/>
      <w:i/>
    </w:rPr>
  </w:style>
  <w:style w:type="character" w:customStyle="1" w:styleId="Heading5Char">
    <w:name w:val="Heading 5 Char"/>
    <w:basedOn w:val="DefaultParagraphFont"/>
    <w:link w:val="Heading5"/>
    <w:uiPriority w:val="9"/>
    <w:semiHidden/>
    <w:rsid w:val="00A170F9"/>
    <w:rPr>
      <w:rFonts w:asciiTheme="majorHAnsi" w:eastAsiaTheme="majorEastAsia" w:hAnsiTheme="majorHAnsi" w:cstheme="majorBidi"/>
      <w:color w:val="243F60" w:themeColor="accent1" w:themeShade="7F"/>
      <w:sz w:val="24"/>
      <w:szCs w:val="22"/>
      <w:lang w:eastAsia="en-US"/>
    </w:rPr>
  </w:style>
  <w:style w:type="character" w:customStyle="1" w:styleId="SectionclauseChar">
    <w:name w:val="Section/clause Char"/>
    <w:basedOn w:val="DefaultParagraphFont"/>
    <w:link w:val="Sectionclause"/>
    <w:rsid w:val="00D05403"/>
    <w:rPr>
      <w:b/>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431">
      <w:bodyDiv w:val="1"/>
      <w:marLeft w:val="0"/>
      <w:marRight w:val="0"/>
      <w:marTop w:val="0"/>
      <w:marBottom w:val="0"/>
      <w:divBdr>
        <w:top w:val="none" w:sz="0" w:space="0" w:color="auto"/>
        <w:left w:val="none" w:sz="0" w:space="0" w:color="auto"/>
        <w:bottom w:val="none" w:sz="0" w:space="0" w:color="auto"/>
        <w:right w:val="none" w:sz="0" w:space="0" w:color="auto"/>
      </w:divBdr>
      <w:divsChild>
        <w:div w:id="1358971101">
          <w:marLeft w:val="0"/>
          <w:marRight w:val="0"/>
          <w:marTop w:val="0"/>
          <w:marBottom w:val="0"/>
          <w:divBdr>
            <w:top w:val="none" w:sz="0" w:space="0" w:color="auto"/>
            <w:left w:val="none" w:sz="0" w:space="0" w:color="auto"/>
            <w:bottom w:val="none" w:sz="0" w:space="0" w:color="auto"/>
            <w:right w:val="none" w:sz="0" w:space="0" w:color="auto"/>
          </w:divBdr>
          <w:divsChild>
            <w:div w:id="254241718">
              <w:marLeft w:val="0"/>
              <w:marRight w:val="0"/>
              <w:marTop w:val="0"/>
              <w:marBottom w:val="0"/>
              <w:divBdr>
                <w:top w:val="none" w:sz="0" w:space="0" w:color="auto"/>
                <w:left w:val="none" w:sz="0" w:space="0" w:color="auto"/>
                <w:bottom w:val="none" w:sz="0" w:space="0" w:color="auto"/>
                <w:right w:val="none" w:sz="0" w:space="0" w:color="auto"/>
              </w:divBdr>
              <w:divsChild>
                <w:div w:id="1930889020">
                  <w:marLeft w:val="150"/>
                  <w:marRight w:val="0"/>
                  <w:marTop w:val="0"/>
                  <w:marBottom w:val="0"/>
                  <w:divBdr>
                    <w:top w:val="none" w:sz="0" w:space="0" w:color="auto"/>
                    <w:left w:val="none" w:sz="0" w:space="0" w:color="auto"/>
                    <w:bottom w:val="none" w:sz="0" w:space="0" w:color="auto"/>
                    <w:right w:val="none" w:sz="0" w:space="0" w:color="auto"/>
                  </w:divBdr>
                  <w:divsChild>
                    <w:div w:id="1721586673">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289366972">
      <w:bodyDiv w:val="1"/>
      <w:marLeft w:val="0"/>
      <w:marRight w:val="0"/>
      <w:marTop w:val="0"/>
      <w:marBottom w:val="0"/>
      <w:divBdr>
        <w:top w:val="none" w:sz="0" w:space="0" w:color="auto"/>
        <w:left w:val="none" w:sz="0" w:space="0" w:color="auto"/>
        <w:bottom w:val="none" w:sz="0" w:space="0" w:color="auto"/>
        <w:right w:val="none" w:sz="0" w:space="0" w:color="auto"/>
      </w:divBdr>
      <w:divsChild>
        <w:div w:id="1952515530">
          <w:marLeft w:val="0"/>
          <w:marRight w:val="0"/>
          <w:marTop w:val="0"/>
          <w:marBottom w:val="0"/>
          <w:divBdr>
            <w:top w:val="none" w:sz="0" w:space="0" w:color="auto"/>
            <w:left w:val="none" w:sz="0" w:space="0" w:color="auto"/>
            <w:bottom w:val="none" w:sz="0" w:space="0" w:color="auto"/>
            <w:right w:val="none" w:sz="0" w:space="0" w:color="auto"/>
          </w:divBdr>
          <w:divsChild>
            <w:div w:id="1900944279">
              <w:marLeft w:val="0"/>
              <w:marRight w:val="0"/>
              <w:marTop w:val="0"/>
              <w:marBottom w:val="0"/>
              <w:divBdr>
                <w:top w:val="none" w:sz="0" w:space="0" w:color="auto"/>
                <w:left w:val="none" w:sz="0" w:space="0" w:color="auto"/>
                <w:bottom w:val="none" w:sz="0" w:space="0" w:color="auto"/>
                <w:right w:val="none" w:sz="0" w:space="0" w:color="auto"/>
              </w:divBdr>
              <w:divsChild>
                <w:div w:id="654262056">
                  <w:marLeft w:val="0"/>
                  <w:marRight w:val="0"/>
                  <w:marTop w:val="105"/>
                  <w:marBottom w:val="0"/>
                  <w:divBdr>
                    <w:top w:val="none" w:sz="0" w:space="0" w:color="auto"/>
                    <w:left w:val="none" w:sz="0" w:space="0" w:color="auto"/>
                    <w:bottom w:val="none" w:sz="0" w:space="0" w:color="auto"/>
                    <w:right w:val="none" w:sz="0" w:space="0" w:color="auto"/>
                  </w:divBdr>
                  <w:divsChild>
                    <w:div w:id="979533530">
                      <w:marLeft w:val="450"/>
                      <w:marRight w:val="225"/>
                      <w:marTop w:val="0"/>
                      <w:marBottom w:val="0"/>
                      <w:divBdr>
                        <w:top w:val="none" w:sz="0" w:space="0" w:color="auto"/>
                        <w:left w:val="none" w:sz="0" w:space="0" w:color="auto"/>
                        <w:bottom w:val="none" w:sz="0" w:space="0" w:color="auto"/>
                        <w:right w:val="none" w:sz="0" w:space="0" w:color="auto"/>
                      </w:divBdr>
                      <w:divsChild>
                        <w:div w:id="724910596">
                          <w:marLeft w:val="0"/>
                          <w:marRight w:val="0"/>
                          <w:marTop w:val="0"/>
                          <w:marBottom w:val="600"/>
                          <w:divBdr>
                            <w:top w:val="single" w:sz="6" w:space="0" w:color="314664"/>
                            <w:left w:val="single" w:sz="6" w:space="0" w:color="314664"/>
                            <w:bottom w:val="single" w:sz="6" w:space="0" w:color="314664"/>
                            <w:right w:val="single" w:sz="6" w:space="0" w:color="314664"/>
                          </w:divBdr>
                          <w:divsChild>
                            <w:div w:id="1254169002">
                              <w:marLeft w:val="0"/>
                              <w:marRight w:val="0"/>
                              <w:marTop w:val="0"/>
                              <w:marBottom w:val="0"/>
                              <w:divBdr>
                                <w:top w:val="none" w:sz="0" w:space="0" w:color="auto"/>
                                <w:left w:val="none" w:sz="0" w:space="0" w:color="auto"/>
                                <w:bottom w:val="none" w:sz="0" w:space="0" w:color="auto"/>
                                <w:right w:val="none" w:sz="0" w:space="0" w:color="auto"/>
                              </w:divBdr>
                              <w:divsChild>
                                <w:div w:id="1053429943">
                                  <w:marLeft w:val="0"/>
                                  <w:marRight w:val="0"/>
                                  <w:marTop w:val="0"/>
                                  <w:marBottom w:val="0"/>
                                  <w:divBdr>
                                    <w:top w:val="none" w:sz="0" w:space="0" w:color="auto"/>
                                    <w:left w:val="none" w:sz="0" w:space="0" w:color="auto"/>
                                    <w:bottom w:val="none" w:sz="0" w:space="0" w:color="auto"/>
                                    <w:right w:val="none" w:sz="0" w:space="0" w:color="auto"/>
                                  </w:divBdr>
                                  <w:divsChild>
                                    <w:div w:id="2007662469">
                                      <w:marLeft w:val="0"/>
                                      <w:marRight w:val="0"/>
                                      <w:marTop w:val="0"/>
                                      <w:marBottom w:val="0"/>
                                      <w:divBdr>
                                        <w:top w:val="none" w:sz="0" w:space="0" w:color="auto"/>
                                        <w:left w:val="none" w:sz="0" w:space="0" w:color="auto"/>
                                        <w:bottom w:val="none" w:sz="0" w:space="0" w:color="auto"/>
                                        <w:right w:val="none" w:sz="0" w:space="0" w:color="auto"/>
                                      </w:divBdr>
                                      <w:divsChild>
                                        <w:div w:id="1314219138">
                                          <w:marLeft w:val="0"/>
                                          <w:marRight w:val="0"/>
                                          <w:marTop w:val="0"/>
                                          <w:marBottom w:val="0"/>
                                          <w:divBdr>
                                            <w:top w:val="none" w:sz="0" w:space="0" w:color="auto"/>
                                            <w:left w:val="none" w:sz="0" w:space="0" w:color="auto"/>
                                            <w:bottom w:val="none" w:sz="0" w:space="0" w:color="auto"/>
                                            <w:right w:val="none" w:sz="0" w:space="0" w:color="auto"/>
                                          </w:divBdr>
                                          <w:divsChild>
                                            <w:div w:id="1344864802">
                                              <w:marLeft w:val="0"/>
                                              <w:marRight w:val="0"/>
                                              <w:marTop w:val="0"/>
                                              <w:marBottom w:val="0"/>
                                              <w:divBdr>
                                                <w:top w:val="none" w:sz="0" w:space="0" w:color="auto"/>
                                                <w:left w:val="none" w:sz="0" w:space="0" w:color="auto"/>
                                                <w:bottom w:val="none" w:sz="0" w:space="0" w:color="auto"/>
                                                <w:right w:val="none" w:sz="0" w:space="0" w:color="auto"/>
                                              </w:divBdr>
                                              <w:divsChild>
                                                <w:div w:id="474834886">
                                                  <w:marLeft w:val="0"/>
                                                  <w:marRight w:val="0"/>
                                                  <w:marTop w:val="0"/>
                                                  <w:marBottom w:val="0"/>
                                                  <w:divBdr>
                                                    <w:top w:val="none" w:sz="0" w:space="0" w:color="auto"/>
                                                    <w:left w:val="none" w:sz="0" w:space="0" w:color="auto"/>
                                                    <w:bottom w:val="none" w:sz="0" w:space="0" w:color="auto"/>
                                                    <w:right w:val="none" w:sz="0" w:space="0" w:color="auto"/>
                                                  </w:divBdr>
                                                  <w:divsChild>
                                                    <w:div w:id="489952765">
                                                      <w:marLeft w:val="0"/>
                                                      <w:marRight w:val="0"/>
                                                      <w:marTop w:val="0"/>
                                                      <w:marBottom w:val="0"/>
                                                      <w:divBdr>
                                                        <w:top w:val="none" w:sz="0" w:space="0" w:color="auto"/>
                                                        <w:left w:val="none" w:sz="0" w:space="0" w:color="auto"/>
                                                        <w:bottom w:val="none" w:sz="0" w:space="0" w:color="auto"/>
                                                        <w:right w:val="none" w:sz="0" w:space="0" w:color="auto"/>
                                                      </w:divBdr>
                                                      <w:divsChild>
                                                        <w:div w:id="1295066279">
                                                          <w:marLeft w:val="-720"/>
                                                          <w:marRight w:val="0"/>
                                                          <w:marTop w:val="0"/>
                                                          <w:marBottom w:val="0"/>
                                                          <w:divBdr>
                                                            <w:top w:val="none" w:sz="0" w:space="0" w:color="auto"/>
                                                            <w:left w:val="none" w:sz="0" w:space="0" w:color="auto"/>
                                                            <w:bottom w:val="none" w:sz="0" w:space="0" w:color="auto"/>
                                                            <w:right w:val="none" w:sz="0" w:space="0" w:color="auto"/>
                                                          </w:divBdr>
                                                          <w:divsChild>
                                                            <w:div w:id="1621182898">
                                                              <w:blockQuote w:val="1"/>
                                                              <w:marLeft w:val="0"/>
                                                              <w:marRight w:val="0"/>
                                                              <w:marTop w:val="0"/>
                                                              <w:marBottom w:val="0"/>
                                                              <w:divBdr>
                                                                <w:top w:val="none" w:sz="0" w:space="0" w:color="auto"/>
                                                                <w:left w:val="none" w:sz="0" w:space="0" w:color="auto"/>
                                                                <w:bottom w:val="none" w:sz="0" w:space="0" w:color="auto"/>
                                                                <w:right w:val="none" w:sz="0" w:space="0" w:color="auto"/>
                                                              </w:divBdr>
                                                              <w:divsChild>
                                                                <w:div w:id="115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044839">
      <w:bodyDiv w:val="1"/>
      <w:marLeft w:val="0"/>
      <w:marRight w:val="0"/>
      <w:marTop w:val="0"/>
      <w:marBottom w:val="0"/>
      <w:divBdr>
        <w:top w:val="none" w:sz="0" w:space="0" w:color="auto"/>
        <w:left w:val="none" w:sz="0" w:space="0" w:color="auto"/>
        <w:bottom w:val="none" w:sz="0" w:space="0" w:color="auto"/>
        <w:right w:val="none" w:sz="0" w:space="0" w:color="auto"/>
      </w:divBdr>
    </w:div>
    <w:div w:id="386421030">
      <w:bodyDiv w:val="1"/>
      <w:marLeft w:val="0"/>
      <w:marRight w:val="0"/>
      <w:marTop w:val="0"/>
      <w:marBottom w:val="0"/>
      <w:divBdr>
        <w:top w:val="none" w:sz="0" w:space="0" w:color="auto"/>
        <w:left w:val="none" w:sz="0" w:space="0" w:color="auto"/>
        <w:bottom w:val="none" w:sz="0" w:space="0" w:color="auto"/>
        <w:right w:val="none" w:sz="0" w:space="0" w:color="auto"/>
      </w:divBdr>
      <w:divsChild>
        <w:div w:id="358435285">
          <w:marLeft w:val="0"/>
          <w:marRight w:val="0"/>
          <w:marTop w:val="0"/>
          <w:marBottom w:val="0"/>
          <w:divBdr>
            <w:top w:val="none" w:sz="0" w:space="0" w:color="auto"/>
            <w:left w:val="none" w:sz="0" w:space="0" w:color="auto"/>
            <w:bottom w:val="none" w:sz="0" w:space="0" w:color="auto"/>
            <w:right w:val="none" w:sz="0" w:space="0" w:color="auto"/>
          </w:divBdr>
          <w:divsChild>
            <w:div w:id="208998822">
              <w:marLeft w:val="0"/>
              <w:marRight w:val="0"/>
              <w:marTop w:val="0"/>
              <w:marBottom w:val="0"/>
              <w:divBdr>
                <w:top w:val="none" w:sz="0" w:space="0" w:color="auto"/>
                <w:left w:val="none" w:sz="0" w:space="0" w:color="auto"/>
                <w:bottom w:val="none" w:sz="0" w:space="0" w:color="auto"/>
                <w:right w:val="none" w:sz="0" w:space="0" w:color="auto"/>
              </w:divBdr>
              <w:divsChild>
                <w:div w:id="979654489">
                  <w:marLeft w:val="150"/>
                  <w:marRight w:val="0"/>
                  <w:marTop w:val="0"/>
                  <w:marBottom w:val="0"/>
                  <w:divBdr>
                    <w:top w:val="none" w:sz="0" w:space="0" w:color="auto"/>
                    <w:left w:val="none" w:sz="0" w:space="0" w:color="auto"/>
                    <w:bottom w:val="none" w:sz="0" w:space="0" w:color="auto"/>
                    <w:right w:val="none" w:sz="0" w:space="0" w:color="auto"/>
                  </w:divBdr>
                  <w:divsChild>
                    <w:div w:id="1935285258">
                      <w:marLeft w:val="0"/>
                      <w:marRight w:val="0"/>
                      <w:marTop w:val="0"/>
                      <w:marBottom w:val="0"/>
                      <w:divBdr>
                        <w:top w:val="none" w:sz="0" w:space="0" w:color="auto"/>
                        <w:left w:val="none" w:sz="0" w:space="0" w:color="auto"/>
                        <w:bottom w:val="none" w:sz="0" w:space="0" w:color="auto"/>
                        <w:right w:val="none" w:sz="0" w:space="0" w:color="auto"/>
                      </w:divBdr>
                      <w:divsChild>
                        <w:div w:id="5931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6982">
      <w:bodyDiv w:val="1"/>
      <w:marLeft w:val="0"/>
      <w:marRight w:val="0"/>
      <w:marTop w:val="0"/>
      <w:marBottom w:val="0"/>
      <w:divBdr>
        <w:top w:val="none" w:sz="0" w:space="0" w:color="auto"/>
        <w:left w:val="none" w:sz="0" w:space="0" w:color="auto"/>
        <w:bottom w:val="none" w:sz="0" w:space="0" w:color="auto"/>
        <w:right w:val="none" w:sz="0" w:space="0" w:color="auto"/>
      </w:divBdr>
      <w:divsChild>
        <w:div w:id="1054155921">
          <w:marLeft w:val="1166"/>
          <w:marRight w:val="0"/>
          <w:marTop w:val="0"/>
          <w:marBottom w:val="0"/>
          <w:divBdr>
            <w:top w:val="none" w:sz="0" w:space="0" w:color="auto"/>
            <w:left w:val="none" w:sz="0" w:space="0" w:color="auto"/>
            <w:bottom w:val="none" w:sz="0" w:space="0" w:color="auto"/>
            <w:right w:val="none" w:sz="0" w:space="0" w:color="auto"/>
          </w:divBdr>
        </w:div>
        <w:div w:id="1335300901">
          <w:marLeft w:val="547"/>
          <w:marRight w:val="0"/>
          <w:marTop w:val="110"/>
          <w:marBottom w:val="0"/>
          <w:divBdr>
            <w:top w:val="none" w:sz="0" w:space="0" w:color="auto"/>
            <w:left w:val="none" w:sz="0" w:space="0" w:color="auto"/>
            <w:bottom w:val="none" w:sz="0" w:space="0" w:color="auto"/>
            <w:right w:val="none" w:sz="0" w:space="0" w:color="auto"/>
          </w:divBdr>
        </w:div>
        <w:div w:id="1809669714">
          <w:marLeft w:val="1166"/>
          <w:marRight w:val="0"/>
          <w:marTop w:val="0"/>
          <w:marBottom w:val="0"/>
          <w:divBdr>
            <w:top w:val="none" w:sz="0" w:space="0" w:color="auto"/>
            <w:left w:val="none" w:sz="0" w:space="0" w:color="auto"/>
            <w:bottom w:val="none" w:sz="0" w:space="0" w:color="auto"/>
            <w:right w:val="none" w:sz="0" w:space="0" w:color="auto"/>
          </w:divBdr>
        </w:div>
      </w:divsChild>
    </w:div>
    <w:div w:id="670108367">
      <w:bodyDiv w:val="1"/>
      <w:marLeft w:val="0"/>
      <w:marRight w:val="0"/>
      <w:marTop w:val="0"/>
      <w:marBottom w:val="0"/>
      <w:divBdr>
        <w:top w:val="none" w:sz="0" w:space="0" w:color="auto"/>
        <w:left w:val="none" w:sz="0" w:space="0" w:color="auto"/>
        <w:bottom w:val="none" w:sz="0" w:space="0" w:color="auto"/>
        <w:right w:val="none" w:sz="0" w:space="0" w:color="auto"/>
      </w:divBdr>
    </w:div>
    <w:div w:id="1189293415">
      <w:bodyDiv w:val="1"/>
      <w:marLeft w:val="0"/>
      <w:marRight w:val="0"/>
      <w:marTop w:val="0"/>
      <w:marBottom w:val="0"/>
      <w:divBdr>
        <w:top w:val="none" w:sz="0" w:space="0" w:color="auto"/>
        <w:left w:val="none" w:sz="0" w:space="0" w:color="auto"/>
        <w:bottom w:val="none" w:sz="0" w:space="0" w:color="auto"/>
        <w:right w:val="none" w:sz="0" w:space="0" w:color="auto"/>
      </w:divBdr>
      <w:divsChild>
        <w:div w:id="573588056">
          <w:marLeft w:val="0"/>
          <w:marRight w:val="0"/>
          <w:marTop w:val="0"/>
          <w:marBottom w:val="0"/>
          <w:divBdr>
            <w:top w:val="none" w:sz="0" w:space="0" w:color="auto"/>
            <w:left w:val="none" w:sz="0" w:space="0" w:color="auto"/>
            <w:bottom w:val="none" w:sz="0" w:space="0" w:color="auto"/>
            <w:right w:val="none" w:sz="0" w:space="0" w:color="auto"/>
          </w:divBdr>
          <w:divsChild>
            <w:div w:id="289477951">
              <w:marLeft w:val="0"/>
              <w:marRight w:val="0"/>
              <w:marTop w:val="0"/>
              <w:marBottom w:val="0"/>
              <w:divBdr>
                <w:top w:val="none" w:sz="0" w:space="0" w:color="auto"/>
                <w:left w:val="none" w:sz="0" w:space="0" w:color="auto"/>
                <w:bottom w:val="none" w:sz="0" w:space="0" w:color="auto"/>
                <w:right w:val="none" w:sz="0" w:space="0" w:color="auto"/>
              </w:divBdr>
              <w:divsChild>
                <w:div w:id="1641615168">
                  <w:marLeft w:val="150"/>
                  <w:marRight w:val="0"/>
                  <w:marTop w:val="0"/>
                  <w:marBottom w:val="0"/>
                  <w:divBdr>
                    <w:top w:val="none" w:sz="0" w:space="0" w:color="auto"/>
                    <w:left w:val="none" w:sz="0" w:space="0" w:color="auto"/>
                    <w:bottom w:val="none" w:sz="0" w:space="0" w:color="auto"/>
                    <w:right w:val="none" w:sz="0" w:space="0" w:color="auto"/>
                  </w:divBdr>
                  <w:divsChild>
                    <w:div w:id="192765317">
                      <w:marLeft w:val="0"/>
                      <w:marRight w:val="0"/>
                      <w:marTop w:val="0"/>
                      <w:marBottom w:val="0"/>
                      <w:divBdr>
                        <w:top w:val="none" w:sz="0" w:space="0" w:color="auto"/>
                        <w:left w:val="none" w:sz="0" w:space="0" w:color="auto"/>
                        <w:bottom w:val="none" w:sz="0" w:space="0" w:color="auto"/>
                        <w:right w:val="none" w:sz="0" w:space="0" w:color="auto"/>
                      </w:divBdr>
                      <w:divsChild>
                        <w:div w:id="9297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03158">
      <w:bodyDiv w:val="1"/>
      <w:marLeft w:val="0"/>
      <w:marRight w:val="0"/>
      <w:marTop w:val="0"/>
      <w:marBottom w:val="0"/>
      <w:divBdr>
        <w:top w:val="none" w:sz="0" w:space="0" w:color="auto"/>
        <w:left w:val="none" w:sz="0" w:space="0" w:color="auto"/>
        <w:bottom w:val="none" w:sz="0" w:space="0" w:color="auto"/>
        <w:right w:val="none" w:sz="0" w:space="0" w:color="auto"/>
      </w:divBdr>
      <w:divsChild>
        <w:div w:id="1401519692">
          <w:marLeft w:val="0"/>
          <w:marRight w:val="0"/>
          <w:marTop w:val="0"/>
          <w:marBottom w:val="0"/>
          <w:divBdr>
            <w:top w:val="none" w:sz="0" w:space="0" w:color="auto"/>
            <w:left w:val="none" w:sz="0" w:space="0" w:color="auto"/>
            <w:bottom w:val="none" w:sz="0" w:space="0" w:color="auto"/>
            <w:right w:val="none" w:sz="0" w:space="0" w:color="auto"/>
          </w:divBdr>
          <w:divsChild>
            <w:div w:id="547881930">
              <w:marLeft w:val="0"/>
              <w:marRight w:val="0"/>
              <w:marTop w:val="0"/>
              <w:marBottom w:val="0"/>
              <w:divBdr>
                <w:top w:val="none" w:sz="0" w:space="0" w:color="auto"/>
                <w:left w:val="none" w:sz="0" w:space="0" w:color="auto"/>
                <w:bottom w:val="none" w:sz="0" w:space="0" w:color="auto"/>
                <w:right w:val="none" w:sz="0" w:space="0" w:color="auto"/>
              </w:divBdr>
              <w:divsChild>
                <w:div w:id="869882513">
                  <w:marLeft w:val="150"/>
                  <w:marRight w:val="0"/>
                  <w:marTop w:val="0"/>
                  <w:marBottom w:val="0"/>
                  <w:divBdr>
                    <w:top w:val="none" w:sz="0" w:space="0" w:color="auto"/>
                    <w:left w:val="none" w:sz="0" w:space="0" w:color="auto"/>
                    <w:bottom w:val="none" w:sz="0" w:space="0" w:color="auto"/>
                    <w:right w:val="none" w:sz="0" w:space="0" w:color="auto"/>
                  </w:divBdr>
                  <w:divsChild>
                    <w:div w:id="709761974">
                      <w:marLeft w:val="0"/>
                      <w:marRight w:val="0"/>
                      <w:marTop w:val="0"/>
                      <w:marBottom w:val="0"/>
                      <w:divBdr>
                        <w:top w:val="none" w:sz="0" w:space="0" w:color="auto"/>
                        <w:left w:val="none" w:sz="0" w:space="0" w:color="auto"/>
                        <w:bottom w:val="none" w:sz="0" w:space="0" w:color="auto"/>
                        <w:right w:val="none" w:sz="0" w:space="0" w:color="auto"/>
                      </w:divBdr>
                      <w:divsChild>
                        <w:div w:id="15317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4960">
      <w:bodyDiv w:val="1"/>
      <w:marLeft w:val="0"/>
      <w:marRight w:val="0"/>
      <w:marTop w:val="0"/>
      <w:marBottom w:val="0"/>
      <w:divBdr>
        <w:top w:val="none" w:sz="0" w:space="0" w:color="auto"/>
        <w:left w:val="none" w:sz="0" w:space="0" w:color="auto"/>
        <w:bottom w:val="none" w:sz="0" w:space="0" w:color="auto"/>
        <w:right w:val="none" w:sz="0" w:space="0" w:color="auto"/>
      </w:divBdr>
      <w:divsChild>
        <w:div w:id="1174758566">
          <w:marLeft w:val="0"/>
          <w:marRight w:val="0"/>
          <w:marTop w:val="0"/>
          <w:marBottom w:val="0"/>
          <w:divBdr>
            <w:top w:val="none" w:sz="0" w:space="0" w:color="auto"/>
            <w:left w:val="none" w:sz="0" w:space="0" w:color="auto"/>
            <w:bottom w:val="none" w:sz="0" w:space="0" w:color="auto"/>
            <w:right w:val="none" w:sz="0" w:space="0" w:color="auto"/>
          </w:divBdr>
          <w:divsChild>
            <w:div w:id="971059188">
              <w:marLeft w:val="0"/>
              <w:marRight w:val="0"/>
              <w:marTop w:val="0"/>
              <w:marBottom w:val="0"/>
              <w:divBdr>
                <w:top w:val="none" w:sz="0" w:space="0" w:color="auto"/>
                <w:left w:val="none" w:sz="0" w:space="0" w:color="auto"/>
                <w:bottom w:val="none" w:sz="0" w:space="0" w:color="auto"/>
                <w:right w:val="none" w:sz="0" w:space="0" w:color="auto"/>
              </w:divBdr>
              <w:divsChild>
                <w:div w:id="137966140">
                  <w:marLeft w:val="150"/>
                  <w:marRight w:val="0"/>
                  <w:marTop w:val="0"/>
                  <w:marBottom w:val="0"/>
                  <w:divBdr>
                    <w:top w:val="none" w:sz="0" w:space="0" w:color="auto"/>
                    <w:left w:val="none" w:sz="0" w:space="0" w:color="auto"/>
                    <w:bottom w:val="none" w:sz="0" w:space="0" w:color="auto"/>
                    <w:right w:val="none" w:sz="0" w:space="0" w:color="auto"/>
                  </w:divBdr>
                  <w:divsChild>
                    <w:div w:id="1894464560">
                      <w:marLeft w:val="0"/>
                      <w:marRight w:val="0"/>
                      <w:marTop w:val="0"/>
                      <w:marBottom w:val="0"/>
                      <w:divBdr>
                        <w:top w:val="none" w:sz="0" w:space="0" w:color="auto"/>
                        <w:left w:val="none" w:sz="0" w:space="0" w:color="auto"/>
                        <w:bottom w:val="none" w:sz="0" w:space="0" w:color="auto"/>
                        <w:right w:val="none" w:sz="0" w:space="0" w:color="auto"/>
                      </w:divBdr>
                      <w:divsChild>
                        <w:div w:id="1323894901">
                          <w:marLeft w:val="0"/>
                          <w:marRight w:val="0"/>
                          <w:marTop w:val="0"/>
                          <w:marBottom w:val="0"/>
                          <w:divBdr>
                            <w:top w:val="none" w:sz="0" w:space="0" w:color="auto"/>
                            <w:left w:val="none" w:sz="0" w:space="0" w:color="auto"/>
                            <w:bottom w:val="none" w:sz="0" w:space="0" w:color="auto"/>
                            <w:right w:val="none" w:sz="0" w:space="0" w:color="auto"/>
                          </w:divBdr>
                          <w:divsChild>
                            <w:div w:id="13429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20069">
      <w:bodyDiv w:val="1"/>
      <w:marLeft w:val="0"/>
      <w:marRight w:val="0"/>
      <w:marTop w:val="0"/>
      <w:marBottom w:val="0"/>
      <w:divBdr>
        <w:top w:val="none" w:sz="0" w:space="0" w:color="auto"/>
        <w:left w:val="none" w:sz="0" w:space="0" w:color="auto"/>
        <w:bottom w:val="none" w:sz="0" w:space="0" w:color="auto"/>
        <w:right w:val="none" w:sz="0" w:space="0" w:color="auto"/>
      </w:divBdr>
    </w:div>
    <w:div w:id="1790121137">
      <w:bodyDiv w:val="1"/>
      <w:marLeft w:val="0"/>
      <w:marRight w:val="0"/>
      <w:marTop w:val="0"/>
      <w:marBottom w:val="0"/>
      <w:divBdr>
        <w:top w:val="none" w:sz="0" w:space="0" w:color="auto"/>
        <w:left w:val="none" w:sz="0" w:space="0" w:color="auto"/>
        <w:bottom w:val="none" w:sz="0" w:space="0" w:color="auto"/>
        <w:right w:val="none" w:sz="0" w:space="0" w:color="auto"/>
      </w:divBdr>
      <w:divsChild>
        <w:div w:id="1442459510">
          <w:marLeft w:val="0"/>
          <w:marRight w:val="0"/>
          <w:marTop w:val="0"/>
          <w:marBottom w:val="0"/>
          <w:divBdr>
            <w:top w:val="none" w:sz="0" w:space="0" w:color="auto"/>
            <w:left w:val="none" w:sz="0" w:space="0" w:color="auto"/>
            <w:bottom w:val="none" w:sz="0" w:space="0" w:color="auto"/>
            <w:right w:val="none" w:sz="0" w:space="0" w:color="auto"/>
          </w:divBdr>
          <w:divsChild>
            <w:div w:id="622268122">
              <w:marLeft w:val="0"/>
              <w:marRight w:val="0"/>
              <w:marTop w:val="0"/>
              <w:marBottom w:val="0"/>
              <w:divBdr>
                <w:top w:val="none" w:sz="0" w:space="0" w:color="auto"/>
                <w:left w:val="none" w:sz="0" w:space="0" w:color="auto"/>
                <w:bottom w:val="none" w:sz="0" w:space="0" w:color="auto"/>
                <w:right w:val="none" w:sz="0" w:space="0" w:color="auto"/>
              </w:divBdr>
              <w:divsChild>
                <w:div w:id="49691660">
                  <w:marLeft w:val="0"/>
                  <w:marRight w:val="0"/>
                  <w:marTop w:val="105"/>
                  <w:marBottom w:val="0"/>
                  <w:divBdr>
                    <w:top w:val="none" w:sz="0" w:space="0" w:color="auto"/>
                    <w:left w:val="none" w:sz="0" w:space="0" w:color="auto"/>
                    <w:bottom w:val="none" w:sz="0" w:space="0" w:color="auto"/>
                    <w:right w:val="none" w:sz="0" w:space="0" w:color="auto"/>
                  </w:divBdr>
                  <w:divsChild>
                    <w:div w:id="1543206797">
                      <w:marLeft w:val="450"/>
                      <w:marRight w:val="225"/>
                      <w:marTop w:val="0"/>
                      <w:marBottom w:val="0"/>
                      <w:divBdr>
                        <w:top w:val="none" w:sz="0" w:space="0" w:color="auto"/>
                        <w:left w:val="none" w:sz="0" w:space="0" w:color="auto"/>
                        <w:bottom w:val="none" w:sz="0" w:space="0" w:color="auto"/>
                        <w:right w:val="none" w:sz="0" w:space="0" w:color="auto"/>
                      </w:divBdr>
                      <w:divsChild>
                        <w:div w:id="1367367949">
                          <w:marLeft w:val="0"/>
                          <w:marRight w:val="0"/>
                          <w:marTop w:val="0"/>
                          <w:marBottom w:val="600"/>
                          <w:divBdr>
                            <w:top w:val="single" w:sz="6" w:space="0" w:color="314664"/>
                            <w:left w:val="single" w:sz="6" w:space="0" w:color="314664"/>
                            <w:bottom w:val="single" w:sz="6" w:space="0" w:color="314664"/>
                            <w:right w:val="single" w:sz="6" w:space="0" w:color="314664"/>
                          </w:divBdr>
                          <w:divsChild>
                            <w:div w:id="1648705636">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1253709517">
                                      <w:marLeft w:val="0"/>
                                      <w:marRight w:val="0"/>
                                      <w:marTop w:val="0"/>
                                      <w:marBottom w:val="0"/>
                                      <w:divBdr>
                                        <w:top w:val="none" w:sz="0" w:space="0" w:color="auto"/>
                                        <w:left w:val="none" w:sz="0" w:space="0" w:color="auto"/>
                                        <w:bottom w:val="none" w:sz="0" w:space="0" w:color="auto"/>
                                        <w:right w:val="none" w:sz="0" w:space="0" w:color="auto"/>
                                      </w:divBdr>
                                      <w:divsChild>
                                        <w:div w:id="1274171259">
                                          <w:marLeft w:val="0"/>
                                          <w:marRight w:val="0"/>
                                          <w:marTop w:val="0"/>
                                          <w:marBottom w:val="0"/>
                                          <w:divBdr>
                                            <w:top w:val="none" w:sz="0" w:space="0" w:color="auto"/>
                                            <w:left w:val="none" w:sz="0" w:space="0" w:color="auto"/>
                                            <w:bottom w:val="none" w:sz="0" w:space="0" w:color="auto"/>
                                            <w:right w:val="none" w:sz="0" w:space="0" w:color="auto"/>
                                          </w:divBdr>
                                          <w:divsChild>
                                            <w:div w:id="1288466275">
                                              <w:marLeft w:val="0"/>
                                              <w:marRight w:val="0"/>
                                              <w:marTop w:val="0"/>
                                              <w:marBottom w:val="0"/>
                                              <w:divBdr>
                                                <w:top w:val="none" w:sz="0" w:space="0" w:color="auto"/>
                                                <w:left w:val="none" w:sz="0" w:space="0" w:color="auto"/>
                                                <w:bottom w:val="none" w:sz="0" w:space="0" w:color="auto"/>
                                                <w:right w:val="none" w:sz="0" w:space="0" w:color="auto"/>
                                              </w:divBdr>
                                              <w:divsChild>
                                                <w:div w:id="1920292015">
                                                  <w:marLeft w:val="0"/>
                                                  <w:marRight w:val="0"/>
                                                  <w:marTop w:val="0"/>
                                                  <w:marBottom w:val="0"/>
                                                  <w:divBdr>
                                                    <w:top w:val="none" w:sz="0" w:space="0" w:color="auto"/>
                                                    <w:left w:val="none" w:sz="0" w:space="0" w:color="auto"/>
                                                    <w:bottom w:val="none" w:sz="0" w:space="0" w:color="auto"/>
                                                    <w:right w:val="none" w:sz="0" w:space="0" w:color="auto"/>
                                                  </w:divBdr>
                                                  <w:divsChild>
                                                    <w:div w:id="710687190">
                                                      <w:marLeft w:val="0"/>
                                                      <w:marRight w:val="0"/>
                                                      <w:marTop w:val="0"/>
                                                      <w:marBottom w:val="0"/>
                                                      <w:divBdr>
                                                        <w:top w:val="none" w:sz="0" w:space="0" w:color="auto"/>
                                                        <w:left w:val="none" w:sz="0" w:space="0" w:color="auto"/>
                                                        <w:bottom w:val="none" w:sz="0" w:space="0" w:color="auto"/>
                                                        <w:right w:val="none" w:sz="0" w:space="0" w:color="auto"/>
                                                      </w:divBdr>
                                                    </w:div>
                                                    <w:div w:id="1870491006">
                                                      <w:marLeft w:val="0"/>
                                                      <w:marRight w:val="0"/>
                                                      <w:marTop w:val="0"/>
                                                      <w:marBottom w:val="0"/>
                                                      <w:divBdr>
                                                        <w:top w:val="none" w:sz="0" w:space="0" w:color="auto"/>
                                                        <w:left w:val="none" w:sz="0" w:space="0" w:color="auto"/>
                                                        <w:bottom w:val="none" w:sz="0" w:space="0" w:color="auto"/>
                                                        <w:right w:val="none" w:sz="0" w:space="0" w:color="auto"/>
                                                      </w:divBdr>
                                                      <w:divsChild>
                                                        <w:div w:id="700670592">
                                                          <w:marLeft w:val="-720"/>
                                                          <w:marRight w:val="0"/>
                                                          <w:marTop w:val="0"/>
                                                          <w:marBottom w:val="0"/>
                                                          <w:divBdr>
                                                            <w:top w:val="none" w:sz="0" w:space="0" w:color="auto"/>
                                                            <w:left w:val="none" w:sz="0" w:space="0" w:color="auto"/>
                                                            <w:bottom w:val="none" w:sz="0" w:space="0" w:color="auto"/>
                                                            <w:right w:val="none" w:sz="0" w:space="0" w:color="auto"/>
                                                          </w:divBdr>
                                                          <w:divsChild>
                                                            <w:div w:id="10041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951395">
      <w:bodyDiv w:val="1"/>
      <w:marLeft w:val="0"/>
      <w:marRight w:val="0"/>
      <w:marTop w:val="0"/>
      <w:marBottom w:val="0"/>
      <w:divBdr>
        <w:top w:val="none" w:sz="0" w:space="0" w:color="auto"/>
        <w:left w:val="none" w:sz="0" w:space="0" w:color="auto"/>
        <w:bottom w:val="none" w:sz="0" w:space="0" w:color="auto"/>
        <w:right w:val="none" w:sz="0" w:space="0" w:color="auto"/>
      </w:divBdr>
    </w:div>
    <w:div w:id="1862626044">
      <w:bodyDiv w:val="1"/>
      <w:marLeft w:val="0"/>
      <w:marRight w:val="0"/>
      <w:marTop w:val="0"/>
      <w:marBottom w:val="0"/>
      <w:divBdr>
        <w:top w:val="none" w:sz="0" w:space="0" w:color="auto"/>
        <w:left w:val="none" w:sz="0" w:space="0" w:color="auto"/>
        <w:bottom w:val="none" w:sz="0" w:space="0" w:color="auto"/>
        <w:right w:val="none" w:sz="0" w:space="0" w:color="auto"/>
      </w:divBdr>
      <w:divsChild>
        <w:div w:id="182131349">
          <w:marLeft w:val="1166"/>
          <w:marRight w:val="0"/>
          <w:marTop w:val="0"/>
          <w:marBottom w:val="0"/>
          <w:divBdr>
            <w:top w:val="none" w:sz="0" w:space="0" w:color="auto"/>
            <w:left w:val="none" w:sz="0" w:space="0" w:color="auto"/>
            <w:bottom w:val="none" w:sz="0" w:space="0" w:color="auto"/>
            <w:right w:val="none" w:sz="0" w:space="0" w:color="auto"/>
          </w:divBdr>
        </w:div>
        <w:div w:id="196361510">
          <w:marLeft w:val="547"/>
          <w:marRight w:val="0"/>
          <w:marTop w:val="110"/>
          <w:marBottom w:val="0"/>
          <w:divBdr>
            <w:top w:val="none" w:sz="0" w:space="0" w:color="auto"/>
            <w:left w:val="none" w:sz="0" w:space="0" w:color="auto"/>
            <w:bottom w:val="none" w:sz="0" w:space="0" w:color="auto"/>
            <w:right w:val="none" w:sz="0" w:space="0" w:color="auto"/>
          </w:divBdr>
        </w:div>
        <w:div w:id="915744224">
          <w:marLeft w:val="547"/>
          <w:marRight w:val="0"/>
          <w:marTop w:val="110"/>
          <w:marBottom w:val="0"/>
          <w:divBdr>
            <w:top w:val="none" w:sz="0" w:space="0" w:color="auto"/>
            <w:left w:val="none" w:sz="0" w:space="0" w:color="auto"/>
            <w:bottom w:val="none" w:sz="0" w:space="0" w:color="auto"/>
            <w:right w:val="none" w:sz="0" w:space="0" w:color="auto"/>
          </w:divBdr>
        </w:div>
        <w:div w:id="1209338591">
          <w:marLeft w:val="1166"/>
          <w:marRight w:val="0"/>
          <w:marTop w:val="0"/>
          <w:marBottom w:val="0"/>
          <w:divBdr>
            <w:top w:val="none" w:sz="0" w:space="0" w:color="auto"/>
            <w:left w:val="none" w:sz="0" w:space="0" w:color="auto"/>
            <w:bottom w:val="none" w:sz="0" w:space="0" w:color="auto"/>
            <w:right w:val="none" w:sz="0" w:space="0" w:color="auto"/>
          </w:divBdr>
        </w:div>
      </w:divsChild>
    </w:div>
    <w:div w:id="1912546824">
      <w:bodyDiv w:val="1"/>
      <w:marLeft w:val="0"/>
      <w:marRight w:val="0"/>
      <w:marTop w:val="0"/>
      <w:marBottom w:val="0"/>
      <w:divBdr>
        <w:top w:val="none" w:sz="0" w:space="0" w:color="auto"/>
        <w:left w:val="none" w:sz="0" w:space="0" w:color="auto"/>
        <w:bottom w:val="none" w:sz="0" w:space="0" w:color="auto"/>
        <w:right w:val="none" w:sz="0" w:space="0" w:color="auto"/>
      </w:divBdr>
      <w:divsChild>
        <w:div w:id="483939010">
          <w:marLeft w:val="0"/>
          <w:marRight w:val="0"/>
          <w:marTop w:val="0"/>
          <w:marBottom w:val="0"/>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1158376056">
                  <w:marLeft w:val="150"/>
                  <w:marRight w:val="0"/>
                  <w:marTop w:val="0"/>
                  <w:marBottom w:val="0"/>
                  <w:divBdr>
                    <w:top w:val="none" w:sz="0" w:space="0" w:color="auto"/>
                    <w:left w:val="none" w:sz="0" w:space="0" w:color="auto"/>
                    <w:bottom w:val="none" w:sz="0" w:space="0" w:color="auto"/>
                    <w:right w:val="none" w:sz="0" w:space="0" w:color="auto"/>
                  </w:divBdr>
                  <w:divsChild>
                    <w:div w:id="1383099258">
                      <w:marLeft w:val="0"/>
                      <w:marRight w:val="0"/>
                      <w:marTop w:val="0"/>
                      <w:marBottom w:val="0"/>
                      <w:divBdr>
                        <w:top w:val="none" w:sz="0" w:space="0" w:color="auto"/>
                        <w:left w:val="none" w:sz="0" w:space="0" w:color="auto"/>
                        <w:bottom w:val="none" w:sz="0" w:space="0" w:color="auto"/>
                        <w:right w:val="none" w:sz="0" w:space="0" w:color="auto"/>
                      </w:divBdr>
                      <w:divsChild>
                        <w:div w:id="1673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88752">
      <w:bodyDiv w:val="1"/>
      <w:marLeft w:val="0"/>
      <w:marRight w:val="0"/>
      <w:marTop w:val="0"/>
      <w:marBottom w:val="0"/>
      <w:divBdr>
        <w:top w:val="none" w:sz="0" w:space="0" w:color="auto"/>
        <w:left w:val="none" w:sz="0" w:space="0" w:color="auto"/>
        <w:bottom w:val="none" w:sz="0" w:space="0" w:color="auto"/>
        <w:right w:val="none" w:sz="0" w:space="0" w:color="auto"/>
      </w:divBdr>
      <w:divsChild>
        <w:div w:id="90247158">
          <w:marLeft w:val="547"/>
          <w:marRight w:val="0"/>
          <w:marTop w:val="110"/>
          <w:marBottom w:val="0"/>
          <w:divBdr>
            <w:top w:val="none" w:sz="0" w:space="0" w:color="auto"/>
            <w:left w:val="none" w:sz="0" w:space="0" w:color="auto"/>
            <w:bottom w:val="none" w:sz="0" w:space="0" w:color="auto"/>
            <w:right w:val="none" w:sz="0" w:space="0" w:color="auto"/>
          </w:divBdr>
        </w:div>
        <w:div w:id="877086318">
          <w:marLeft w:val="1166"/>
          <w:marRight w:val="0"/>
          <w:marTop w:val="0"/>
          <w:marBottom w:val="0"/>
          <w:divBdr>
            <w:top w:val="none" w:sz="0" w:space="0" w:color="auto"/>
            <w:left w:val="none" w:sz="0" w:space="0" w:color="auto"/>
            <w:bottom w:val="none" w:sz="0" w:space="0" w:color="auto"/>
            <w:right w:val="none" w:sz="0" w:space="0" w:color="auto"/>
          </w:divBdr>
        </w:div>
        <w:div w:id="1557810942">
          <w:marLeft w:val="547"/>
          <w:marRight w:val="0"/>
          <w:marTop w:val="110"/>
          <w:marBottom w:val="0"/>
          <w:divBdr>
            <w:top w:val="none" w:sz="0" w:space="0" w:color="auto"/>
            <w:left w:val="none" w:sz="0" w:space="0" w:color="auto"/>
            <w:bottom w:val="none" w:sz="0" w:space="0" w:color="auto"/>
            <w:right w:val="none" w:sz="0" w:space="0" w:color="auto"/>
          </w:divBdr>
        </w:div>
        <w:div w:id="199683906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taxpolicy.ird.govt.nz/publications/2015-sr-property-information-requirements/overview"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8660</Words>
  <Characters>41833</Characters>
  <Application>Microsoft Office Word</Application>
  <DocSecurity>0</DocSecurity>
  <Lines>1130</Lines>
  <Paragraphs>459</Paragraphs>
  <ScaleCrop>false</ScaleCrop>
  <HeadingPairs>
    <vt:vector size="2" baseType="variant">
      <vt:variant>
        <vt:lpstr>Title</vt:lpstr>
      </vt:variant>
      <vt:variant>
        <vt:i4>1</vt:i4>
      </vt:variant>
    </vt:vector>
  </HeadingPairs>
  <TitlesOfParts>
    <vt:vector size="1" baseType="lpstr">
      <vt:lpstr>Special report on the bright-line test for residential land (November 2015)</vt:lpstr>
    </vt:vector>
  </TitlesOfParts>
  <Company>Inland Revenue</Company>
  <LinksUpToDate>false</LinksUpToDate>
  <CharactersWithSpaces>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bright-line test for residential land (November 2015)</dc:title>
  <dc:subject/>
  <dc:creator>Policy and Strategy</dc:creator>
  <dc:description>Published November 2015</dc:description>
  <cp:lastModifiedBy>Wendy Watkin</cp:lastModifiedBy>
  <cp:revision>2</cp:revision>
  <dcterms:created xsi:type="dcterms:W3CDTF">2015-11-18T02:30:00Z</dcterms:created>
  <dcterms:modified xsi:type="dcterms:W3CDTF">2015-11-18T02:31:00Z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