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12" w:rsidRPr="004C2818" w:rsidRDefault="00AB7312" w:rsidP="00672439">
      <w:pPr>
        <w:pStyle w:val="RISheading"/>
        <w:spacing w:line="240" w:lineRule="auto"/>
        <w:jc w:val="center"/>
        <w:rPr>
          <w:w w:val="100"/>
          <w:sz w:val="32"/>
          <w:szCs w:val="32"/>
          <w:lang w:val="en-NZ"/>
        </w:rPr>
      </w:pPr>
      <w:bookmarkStart w:id="0" w:name="_Regulatory_Impact_Statement"/>
      <w:bookmarkStart w:id="1" w:name="_Toc244580362"/>
      <w:bookmarkStart w:id="2" w:name="_Toc244587038"/>
      <w:bookmarkStart w:id="3" w:name="_Toc244857272"/>
      <w:bookmarkStart w:id="4" w:name="_Toc244912537"/>
      <w:bookmarkStart w:id="5" w:name="_Toc244916994"/>
      <w:bookmarkEnd w:id="0"/>
      <w:r w:rsidRPr="004C2818">
        <w:rPr>
          <w:w w:val="100"/>
          <w:sz w:val="32"/>
          <w:szCs w:val="32"/>
          <w:lang w:val="en-NZ"/>
        </w:rPr>
        <w:t>Regulatory Impact Statement</w:t>
      </w:r>
      <w:bookmarkEnd w:id="1"/>
      <w:bookmarkEnd w:id="2"/>
      <w:bookmarkEnd w:id="3"/>
      <w:bookmarkEnd w:id="4"/>
      <w:bookmarkEnd w:id="5"/>
    </w:p>
    <w:p w:rsidR="00AB7312" w:rsidRPr="004C2818" w:rsidRDefault="00AB7312" w:rsidP="00672439">
      <w:pPr>
        <w:tabs>
          <w:tab w:val="left" w:pos="540"/>
        </w:tabs>
        <w:jc w:val="both"/>
        <w:rPr>
          <w:b/>
        </w:rPr>
      </w:pPr>
    </w:p>
    <w:p w:rsidR="00B57CDE" w:rsidRPr="004C2818" w:rsidRDefault="00B57CDE" w:rsidP="00672439">
      <w:pPr>
        <w:tabs>
          <w:tab w:val="left" w:pos="540"/>
        </w:tabs>
        <w:jc w:val="both"/>
        <w:rPr>
          <w:b/>
        </w:rPr>
      </w:pPr>
    </w:p>
    <w:p w:rsidR="00AB7312" w:rsidRPr="004C2818" w:rsidRDefault="00584E6C" w:rsidP="00672439">
      <w:pPr>
        <w:tabs>
          <w:tab w:val="left" w:pos="540"/>
        </w:tabs>
        <w:jc w:val="both"/>
      </w:pPr>
      <w:bookmarkStart w:id="6" w:name="_GoBack"/>
      <w:r>
        <w:rPr>
          <w:b/>
        </w:rPr>
        <w:t>Address</w:t>
      </w:r>
      <w:r w:rsidR="00C20E9E">
        <w:rPr>
          <w:b/>
        </w:rPr>
        <w:t>ing</w:t>
      </w:r>
      <w:r w:rsidR="009740BC">
        <w:rPr>
          <w:b/>
        </w:rPr>
        <w:t xml:space="preserve"> c</w:t>
      </w:r>
      <w:r w:rsidR="00AB7312" w:rsidRPr="004C2818">
        <w:rPr>
          <w:b/>
        </w:rPr>
        <w:t xml:space="preserve">hild </w:t>
      </w:r>
      <w:r w:rsidR="00296684" w:rsidRPr="004C2818">
        <w:rPr>
          <w:b/>
        </w:rPr>
        <w:t>s</w:t>
      </w:r>
      <w:r w:rsidR="00AB7312" w:rsidRPr="004C2818">
        <w:rPr>
          <w:b/>
        </w:rPr>
        <w:t xml:space="preserve">upport </w:t>
      </w:r>
      <w:r w:rsidR="001A2F30">
        <w:rPr>
          <w:b/>
        </w:rPr>
        <w:t xml:space="preserve">legacy </w:t>
      </w:r>
      <w:r w:rsidR="00C20E9E">
        <w:rPr>
          <w:b/>
        </w:rPr>
        <w:t>debt</w:t>
      </w:r>
    </w:p>
    <w:bookmarkEnd w:id="6"/>
    <w:p w:rsidR="00AB7312" w:rsidRPr="004C2818" w:rsidRDefault="00AB7312" w:rsidP="00672439">
      <w:pPr>
        <w:tabs>
          <w:tab w:val="left" w:pos="540"/>
        </w:tabs>
        <w:jc w:val="both"/>
      </w:pPr>
    </w:p>
    <w:p w:rsidR="00AB7312" w:rsidRPr="004C2818" w:rsidRDefault="00AB7312" w:rsidP="00672439">
      <w:pPr>
        <w:pStyle w:val="TRBodyText"/>
        <w:tabs>
          <w:tab w:val="left" w:pos="540"/>
        </w:tabs>
        <w:spacing w:line="240" w:lineRule="auto"/>
        <w:rPr>
          <w:b/>
        </w:rPr>
      </w:pPr>
      <w:r w:rsidRPr="004C2818">
        <w:rPr>
          <w:b/>
        </w:rPr>
        <w:t>AGENCY DISCLOSURE STATEMENT</w:t>
      </w:r>
    </w:p>
    <w:p w:rsidR="00AB7312" w:rsidRPr="004C2818" w:rsidRDefault="00AB7312" w:rsidP="00672439">
      <w:pPr>
        <w:pStyle w:val="TRBodyText"/>
        <w:tabs>
          <w:tab w:val="left" w:pos="540"/>
        </w:tabs>
        <w:spacing w:line="240" w:lineRule="auto"/>
      </w:pPr>
    </w:p>
    <w:p w:rsidR="00863B81" w:rsidRPr="004C2818" w:rsidRDefault="00AB7312" w:rsidP="00672439">
      <w:pPr>
        <w:pStyle w:val="TRBodyText"/>
        <w:tabs>
          <w:tab w:val="left" w:pos="540"/>
        </w:tabs>
        <w:spacing w:line="240" w:lineRule="auto"/>
      </w:pPr>
      <w:r w:rsidRPr="004C2818">
        <w:t xml:space="preserve">This </w:t>
      </w:r>
      <w:r w:rsidR="009740BC">
        <w:t>R</w:t>
      </w:r>
      <w:r w:rsidRPr="004C2818">
        <w:t xml:space="preserve">egulatory </w:t>
      </w:r>
      <w:r w:rsidR="009740BC">
        <w:t>I</w:t>
      </w:r>
      <w:r w:rsidRPr="004C2818">
        <w:t xml:space="preserve">mpact </w:t>
      </w:r>
      <w:r w:rsidR="009740BC">
        <w:t>S</w:t>
      </w:r>
      <w:r w:rsidRPr="004C2818">
        <w:t>tatement has be</w:t>
      </w:r>
      <w:r w:rsidR="004C2818">
        <w:t>en prepared by Inland Revenue.</w:t>
      </w:r>
    </w:p>
    <w:p w:rsidR="00863B81" w:rsidRPr="004C2818" w:rsidRDefault="00863B81" w:rsidP="00672439">
      <w:pPr>
        <w:pStyle w:val="TRBodyText"/>
        <w:tabs>
          <w:tab w:val="left" w:pos="540"/>
        </w:tabs>
        <w:spacing w:line="240" w:lineRule="auto"/>
      </w:pPr>
    </w:p>
    <w:p w:rsidR="009740BC" w:rsidRDefault="00436010" w:rsidP="00672439">
      <w:pPr>
        <w:pStyle w:val="TRBodyText"/>
        <w:tabs>
          <w:tab w:val="left" w:pos="540"/>
        </w:tabs>
        <w:spacing w:line="240" w:lineRule="auto"/>
      </w:pPr>
      <w:r>
        <w:t>The statement</w:t>
      </w:r>
      <w:r w:rsidR="009740BC">
        <w:t xml:space="preserve"> provides an analysis of options to </w:t>
      </w:r>
      <w:r w:rsidR="004100EE">
        <w:t xml:space="preserve">strengthen the </w:t>
      </w:r>
      <w:r w:rsidR="009740BC">
        <w:t>child support scheme reforms</w:t>
      </w:r>
      <w:r w:rsidR="004100EE">
        <w:t xml:space="preserve"> </w:t>
      </w:r>
      <w:r w:rsidR="009740BC">
        <w:t>enacted in 2013</w:t>
      </w:r>
      <w:r w:rsidR="004100EE">
        <w:t xml:space="preserve"> (not yet in force)</w:t>
      </w:r>
      <w:r w:rsidR="009740BC">
        <w:t xml:space="preserve"> </w:t>
      </w:r>
      <w:r w:rsidR="004100EE">
        <w:t>and</w:t>
      </w:r>
      <w:r w:rsidR="009740BC">
        <w:t xml:space="preserve"> </w:t>
      </w:r>
      <w:r w:rsidR="004100EE">
        <w:t>scheduled for amendment in 2015 to recognise the increased priority of reducing child</w:t>
      </w:r>
      <w:r w:rsidR="006A4DAF">
        <w:t xml:space="preserve"> support </w:t>
      </w:r>
      <w:r w:rsidR="00045403">
        <w:t xml:space="preserve">legacy </w:t>
      </w:r>
      <w:r w:rsidR="006A4DAF">
        <w:t>debt</w:t>
      </w:r>
      <w:r w:rsidR="00045403">
        <w:t>.</w:t>
      </w:r>
      <w:r w:rsidR="009740BC">
        <w:t xml:space="preserve"> </w:t>
      </w:r>
      <w:r w:rsidR="00CB2BD5">
        <w:t xml:space="preserve"> Analysis focuses on increasing incentives to pay debt and improving flexibility for the Commissioner of Inland Revenue to negotiate payment arrangements and more pragmatically manage the legacy debt book.</w:t>
      </w:r>
    </w:p>
    <w:p w:rsidR="009740BC" w:rsidRDefault="009740BC" w:rsidP="00672439">
      <w:pPr>
        <w:pStyle w:val="TRBodyText"/>
        <w:tabs>
          <w:tab w:val="left" w:pos="540"/>
        </w:tabs>
        <w:spacing w:line="240" w:lineRule="auto"/>
      </w:pPr>
    </w:p>
    <w:p w:rsidR="00766DD9" w:rsidRPr="00766DD9" w:rsidRDefault="00766DD9" w:rsidP="00672439">
      <w:pPr>
        <w:pStyle w:val="TRBodyText"/>
        <w:tabs>
          <w:tab w:val="left" w:pos="540"/>
        </w:tabs>
        <w:spacing w:line="240" w:lineRule="auto"/>
      </w:pPr>
      <w:r>
        <w:t xml:space="preserve">The decision to introduce the child support reforms was accompanied by a Regulatory Impact Statement (RIS) </w:t>
      </w:r>
      <w:r>
        <w:rPr>
          <w:i/>
        </w:rPr>
        <w:t>Child support scheme reform</w:t>
      </w:r>
      <w:r>
        <w:t xml:space="preserve"> of 26 July 2011. </w:t>
      </w:r>
      <w:r w:rsidR="00042BC5">
        <w:t xml:space="preserve"> </w:t>
      </w:r>
      <w:r w:rsidR="004100EE">
        <w:t xml:space="preserve">A review of the child support reforms in the context of benefits, implementation costs, and child support debt reduction was accompanied by a RIS </w:t>
      </w:r>
      <w:r w:rsidR="004100EE">
        <w:rPr>
          <w:i/>
        </w:rPr>
        <w:t>Review of child support scheme reform</w:t>
      </w:r>
      <w:r w:rsidR="004100EE">
        <w:t xml:space="preserve"> of 4 June 2014.  </w:t>
      </w:r>
      <w:r>
        <w:t>The earlier RIS</w:t>
      </w:r>
      <w:r w:rsidR="004100EE">
        <w:t>’</w:t>
      </w:r>
      <w:r>
        <w:t xml:space="preserve"> contai</w:t>
      </w:r>
      <w:r w:rsidR="004100EE">
        <w:t>n</w:t>
      </w:r>
      <w:r>
        <w:t xml:space="preserve"> background information and analysis that is useful to the options considered in this RIS</w:t>
      </w:r>
      <w:r w:rsidR="000C491E">
        <w:t>.</w:t>
      </w:r>
    </w:p>
    <w:p w:rsidR="00AB7312" w:rsidRDefault="00AB7312" w:rsidP="00672439">
      <w:pPr>
        <w:pStyle w:val="TRBodyText"/>
        <w:tabs>
          <w:tab w:val="left" w:pos="540"/>
        </w:tabs>
        <w:spacing w:line="240" w:lineRule="auto"/>
      </w:pPr>
    </w:p>
    <w:p w:rsidR="00AB7312" w:rsidRPr="004C2818" w:rsidRDefault="00CE09E7" w:rsidP="00993C53">
      <w:pPr>
        <w:pStyle w:val="TRBodyText"/>
        <w:tabs>
          <w:tab w:val="left" w:pos="567"/>
        </w:tabs>
        <w:spacing w:line="240" w:lineRule="auto"/>
      </w:pPr>
      <w:r w:rsidRPr="004C2818">
        <w:t xml:space="preserve">There </w:t>
      </w:r>
      <w:r w:rsidR="00BE66D6">
        <w:t>was</w:t>
      </w:r>
      <w:r w:rsidRPr="004C2818">
        <w:t xml:space="preserve"> c</w:t>
      </w:r>
      <w:r w:rsidR="00AB7312" w:rsidRPr="004C2818">
        <w:t>onsultation with a range of Government agencies</w:t>
      </w:r>
      <w:r w:rsidRPr="004C2818">
        <w:t xml:space="preserve"> </w:t>
      </w:r>
      <w:r w:rsidR="002B58B5">
        <w:t xml:space="preserve">and significant public consultation </w:t>
      </w:r>
      <w:r w:rsidRPr="004C2818">
        <w:t xml:space="preserve">on child support issues over a </w:t>
      </w:r>
      <w:r w:rsidR="001D72E8">
        <w:t xml:space="preserve">long </w:t>
      </w:r>
      <w:r w:rsidRPr="004C2818">
        <w:t>period of time</w:t>
      </w:r>
      <w:r w:rsidR="002B58B5">
        <w:t xml:space="preserve"> culminating in the Child Support Amendment Act 2013.</w:t>
      </w:r>
      <w:r w:rsidR="00296684" w:rsidRPr="004C2818">
        <w:t xml:space="preserve"> </w:t>
      </w:r>
      <w:r w:rsidR="00F65706">
        <w:t xml:space="preserve"> </w:t>
      </w:r>
      <w:r w:rsidR="000C491E">
        <w:t xml:space="preserve">There was limited </w:t>
      </w:r>
      <w:r w:rsidR="002B58B5">
        <w:t xml:space="preserve">consultation on </w:t>
      </w:r>
      <w:r w:rsidR="001D72E8">
        <w:t xml:space="preserve">the </w:t>
      </w:r>
      <w:r w:rsidR="002B58B5">
        <w:t>subsequent options</w:t>
      </w:r>
      <w:r w:rsidR="001D72E8">
        <w:t xml:space="preserve"> in </w:t>
      </w:r>
      <w:r w:rsidR="000C491E">
        <w:t xml:space="preserve">the RIS </w:t>
      </w:r>
      <w:r w:rsidR="000C491E">
        <w:rPr>
          <w:i/>
        </w:rPr>
        <w:t xml:space="preserve">Review of child support scheme reform </w:t>
      </w:r>
      <w:r w:rsidR="000C491E">
        <w:t>given</w:t>
      </w:r>
      <w:r w:rsidR="002B58B5">
        <w:t xml:space="preserve"> </w:t>
      </w:r>
      <w:r w:rsidR="006A4DAF">
        <w:t>timing constraints on decision</w:t>
      </w:r>
      <w:r w:rsidR="006A4DAF">
        <w:noBreakHyphen/>
        <w:t>making</w:t>
      </w:r>
      <w:r w:rsidR="0034300E">
        <w:t xml:space="preserve"> and the sensitivity of the decisions being considered</w:t>
      </w:r>
      <w:r w:rsidR="00B54779">
        <w:t>.</w:t>
      </w:r>
      <w:r w:rsidR="000C491E">
        <w:t xml:space="preserve">  There has been limited consultation on the options in this statement </w:t>
      </w:r>
      <w:r w:rsidR="00094C7A">
        <w:t>for the same reasons.</w:t>
      </w:r>
    </w:p>
    <w:p w:rsidR="00C62176" w:rsidRPr="004C2818" w:rsidRDefault="00C62176" w:rsidP="00672439">
      <w:pPr>
        <w:pStyle w:val="TRBodyText"/>
        <w:spacing w:line="240" w:lineRule="auto"/>
      </w:pPr>
    </w:p>
    <w:p w:rsidR="006D789F" w:rsidRDefault="00913F21" w:rsidP="006D789F">
      <w:pPr>
        <w:pStyle w:val="TRBodyText"/>
        <w:tabs>
          <w:tab w:val="left" w:pos="540"/>
        </w:tabs>
        <w:spacing w:line="240" w:lineRule="auto"/>
      </w:pPr>
      <w:r w:rsidRPr="00E15638">
        <w:t>Some assumptions have been made on the number of people who may be affected by aspects of the reforms yet to come into force and the likely impact on compliance behaviour, based on existing administrative data.</w:t>
      </w:r>
      <w:r w:rsidR="00F65706" w:rsidRPr="00E15638">
        <w:t xml:space="preserve"> </w:t>
      </w:r>
      <w:r w:rsidR="00042BC5" w:rsidRPr="00E15638">
        <w:t xml:space="preserve"> </w:t>
      </w:r>
      <w:r w:rsidR="00E54454" w:rsidRPr="00E15638">
        <w:t xml:space="preserve">These assumptions </w:t>
      </w:r>
      <w:r w:rsidR="000C491E" w:rsidRPr="00E15638">
        <w:t xml:space="preserve">affect analysis on the </w:t>
      </w:r>
      <w:r w:rsidR="00E54454" w:rsidRPr="00E15638">
        <w:t>impact on the debt book.</w:t>
      </w:r>
      <w:r w:rsidR="000C491E" w:rsidRPr="00E15638">
        <w:t xml:space="preserve"> </w:t>
      </w:r>
    </w:p>
    <w:p w:rsidR="00913F21" w:rsidRDefault="00913F21" w:rsidP="006D789F">
      <w:pPr>
        <w:pStyle w:val="TRBodyText"/>
        <w:tabs>
          <w:tab w:val="left" w:pos="540"/>
        </w:tabs>
        <w:spacing w:line="240" w:lineRule="auto"/>
      </w:pPr>
    </w:p>
    <w:p w:rsidR="00C62176" w:rsidRDefault="00555DE4" w:rsidP="006D789F">
      <w:pPr>
        <w:pStyle w:val="TRBodyText"/>
        <w:tabs>
          <w:tab w:val="left" w:pos="540"/>
        </w:tabs>
        <w:spacing w:line="240" w:lineRule="auto"/>
      </w:pPr>
      <w:r>
        <w:t xml:space="preserve">A time constraint exists </w:t>
      </w:r>
      <w:r w:rsidR="001C1C89">
        <w:t>for</w:t>
      </w:r>
      <w:r>
        <w:t xml:space="preserve"> the recommended option as the option is designed to support the </w:t>
      </w:r>
      <w:r w:rsidR="005A0EA8">
        <w:t xml:space="preserve"> </w:t>
      </w:r>
      <w:r>
        <w:t xml:space="preserve">child support reforms scheduled for amendment through the Taxation (Annual Rates for 2015-16, Research and Development, and Remedial Matters) Bill (the Bill) </w:t>
      </w:r>
      <w:r w:rsidR="005A0EA8">
        <w:t xml:space="preserve">that was </w:t>
      </w:r>
      <w:proofErr w:type="gramStart"/>
      <w:r w:rsidR="005A0EA8">
        <w:t>introduced</w:t>
      </w:r>
      <w:proofErr w:type="gramEnd"/>
      <w:r w:rsidR="005A0EA8">
        <w:t xml:space="preserve"> on 26</w:t>
      </w:r>
      <w:r>
        <w:t xml:space="preserve"> February 2015.  The ability for Inland Revenue to deliver the recommended option relies on the option being reflected in the Bill and the scope, timing and drafting of the option remaining unchanged throughout the legislative process.  </w:t>
      </w:r>
      <w:r w:rsidR="00913F21">
        <w:t>T</w:t>
      </w:r>
      <w:r w:rsidR="00C62176" w:rsidRPr="00C62176">
        <w:t xml:space="preserve">here are no </w:t>
      </w:r>
      <w:r w:rsidR="00913F21">
        <w:t xml:space="preserve">other </w:t>
      </w:r>
      <w:r w:rsidR="00C62176" w:rsidRPr="00C62176">
        <w:t xml:space="preserve">significant constraints, caveats and uncertainties concerning the regulatory analysis undertaken.  </w:t>
      </w:r>
    </w:p>
    <w:p w:rsidR="00C62176" w:rsidRDefault="00C62176" w:rsidP="006D789F">
      <w:pPr>
        <w:pStyle w:val="TRBodyText"/>
        <w:tabs>
          <w:tab w:val="left" w:pos="540"/>
        </w:tabs>
        <w:spacing w:line="240" w:lineRule="auto"/>
      </w:pPr>
    </w:p>
    <w:p w:rsidR="00AB7312" w:rsidRPr="004C2818" w:rsidRDefault="00AB7312" w:rsidP="006D789F">
      <w:pPr>
        <w:pStyle w:val="TRBodyText"/>
        <w:tabs>
          <w:tab w:val="left" w:pos="540"/>
        </w:tabs>
        <w:spacing w:line="240" w:lineRule="auto"/>
      </w:pPr>
      <w:r w:rsidRPr="004C2818">
        <w:t xml:space="preserve">None of the policy options would restrict market competition, reduce the incentives </w:t>
      </w:r>
      <w:r w:rsidR="0036140C" w:rsidRPr="004C2818">
        <w:t>for</w:t>
      </w:r>
      <w:r w:rsidRPr="004C2818">
        <w:t xml:space="preserve"> businesses to innovate and invest, unduly impair private property rights or override funda</w:t>
      </w:r>
      <w:r w:rsidR="00555DE4">
        <w:t>mental common law principles.</w:t>
      </w:r>
    </w:p>
    <w:p w:rsidR="00AB7312" w:rsidRDefault="00AB7312" w:rsidP="00672439">
      <w:pPr>
        <w:pStyle w:val="Text"/>
        <w:tabs>
          <w:tab w:val="left" w:pos="567"/>
        </w:tabs>
        <w:spacing w:before="0" w:after="0" w:line="240" w:lineRule="auto"/>
        <w:ind w:right="170"/>
        <w:rPr>
          <w:rFonts w:ascii="Times New Roman" w:hAnsi="Times New Roman"/>
          <w:sz w:val="24"/>
          <w:lang w:val="en-NZ"/>
        </w:rPr>
      </w:pPr>
    </w:p>
    <w:p w:rsidR="001647AE" w:rsidRDefault="001647AE" w:rsidP="00672439">
      <w:pPr>
        <w:pStyle w:val="Text"/>
        <w:tabs>
          <w:tab w:val="left" w:pos="567"/>
        </w:tabs>
        <w:spacing w:before="0" w:after="0" w:line="240" w:lineRule="auto"/>
        <w:ind w:right="170"/>
        <w:rPr>
          <w:rFonts w:ascii="Times New Roman" w:hAnsi="Times New Roman"/>
          <w:sz w:val="24"/>
          <w:lang w:val="en-NZ"/>
        </w:rPr>
      </w:pPr>
    </w:p>
    <w:p w:rsidR="001647AE" w:rsidRPr="004C2818" w:rsidRDefault="001647AE" w:rsidP="00672439">
      <w:pPr>
        <w:pStyle w:val="Text"/>
        <w:tabs>
          <w:tab w:val="left" w:pos="567"/>
        </w:tabs>
        <w:spacing w:before="0" w:after="0" w:line="240" w:lineRule="auto"/>
        <w:ind w:right="170"/>
        <w:rPr>
          <w:rFonts w:ascii="Times New Roman" w:hAnsi="Times New Roman"/>
          <w:sz w:val="24"/>
          <w:lang w:val="en-NZ"/>
        </w:rPr>
      </w:pPr>
    </w:p>
    <w:p w:rsidR="00AB7312" w:rsidRPr="00B54779" w:rsidRDefault="00766DD9" w:rsidP="00672439">
      <w:pPr>
        <w:pStyle w:val="Text"/>
        <w:tabs>
          <w:tab w:val="left" w:pos="567"/>
        </w:tabs>
        <w:spacing w:before="0" w:after="0" w:line="240" w:lineRule="auto"/>
        <w:ind w:right="170"/>
        <w:rPr>
          <w:rFonts w:ascii="Times New Roman" w:hAnsi="Times New Roman"/>
          <w:sz w:val="24"/>
          <w:lang w:val="en-NZ"/>
        </w:rPr>
      </w:pPr>
      <w:r>
        <w:rPr>
          <w:rFonts w:ascii="Times New Roman" w:hAnsi="Times New Roman"/>
          <w:sz w:val="24"/>
          <w:lang w:val="en-NZ"/>
        </w:rPr>
        <w:t>C</w:t>
      </w:r>
      <w:r w:rsidR="00B54779" w:rsidRPr="00B54779">
        <w:rPr>
          <w:rFonts w:ascii="Times New Roman" w:hAnsi="Times New Roman"/>
          <w:sz w:val="24"/>
          <w:lang w:val="en-NZ"/>
        </w:rPr>
        <w:t>hr</w:t>
      </w:r>
      <w:r w:rsidR="00B54779">
        <w:rPr>
          <w:rFonts w:ascii="Times New Roman" w:hAnsi="Times New Roman"/>
          <w:sz w:val="24"/>
          <w:lang w:val="en-NZ"/>
        </w:rPr>
        <w:t>i</w:t>
      </w:r>
      <w:r w:rsidR="00B54779" w:rsidRPr="00B54779">
        <w:rPr>
          <w:rFonts w:ascii="Times New Roman" w:hAnsi="Times New Roman"/>
          <w:sz w:val="24"/>
          <w:lang w:val="en-NZ"/>
        </w:rPr>
        <w:t>s Gillion</w:t>
      </w:r>
    </w:p>
    <w:p w:rsidR="00AB7312" w:rsidRPr="004C2818" w:rsidRDefault="00AB7312" w:rsidP="00672439">
      <w:pPr>
        <w:pStyle w:val="Text"/>
        <w:tabs>
          <w:tab w:val="left" w:pos="567"/>
        </w:tabs>
        <w:spacing w:before="0" w:after="0" w:line="240" w:lineRule="auto"/>
        <w:ind w:right="170"/>
        <w:rPr>
          <w:rFonts w:ascii="Times New Roman" w:hAnsi="Times New Roman"/>
          <w:sz w:val="24"/>
          <w:lang w:val="en-NZ"/>
        </w:rPr>
      </w:pPr>
      <w:r w:rsidRPr="004C2818">
        <w:rPr>
          <w:rFonts w:ascii="Times New Roman" w:hAnsi="Times New Roman"/>
          <w:sz w:val="24"/>
          <w:lang w:val="en-NZ"/>
        </w:rPr>
        <w:t>Manager, Policy</w:t>
      </w:r>
      <w:r w:rsidR="001D72E8">
        <w:rPr>
          <w:rFonts w:ascii="Times New Roman" w:hAnsi="Times New Roman"/>
          <w:sz w:val="24"/>
          <w:lang w:val="en-NZ"/>
        </w:rPr>
        <w:t xml:space="preserve"> and Strategy</w:t>
      </w:r>
    </w:p>
    <w:p w:rsidR="00AB7312" w:rsidRPr="004C2818" w:rsidRDefault="00AB7312" w:rsidP="00672439">
      <w:pPr>
        <w:pStyle w:val="Text"/>
        <w:tabs>
          <w:tab w:val="left" w:pos="567"/>
        </w:tabs>
        <w:spacing w:before="0" w:after="0" w:line="240" w:lineRule="auto"/>
        <w:ind w:right="170"/>
        <w:rPr>
          <w:rFonts w:ascii="Times New Roman" w:hAnsi="Times New Roman"/>
          <w:sz w:val="24"/>
          <w:lang w:val="en-NZ"/>
        </w:rPr>
      </w:pPr>
      <w:r w:rsidRPr="004C2818">
        <w:rPr>
          <w:rFonts w:ascii="Times New Roman" w:hAnsi="Times New Roman"/>
          <w:sz w:val="24"/>
          <w:lang w:val="en-NZ"/>
        </w:rPr>
        <w:t>Inland Revenue</w:t>
      </w:r>
    </w:p>
    <w:p w:rsidR="00343460" w:rsidRPr="007E0A60" w:rsidRDefault="005A0EA8" w:rsidP="00672439">
      <w:pPr>
        <w:pStyle w:val="Text"/>
        <w:tabs>
          <w:tab w:val="left" w:pos="567"/>
        </w:tabs>
        <w:spacing w:before="0" w:after="0" w:line="240" w:lineRule="auto"/>
        <w:ind w:right="170"/>
        <w:rPr>
          <w:rFonts w:ascii="Times New Roman" w:hAnsi="Times New Roman"/>
          <w:sz w:val="24"/>
          <w:lang w:val="en-NZ"/>
        </w:rPr>
      </w:pPr>
      <w:r>
        <w:rPr>
          <w:rFonts w:ascii="Times New Roman" w:hAnsi="Times New Roman"/>
          <w:sz w:val="24"/>
          <w:lang w:val="en-NZ"/>
        </w:rPr>
        <w:t>07 May</w:t>
      </w:r>
      <w:r w:rsidR="002F633B">
        <w:rPr>
          <w:rFonts w:ascii="Times New Roman" w:hAnsi="Times New Roman"/>
          <w:sz w:val="24"/>
          <w:lang w:val="en-NZ"/>
        </w:rPr>
        <w:t xml:space="preserve"> 2015</w:t>
      </w:r>
    </w:p>
    <w:p w:rsidR="00343460" w:rsidRPr="004C2818" w:rsidRDefault="00343460" w:rsidP="00672439">
      <w:pPr>
        <w:pStyle w:val="Text"/>
        <w:tabs>
          <w:tab w:val="left" w:pos="567"/>
        </w:tabs>
        <w:spacing w:before="0" w:after="0" w:line="240" w:lineRule="auto"/>
        <w:ind w:right="170"/>
        <w:rPr>
          <w:rFonts w:ascii="Times New Roman" w:hAnsi="Times New Roman"/>
          <w:sz w:val="24"/>
          <w:lang w:val="en-NZ"/>
        </w:rPr>
        <w:sectPr w:rsidR="00343460" w:rsidRPr="004C2818" w:rsidSect="001647AE">
          <w:footerReference w:type="default" r:id="rId9"/>
          <w:pgSz w:w="11906" w:h="16838" w:code="9"/>
          <w:pgMar w:top="964" w:right="1418" w:bottom="964" w:left="1418" w:header="624" w:footer="624" w:gutter="0"/>
          <w:cols w:space="708"/>
          <w:docGrid w:linePitch="360"/>
        </w:sectPr>
      </w:pPr>
    </w:p>
    <w:p w:rsidR="00AB7312" w:rsidRPr="004C2818" w:rsidRDefault="00AB7312" w:rsidP="00672439">
      <w:pPr>
        <w:tabs>
          <w:tab w:val="left" w:pos="540"/>
        </w:tabs>
        <w:jc w:val="both"/>
        <w:rPr>
          <w:b/>
          <w:caps/>
        </w:rPr>
      </w:pPr>
      <w:r w:rsidRPr="004C2818">
        <w:rPr>
          <w:b/>
          <w:caps/>
        </w:rPr>
        <w:lastRenderedPageBreak/>
        <w:t>Status Quo and Problem</w:t>
      </w:r>
      <w:r w:rsidR="001D72E8">
        <w:rPr>
          <w:b/>
          <w:caps/>
        </w:rPr>
        <w:t xml:space="preserve"> Definition</w:t>
      </w:r>
    </w:p>
    <w:p w:rsidR="00CC6C74" w:rsidRPr="004C2818" w:rsidRDefault="00CC6C74" w:rsidP="00672439">
      <w:pPr>
        <w:pStyle w:val="TRBodyText"/>
        <w:tabs>
          <w:tab w:val="left" w:pos="540"/>
        </w:tabs>
        <w:spacing w:line="240" w:lineRule="auto"/>
      </w:pPr>
    </w:p>
    <w:p w:rsidR="00AB7312" w:rsidRPr="004C2818" w:rsidRDefault="00AB7312" w:rsidP="00672439">
      <w:pPr>
        <w:pStyle w:val="TRBodyText"/>
        <w:tabs>
          <w:tab w:val="left" w:pos="540"/>
        </w:tabs>
        <w:spacing w:line="240" w:lineRule="auto"/>
        <w:rPr>
          <w:b/>
        </w:rPr>
      </w:pPr>
      <w:r w:rsidRPr="004C2818">
        <w:rPr>
          <w:b/>
        </w:rPr>
        <w:t>Background</w:t>
      </w:r>
    </w:p>
    <w:p w:rsidR="00AB7312" w:rsidRPr="004C2818" w:rsidRDefault="00AB7312" w:rsidP="00672439">
      <w:pPr>
        <w:pStyle w:val="TRBodyText"/>
        <w:tabs>
          <w:tab w:val="left" w:pos="540"/>
        </w:tabs>
        <w:spacing w:line="240" w:lineRule="auto"/>
      </w:pPr>
    </w:p>
    <w:p w:rsidR="00144C28" w:rsidRDefault="00AB7312" w:rsidP="00393428">
      <w:pPr>
        <w:pStyle w:val="spacer"/>
        <w:tabs>
          <w:tab w:val="left" w:pos="540"/>
        </w:tabs>
        <w:jc w:val="both"/>
        <w:rPr>
          <w:rFonts w:ascii="Times New Roman" w:hAnsi="Times New Roman"/>
          <w:sz w:val="24"/>
          <w:szCs w:val="24"/>
          <w:lang w:val="en-NZ" w:eastAsia="en-NZ"/>
        </w:rPr>
      </w:pPr>
      <w:r w:rsidRPr="004C2818">
        <w:fldChar w:fldCharType="begin"/>
      </w:r>
      <w:r w:rsidRPr="004C2818">
        <w:rPr>
          <w:rFonts w:ascii="Times New Roman" w:hAnsi="Times New Roman"/>
          <w:sz w:val="24"/>
          <w:szCs w:val="24"/>
          <w:lang w:val="en-NZ"/>
        </w:rPr>
        <w:instrText xml:space="preserve"> AUTONUM  \* Arabic </w:instrText>
      </w:r>
      <w:r w:rsidRPr="004C2818">
        <w:fldChar w:fldCharType="end"/>
      </w:r>
      <w:r w:rsidRPr="004C2818">
        <w:rPr>
          <w:rFonts w:ascii="Times New Roman" w:hAnsi="Times New Roman"/>
          <w:sz w:val="24"/>
          <w:szCs w:val="24"/>
          <w:lang w:val="en-NZ"/>
        </w:rPr>
        <w:tab/>
      </w:r>
      <w:r w:rsidR="00487051" w:rsidRPr="0046225B">
        <w:rPr>
          <w:rFonts w:ascii="Times New Roman" w:hAnsi="Times New Roman"/>
          <w:sz w:val="24"/>
          <w:szCs w:val="24"/>
          <w:lang w:val="en-NZ"/>
        </w:rPr>
        <w:t xml:space="preserve">As at </w:t>
      </w:r>
      <w:r w:rsidR="00A85507">
        <w:rPr>
          <w:rFonts w:ascii="Times New Roman" w:hAnsi="Times New Roman"/>
          <w:sz w:val="24"/>
          <w:szCs w:val="24"/>
          <w:lang w:val="en-NZ"/>
        </w:rPr>
        <w:t>3</w:t>
      </w:r>
      <w:r w:rsidR="00131E8C">
        <w:rPr>
          <w:rFonts w:ascii="Times New Roman" w:hAnsi="Times New Roman"/>
          <w:sz w:val="24"/>
          <w:szCs w:val="24"/>
          <w:lang w:val="en-NZ"/>
        </w:rPr>
        <w:t>1</w:t>
      </w:r>
      <w:r w:rsidR="00A85507">
        <w:rPr>
          <w:rFonts w:ascii="Times New Roman" w:hAnsi="Times New Roman"/>
          <w:sz w:val="24"/>
          <w:szCs w:val="24"/>
          <w:lang w:val="en-NZ"/>
        </w:rPr>
        <w:t xml:space="preserve"> </w:t>
      </w:r>
      <w:r w:rsidR="00131E8C">
        <w:rPr>
          <w:rFonts w:ascii="Times New Roman" w:hAnsi="Times New Roman"/>
          <w:sz w:val="24"/>
          <w:szCs w:val="24"/>
          <w:lang w:val="en-NZ"/>
        </w:rPr>
        <w:t>Dec</w:t>
      </w:r>
      <w:r w:rsidR="00A85507">
        <w:rPr>
          <w:rFonts w:ascii="Times New Roman" w:hAnsi="Times New Roman"/>
          <w:sz w:val="24"/>
          <w:szCs w:val="24"/>
          <w:lang w:val="en-NZ"/>
        </w:rPr>
        <w:t>ember</w:t>
      </w:r>
      <w:r w:rsidR="00487051" w:rsidRPr="0046225B">
        <w:rPr>
          <w:rFonts w:ascii="Times New Roman" w:hAnsi="Times New Roman"/>
          <w:sz w:val="24"/>
          <w:szCs w:val="24"/>
          <w:lang w:val="en-NZ"/>
        </w:rPr>
        <w:t xml:space="preserve"> 2014, t</w:t>
      </w:r>
      <w:r w:rsidRPr="0046225B">
        <w:rPr>
          <w:rFonts w:ascii="Times New Roman" w:hAnsi="Times New Roman"/>
          <w:sz w:val="24"/>
          <w:szCs w:val="24"/>
          <w:lang w:val="en-NZ" w:eastAsia="en-NZ"/>
        </w:rPr>
        <w:t xml:space="preserve">he New Zealand child support scheme </w:t>
      </w:r>
      <w:r w:rsidR="00487051" w:rsidRPr="0046225B">
        <w:rPr>
          <w:rFonts w:ascii="Times New Roman" w:hAnsi="Times New Roman"/>
          <w:sz w:val="24"/>
          <w:szCs w:val="24"/>
          <w:lang w:val="en-NZ" w:eastAsia="en-NZ"/>
        </w:rPr>
        <w:t>was</w:t>
      </w:r>
      <w:r w:rsidRPr="0046225B">
        <w:rPr>
          <w:rFonts w:ascii="Times New Roman" w:hAnsi="Times New Roman"/>
          <w:sz w:val="24"/>
          <w:szCs w:val="24"/>
          <w:lang w:val="en-NZ" w:eastAsia="en-NZ"/>
        </w:rPr>
        <w:t xml:space="preserve"> provid</w:t>
      </w:r>
      <w:r w:rsidR="00487051" w:rsidRPr="0046225B">
        <w:rPr>
          <w:rFonts w:ascii="Times New Roman" w:hAnsi="Times New Roman"/>
          <w:sz w:val="24"/>
          <w:szCs w:val="24"/>
          <w:lang w:val="en-NZ" w:eastAsia="en-NZ"/>
        </w:rPr>
        <w:t>ing</w:t>
      </w:r>
      <w:r w:rsidRPr="0046225B">
        <w:rPr>
          <w:rFonts w:ascii="Times New Roman" w:hAnsi="Times New Roman"/>
          <w:sz w:val="24"/>
          <w:szCs w:val="24"/>
          <w:lang w:val="en-NZ" w:eastAsia="en-NZ"/>
        </w:rPr>
        <w:t xml:space="preserve"> financial support for </w:t>
      </w:r>
      <w:r w:rsidR="00EF49F8" w:rsidRPr="0046225B">
        <w:rPr>
          <w:rFonts w:ascii="Times New Roman" w:hAnsi="Times New Roman"/>
          <w:sz w:val="24"/>
          <w:szCs w:val="24"/>
          <w:lang w:val="en-NZ" w:eastAsia="en-NZ"/>
        </w:rPr>
        <w:t>around</w:t>
      </w:r>
      <w:r w:rsidRPr="0046225B">
        <w:rPr>
          <w:rFonts w:ascii="Times New Roman" w:hAnsi="Times New Roman"/>
          <w:sz w:val="24"/>
          <w:szCs w:val="24"/>
          <w:lang w:val="en-NZ" w:eastAsia="en-NZ"/>
        </w:rPr>
        <w:t xml:space="preserve"> </w:t>
      </w:r>
      <w:r w:rsidR="00131E8C">
        <w:rPr>
          <w:rFonts w:ascii="Times New Roman" w:hAnsi="Times New Roman"/>
          <w:sz w:val="24"/>
          <w:szCs w:val="24"/>
          <w:lang w:val="en-NZ" w:eastAsia="en-NZ"/>
        </w:rPr>
        <w:t>201,500</w:t>
      </w:r>
      <w:r w:rsidRPr="0046225B">
        <w:rPr>
          <w:rFonts w:ascii="Times New Roman" w:hAnsi="Times New Roman"/>
          <w:sz w:val="24"/>
          <w:szCs w:val="24"/>
          <w:lang w:val="en-NZ" w:eastAsia="en-NZ"/>
        </w:rPr>
        <w:t xml:space="preserve"> children.</w:t>
      </w:r>
      <w:r w:rsidR="00F65706" w:rsidRPr="0046225B">
        <w:rPr>
          <w:rFonts w:ascii="Times New Roman" w:hAnsi="Times New Roman"/>
          <w:sz w:val="24"/>
          <w:szCs w:val="24"/>
          <w:lang w:val="en-NZ" w:eastAsia="en-NZ"/>
        </w:rPr>
        <w:t xml:space="preserve"> </w:t>
      </w:r>
      <w:r w:rsidR="002D17E6" w:rsidRPr="0046225B">
        <w:rPr>
          <w:rFonts w:ascii="Times New Roman" w:hAnsi="Times New Roman"/>
          <w:sz w:val="24"/>
          <w:szCs w:val="24"/>
          <w:lang w:val="en-NZ" w:eastAsia="en-NZ"/>
        </w:rPr>
        <w:t xml:space="preserve"> </w:t>
      </w:r>
      <w:r w:rsidR="00487051" w:rsidRPr="0046225B">
        <w:rPr>
          <w:rFonts w:ascii="Times New Roman" w:hAnsi="Times New Roman"/>
          <w:sz w:val="24"/>
          <w:szCs w:val="24"/>
          <w:lang w:val="en-NZ" w:eastAsia="en-NZ"/>
        </w:rPr>
        <w:t>T</w:t>
      </w:r>
      <w:r w:rsidR="00144C28" w:rsidRPr="0046225B">
        <w:rPr>
          <w:rFonts w:ascii="Times New Roman" w:hAnsi="Times New Roman"/>
          <w:sz w:val="24"/>
          <w:szCs w:val="24"/>
          <w:lang w:val="en-NZ" w:eastAsia="en-NZ"/>
        </w:rPr>
        <w:t xml:space="preserve">here were </w:t>
      </w:r>
      <w:r w:rsidR="00131E8C">
        <w:rPr>
          <w:rFonts w:ascii="Times New Roman" w:hAnsi="Times New Roman"/>
          <w:sz w:val="24"/>
          <w:szCs w:val="24"/>
          <w:lang w:val="en-NZ" w:eastAsia="en-NZ"/>
        </w:rPr>
        <w:t>134,500</w:t>
      </w:r>
      <w:r w:rsidR="00144C28" w:rsidRPr="0046225B">
        <w:rPr>
          <w:rFonts w:ascii="Times New Roman" w:hAnsi="Times New Roman"/>
          <w:sz w:val="24"/>
          <w:szCs w:val="24"/>
          <w:lang w:val="en-NZ" w:eastAsia="en-NZ"/>
        </w:rPr>
        <w:t xml:space="preserve"> </w:t>
      </w:r>
      <w:r w:rsidR="00B03DB3" w:rsidRPr="0046225B">
        <w:rPr>
          <w:rFonts w:ascii="Times New Roman" w:hAnsi="Times New Roman"/>
          <w:sz w:val="24"/>
          <w:szCs w:val="24"/>
          <w:lang w:val="en-NZ" w:eastAsia="en-NZ"/>
        </w:rPr>
        <w:t>receiving carers</w:t>
      </w:r>
      <w:r w:rsidR="00144C28" w:rsidRPr="0046225B">
        <w:rPr>
          <w:rFonts w:ascii="Times New Roman" w:hAnsi="Times New Roman"/>
          <w:sz w:val="24"/>
          <w:szCs w:val="24"/>
          <w:lang w:val="en-NZ" w:eastAsia="en-NZ"/>
        </w:rPr>
        <w:t xml:space="preserve"> and </w:t>
      </w:r>
      <w:r w:rsidR="00131E8C">
        <w:rPr>
          <w:rFonts w:ascii="Times New Roman" w:hAnsi="Times New Roman"/>
          <w:sz w:val="24"/>
          <w:szCs w:val="24"/>
          <w:lang w:val="en-NZ" w:eastAsia="en-NZ"/>
        </w:rPr>
        <w:t>133,400</w:t>
      </w:r>
      <w:r w:rsidR="00144C28" w:rsidRPr="0046225B">
        <w:rPr>
          <w:rFonts w:ascii="Times New Roman" w:hAnsi="Times New Roman"/>
          <w:sz w:val="24"/>
          <w:szCs w:val="24"/>
          <w:lang w:val="en-NZ" w:eastAsia="en-NZ"/>
        </w:rPr>
        <w:t xml:space="preserve"> liable parents</w:t>
      </w:r>
      <w:r w:rsidR="00B03DB3" w:rsidRPr="0046225B">
        <w:rPr>
          <w:rFonts w:ascii="Times New Roman" w:hAnsi="Times New Roman"/>
          <w:sz w:val="24"/>
          <w:szCs w:val="24"/>
          <w:lang w:val="en-NZ" w:eastAsia="en-NZ"/>
        </w:rPr>
        <w:t xml:space="preserve"> with current liabilities</w:t>
      </w:r>
      <w:r w:rsidR="00144C28" w:rsidRPr="0046225B">
        <w:rPr>
          <w:rFonts w:ascii="Times New Roman" w:hAnsi="Times New Roman"/>
          <w:sz w:val="24"/>
          <w:szCs w:val="24"/>
          <w:lang w:val="en-NZ" w:eastAsia="en-NZ"/>
        </w:rPr>
        <w:t>.</w:t>
      </w:r>
      <w:r w:rsidR="00F65706" w:rsidRPr="0046225B">
        <w:rPr>
          <w:rFonts w:ascii="Times New Roman" w:hAnsi="Times New Roman"/>
          <w:sz w:val="24"/>
          <w:szCs w:val="24"/>
          <w:lang w:val="en-NZ" w:eastAsia="en-NZ"/>
        </w:rPr>
        <w:t xml:space="preserve"> </w:t>
      </w:r>
      <w:r w:rsidR="002D17E6" w:rsidRPr="0046225B">
        <w:rPr>
          <w:rFonts w:ascii="Times New Roman" w:hAnsi="Times New Roman"/>
          <w:sz w:val="24"/>
          <w:szCs w:val="24"/>
          <w:lang w:val="en-NZ" w:eastAsia="en-NZ"/>
        </w:rPr>
        <w:t xml:space="preserve"> </w:t>
      </w:r>
      <w:r w:rsidR="00131E8C">
        <w:rPr>
          <w:rFonts w:ascii="Times New Roman" w:hAnsi="Times New Roman"/>
          <w:sz w:val="24"/>
          <w:szCs w:val="24"/>
          <w:lang w:val="en-NZ" w:eastAsia="en-NZ"/>
        </w:rPr>
        <w:t>There</w:t>
      </w:r>
      <w:r w:rsidR="00144C28" w:rsidRPr="0046225B">
        <w:rPr>
          <w:rFonts w:ascii="Times New Roman" w:hAnsi="Times New Roman"/>
          <w:sz w:val="24"/>
          <w:szCs w:val="24"/>
          <w:lang w:val="en-NZ" w:eastAsia="en-NZ"/>
        </w:rPr>
        <w:t xml:space="preserve"> are </w:t>
      </w:r>
      <w:r w:rsidR="001235DD">
        <w:rPr>
          <w:rFonts w:ascii="Times New Roman" w:hAnsi="Times New Roman"/>
          <w:sz w:val="24"/>
          <w:szCs w:val="24"/>
          <w:lang w:val="en-NZ" w:eastAsia="en-NZ"/>
        </w:rPr>
        <w:t>42,</w:t>
      </w:r>
      <w:r w:rsidR="00131E8C">
        <w:rPr>
          <w:rFonts w:ascii="Times New Roman" w:hAnsi="Times New Roman"/>
          <w:sz w:val="24"/>
          <w:szCs w:val="24"/>
          <w:lang w:val="en-NZ" w:eastAsia="en-NZ"/>
        </w:rPr>
        <w:t>2</w:t>
      </w:r>
      <w:r w:rsidR="001235DD">
        <w:rPr>
          <w:rFonts w:ascii="Times New Roman" w:hAnsi="Times New Roman"/>
          <w:sz w:val="24"/>
          <w:szCs w:val="24"/>
          <w:lang w:val="en-NZ" w:eastAsia="en-NZ"/>
        </w:rPr>
        <w:t>00</w:t>
      </w:r>
      <w:r w:rsidR="00144C28" w:rsidRPr="0046225B">
        <w:rPr>
          <w:rFonts w:ascii="Times New Roman" w:hAnsi="Times New Roman"/>
          <w:sz w:val="24"/>
          <w:szCs w:val="24"/>
          <w:lang w:val="en-NZ" w:eastAsia="en-NZ"/>
        </w:rPr>
        <w:t xml:space="preserve"> liable parents who </w:t>
      </w:r>
      <w:r w:rsidR="00B03DB3" w:rsidRPr="0046225B">
        <w:rPr>
          <w:rFonts w:ascii="Times New Roman" w:hAnsi="Times New Roman"/>
          <w:sz w:val="24"/>
          <w:szCs w:val="24"/>
          <w:lang w:val="en-NZ" w:eastAsia="en-NZ"/>
        </w:rPr>
        <w:t xml:space="preserve">have no current liability but </w:t>
      </w:r>
      <w:r w:rsidR="00CB2BD5">
        <w:rPr>
          <w:rFonts w:ascii="Times New Roman" w:hAnsi="Times New Roman"/>
          <w:sz w:val="24"/>
          <w:szCs w:val="24"/>
          <w:lang w:val="en-NZ" w:eastAsia="en-NZ"/>
        </w:rPr>
        <w:t>have debt</w:t>
      </w:r>
      <w:r w:rsidR="00144C28" w:rsidRPr="0046225B">
        <w:rPr>
          <w:rFonts w:ascii="Times New Roman" w:hAnsi="Times New Roman"/>
          <w:sz w:val="24"/>
          <w:szCs w:val="24"/>
          <w:lang w:val="en-NZ" w:eastAsia="en-NZ"/>
        </w:rPr>
        <w:t>.  Of the liable parents</w:t>
      </w:r>
      <w:r w:rsidR="00B03DB3" w:rsidRPr="0046225B">
        <w:rPr>
          <w:rFonts w:ascii="Times New Roman" w:hAnsi="Times New Roman"/>
          <w:sz w:val="24"/>
          <w:szCs w:val="24"/>
          <w:lang w:val="en-NZ" w:eastAsia="en-NZ"/>
        </w:rPr>
        <w:t>,</w:t>
      </w:r>
      <w:r w:rsidR="00144C28" w:rsidRPr="0046225B">
        <w:rPr>
          <w:rFonts w:ascii="Times New Roman" w:hAnsi="Times New Roman"/>
          <w:sz w:val="24"/>
          <w:szCs w:val="24"/>
          <w:lang w:val="en-NZ" w:eastAsia="en-NZ"/>
        </w:rPr>
        <w:t xml:space="preserve"> </w:t>
      </w:r>
      <w:r w:rsidR="00131E8C">
        <w:rPr>
          <w:rFonts w:ascii="Times New Roman" w:hAnsi="Times New Roman"/>
          <w:sz w:val="24"/>
          <w:szCs w:val="24"/>
          <w:lang w:val="en-NZ" w:eastAsia="en-NZ"/>
        </w:rPr>
        <w:t>120,600</w:t>
      </w:r>
      <w:r w:rsidR="00144C28" w:rsidRPr="0046225B">
        <w:rPr>
          <w:rFonts w:ascii="Times New Roman" w:hAnsi="Times New Roman"/>
          <w:sz w:val="24"/>
          <w:szCs w:val="24"/>
          <w:lang w:val="en-NZ" w:eastAsia="en-NZ"/>
        </w:rPr>
        <w:t xml:space="preserve"> are in debt.</w:t>
      </w:r>
      <w:r w:rsidR="002D17E6" w:rsidRPr="0046225B">
        <w:rPr>
          <w:rFonts w:ascii="Times New Roman" w:hAnsi="Times New Roman"/>
          <w:sz w:val="24"/>
          <w:szCs w:val="24"/>
          <w:lang w:val="en-NZ" w:eastAsia="en-NZ"/>
        </w:rPr>
        <w:t xml:space="preserve"> </w:t>
      </w:r>
      <w:r w:rsidR="00F65706" w:rsidRPr="0046225B">
        <w:rPr>
          <w:rFonts w:ascii="Times New Roman" w:hAnsi="Times New Roman"/>
          <w:sz w:val="24"/>
          <w:szCs w:val="24"/>
          <w:lang w:val="en-NZ" w:eastAsia="en-NZ"/>
        </w:rPr>
        <w:t xml:space="preserve"> </w:t>
      </w:r>
    </w:p>
    <w:p w:rsidR="001F532A" w:rsidRDefault="001F532A" w:rsidP="00393428">
      <w:pPr>
        <w:pStyle w:val="spacer"/>
        <w:tabs>
          <w:tab w:val="left" w:pos="540"/>
        </w:tabs>
        <w:jc w:val="both"/>
        <w:rPr>
          <w:rFonts w:ascii="Times New Roman" w:hAnsi="Times New Roman"/>
          <w:sz w:val="24"/>
          <w:szCs w:val="24"/>
          <w:lang w:val="en-NZ"/>
        </w:rPr>
      </w:pPr>
    </w:p>
    <w:p w:rsidR="00AB7312" w:rsidRPr="004C2818" w:rsidRDefault="00EF49F8" w:rsidP="00393428">
      <w:pPr>
        <w:pStyle w:val="spacer"/>
        <w:tabs>
          <w:tab w:val="left" w:pos="540"/>
        </w:tabs>
        <w:jc w:val="both"/>
        <w:rPr>
          <w:rFonts w:ascii="Times New Roman" w:hAnsi="Times New Roman"/>
          <w:sz w:val="24"/>
          <w:szCs w:val="24"/>
          <w:lang w:val="en-NZ" w:eastAsia="en-NZ"/>
        </w:rPr>
      </w:pPr>
      <w:r w:rsidRPr="004C2818">
        <w:rPr>
          <w:rFonts w:ascii="Times New Roman" w:hAnsi="Times New Roman"/>
          <w:sz w:val="24"/>
          <w:szCs w:val="24"/>
          <w:lang w:val="en-NZ"/>
        </w:rPr>
        <w:fldChar w:fldCharType="begin"/>
      </w:r>
      <w:r w:rsidRPr="004C2818">
        <w:rPr>
          <w:rFonts w:ascii="Times New Roman" w:hAnsi="Times New Roman"/>
          <w:sz w:val="24"/>
          <w:szCs w:val="24"/>
          <w:lang w:val="en-NZ"/>
        </w:rPr>
        <w:instrText xml:space="preserve"> AUTONUM  \* Arabic </w:instrText>
      </w:r>
      <w:r w:rsidRPr="004C2818">
        <w:rPr>
          <w:rFonts w:ascii="Times New Roman" w:hAnsi="Times New Roman"/>
          <w:sz w:val="24"/>
          <w:szCs w:val="24"/>
          <w:lang w:val="en-NZ"/>
        </w:rPr>
        <w:fldChar w:fldCharType="end"/>
      </w:r>
      <w:r w:rsidRPr="004C2818">
        <w:rPr>
          <w:rFonts w:ascii="Times New Roman" w:hAnsi="Times New Roman"/>
          <w:sz w:val="24"/>
          <w:szCs w:val="24"/>
          <w:lang w:val="en-NZ"/>
        </w:rPr>
        <w:tab/>
      </w:r>
      <w:r w:rsidR="00AB7312" w:rsidRPr="004C2818">
        <w:rPr>
          <w:rFonts w:ascii="Times New Roman" w:hAnsi="Times New Roman"/>
          <w:sz w:val="24"/>
          <w:szCs w:val="24"/>
          <w:lang w:val="en-NZ" w:eastAsia="en-NZ"/>
        </w:rPr>
        <w:t>The scheme was established by the Child Support Act 1991, which revised the rules relating to child maintenance when agreement between parents prove</w:t>
      </w:r>
      <w:r w:rsidR="00B03DB3">
        <w:rPr>
          <w:rFonts w:ascii="Times New Roman" w:hAnsi="Times New Roman"/>
          <w:sz w:val="24"/>
          <w:szCs w:val="24"/>
          <w:lang w:val="en-NZ" w:eastAsia="en-NZ"/>
        </w:rPr>
        <w:t>d</w:t>
      </w:r>
      <w:r w:rsidR="00AB7312" w:rsidRPr="004C2818">
        <w:rPr>
          <w:rFonts w:ascii="Times New Roman" w:hAnsi="Times New Roman"/>
          <w:sz w:val="24"/>
          <w:szCs w:val="24"/>
          <w:lang w:val="en-NZ" w:eastAsia="en-NZ"/>
        </w:rPr>
        <w:t xml:space="preserve"> difficult or when the rec</w:t>
      </w:r>
      <w:r w:rsidR="004C2818">
        <w:rPr>
          <w:rFonts w:ascii="Times New Roman" w:hAnsi="Times New Roman"/>
          <w:sz w:val="24"/>
          <w:szCs w:val="24"/>
          <w:lang w:val="en-NZ" w:eastAsia="en-NZ"/>
        </w:rPr>
        <w:t xml:space="preserve">eiving </w:t>
      </w:r>
      <w:r w:rsidR="00131E8C">
        <w:rPr>
          <w:rFonts w:ascii="Times New Roman" w:hAnsi="Times New Roman"/>
          <w:sz w:val="24"/>
          <w:szCs w:val="24"/>
          <w:lang w:val="en-NZ" w:eastAsia="en-NZ"/>
        </w:rPr>
        <w:t>carer</w:t>
      </w:r>
      <w:r w:rsidR="004C2818">
        <w:rPr>
          <w:rFonts w:ascii="Times New Roman" w:hAnsi="Times New Roman"/>
          <w:sz w:val="24"/>
          <w:szCs w:val="24"/>
          <w:lang w:val="en-NZ" w:eastAsia="en-NZ"/>
        </w:rPr>
        <w:t xml:space="preserve"> </w:t>
      </w:r>
      <w:r w:rsidR="00B03DB3">
        <w:rPr>
          <w:rFonts w:ascii="Times New Roman" w:hAnsi="Times New Roman"/>
          <w:sz w:val="24"/>
          <w:szCs w:val="24"/>
          <w:lang w:val="en-NZ" w:eastAsia="en-NZ"/>
        </w:rPr>
        <w:t>wa</w:t>
      </w:r>
      <w:r w:rsidR="004C2818">
        <w:rPr>
          <w:rFonts w:ascii="Times New Roman" w:hAnsi="Times New Roman"/>
          <w:sz w:val="24"/>
          <w:szCs w:val="24"/>
          <w:lang w:val="en-NZ" w:eastAsia="en-NZ"/>
        </w:rPr>
        <w:t>s a beneficiary.</w:t>
      </w:r>
      <w:r w:rsidR="00E75DCA">
        <w:rPr>
          <w:rFonts w:ascii="Times New Roman" w:hAnsi="Times New Roman"/>
          <w:sz w:val="24"/>
          <w:szCs w:val="24"/>
          <w:lang w:val="en-NZ" w:eastAsia="en-NZ"/>
        </w:rPr>
        <w:t xml:space="preserve"> </w:t>
      </w:r>
      <w:r w:rsidR="00CF071C">
        <w:rPr>
          <w:rFonts w:ascii="Times New Roman" w:hAnsi="Times New Roman"/>
          <w:sz w:val="24"/>
          <w:szCs w:val="24"/>
          <w:lang w:val="en-NZ" w:eastAsia="en-NZ"/>
        </w:rPr>
        <w:t xml:space="preserve"> </w:t>
      </w:r>
      <w:r w:rsidR="00E75DCA">
        <w:rPr>
          <w:rFonts w:ascii="Times New Roman" w:hAnsi="Times New Roman"/>
          <w:sz w:val="24"/>
          <w:szCs w:val="24"/>
          <w:lang w:val="en-NZ" w:eastAsia="en-NZ"/>
        </w:rPr>
        <w:t xml:space="preserve">The Child Support Act </w:t>
      </w:r>
      <w:r w:rsidR="00B03DB3">
        <w:rPr>
          <w:rFonts w:ascii="Times New Roman" w:hAnsi="Times New Roman"/>
          <w:sz w:val="24"/>
          <w:szCs w:val="24"/>
          <w:lang w:val="en-NZ" w:eastAsia="en-NZ"/>
        </w:rPr>
        <w:t xml:space="preserve">1991 </w:t>
      </w:r>
      <w:r w:rsidR="00E75DCA">
        <w:rPr>
          <w:rFonts w:ascii="Times New Roman" w:hAnsi="Times New Roman"/>
          <w:sz w:val="24"/>
          <w:szCs w:val="24"/>
          <w:lang w:val="en-NZ" w:eastAsia="en-NZ"/>
        </w:rPr>
        <w:t xml:space="preserve">sets out the requirements for applying for child support, the means of determining liability, and processes for payments and objections.  </w:t>
      </w:r>
    </w:p>
    <w:p w:rsidR="00AB7312" w:rsidRPr="004C2818" w:rsidRDefault="00AB7312" w:rsidP="00393428">
      <w:pPr>
        <w:pStyle w:val="spacer"/>
        <w:tabs>
          <w:tab w:val="left" w:pos="540"/>
        </w:tabs>
        <w:jc w:val="both"/>
        <w:rPr>
          <w:rFonts w:ascii="Times New Roman" w:hAnsi="Times New Roman"/>
          <w:sz w:val="24"/>
          <w:szCs w:val="24"/>
          <w:lang w:val="en-NZ"/>
        </w:rPr>
      </w:pPr>
    </w:p>
    <w:p w:rsidR="0038084E" w:rsidRDefault="0038084E" w:rsidP="00393428">
      <w:pPr>
        <w:pStyle w:val="Chapter2"/>
        <w:numPr>
          <w:ilvl w:val="0"/>
          <w:numId w:val="0"/>
        </w:numPr>
        <w:tabs>
          <w:tab w:val="left" w:pos="540"/>
        </w:tabs>
      </w:pPr>
      <w:r w:rsidRPr="004C2818">
        <w:fldChar w:fldCharType="begin"/>
      </w:r>
      <w:r w:rsidRPr="004C2818">
        <w:instrText xml:space="preserve"> AUTONUM  \* Arabic </w:instrText>
      </w:r>
      <w:r w:rsidRPr="004C2818">
        <w:fldChar w:fldCharType="end"/>
      </w:r>
      <w:r w:rsidRPr="004C2818">
        <w:tab/>
        <w:t xml:space="preserve">The child support scheme is administered by Inland Revenue, which is responsible for both assessing contributions and collecting payments. </w:t>
      </w:r>
      <w:r w:rsidR="00CF071C">
        <w:t xml:space="preserve"> </w:t>
      </w:r>
      <w:r w:rsidRPr="004C2818">
        <w:t>The child support scheme is voluntary for parents unless the caregiver is receiving a sole-</w:t>
      </w:r>
      <w:r>
        <w:t>parent benefit</w:t>
      </w:r>
      <w:r w:rsidR="00E75DCA">
        <w:t xml:space="preserve"> or Unsupported Child Benefit</w:t>
      </w:r>
      <w:r>
        <w:t>.</w:t>
      </w:r>
      <w:r w:rsidR="00B03DB3">
        <w:t xml:space="preserve"> </w:t>
      </w:r>
      <w:r w:rsidR="002D17E6">
        <w:t xml:space="preserve"> </w:t>
      </w:r>
      <w:r w:rsidR="00B03DB3">
        <w:t xml:space="preserve">The majority of people in the child support scheme are beneficiaries. </w:t>
      </w:r>
    </w:p>
    <w:p w:rsidR="0038084E" w:rsidRPr="0047110C" w:rsidRDefault="0038084E" w:rsidP="00CC6C74">
      <w:pPr>
        <w:pStyle w:val="TRBodyText"/>
        <w:tabs>
          <w:tab w:val="left" w:pos="540"/>
        </w:tabs>
        <w:spacing w:before="240" w:line="240" w:lineRule="auto"/>
        <w:rPr>
          <w:b/>
          <w:i/>
          <w:iCs/>
        </w:rPr>
      </w:pPr>
      <w:r w:rsidRPr="0047110C">
        <w:rPr>
          <w:b/>
          <w:i/>
          <w:iCs/>
        </w:rPr>
        <w:t>Reasons for the review of the 1991 scheme</w:t>
      </w:r>
    </w:p>
    <w:p w:rsidR="0038084E" w:rsidRPr="004C2818" w:rsidRDefault="0038084E" w:rsidP="0038084E">
      <w:pPr>
        <w:pStyle w:val="TRBodyText"/>
        <w:tabs>
          <w:tab w:val="left" w:pos="567"/>
        </w:tabs>
        <w:spacing w:line="240" w:lineRule="auto"/>
      </w:pPr>
    </w:p>
    <w:p w:rsidR="0038084E" w:rsidRPr="004C2818" w:rsidRDefault="0038084E" w:rsidP="0038084E">
      <w:pPr>
        <w:pStyle w:val="TRNormal"/>
        <w:tabs>
          <w:tab w:val="left" w:pos="567"/>
        </w:tabs>
        <w:spacing w:line="240" w:lineRule="auto"/>
      </w:pPr>
      <w:r w:rsidRPr="004C2818">
        <w:rPr>
          <w:szCs w:val="24"/>
        </w:rPr>
        <w:fldChar w:fldCharType="begin"/>
      </w:r>
      <w:r w:rsidRPr="004C2818">
        <w:rPr>
          <w:szCs w:val="24"/>
        </w:rPr>
        <w:instrText xml:space="preserve"> AUTONUM  </w:instrText>
      </w:r>
      <w:r w:rsidRPr="004C2818">
        <w:rPr>
          <w:szCs w:val="24"/>
        </w:rPr>
        <w:fldChar w:fldCharType="end"/>
      </w:r>
      <w:r w:rsidRPr="004C2818">
        <w:rPr>
          <w:szCs w:val="24"/>
        </w:rPr>
        <w:tab/>
      </w:r>
      <w:r w:rsidRPr="004C2818">
        <w:t>Although the current child support scheme provides a relatively straightforward way of calculating child support liability for the majority of parents, there are some major concerns that seem to be affecting an increasing number of parents (and therefore children).</w:t>
      </w:r>
    </w:p>
    <w:p w:rsidR="0038084E" w:rsidRPr="004C2818" w:rsidRDefault="0038084E" w:rsidP="0038084E">
      <w:pPr>
        <w:pStyle w:val="Chapter1"/>
        <w:numPr>
          <w:ilvl w:val="0"/>
          <w:numId w:val="0"/>
        </w:numPr>
        <w:tabs>
          <w:tab w:val="left" w:pos="567"/>
        </w:tabs>
      </w:pPr>
    </w:p>
    <w:p w:rsidR="0038084E" w:rsidRPr="004C2818" w:rsidRDefault="0038084E" w:rsidP="0038084E">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t xml:space="preserve">The primary assumption under the current scheme is that the </w:t>
      </w:r>
      <w:r w:rsidR="00131E8C">
        <w:t>liable parent</w:t>
      </w:r>
      <w:r w:rsidRPr="004C2818">
        <w:t xml:space="preserve"> is the sole income earner and that the receiving </w:t>
      </w:r>
      <w:r w:rsidR="00B03DB3">
        <w:t>carer</w:t>
      </w:r>
      <w:r w:rsidRPr="004C2818">
        <w:t xml:space="preserve"> is the main care provider. </w:t>
      </w:r>
      <w:r w:rsidR="002D17E6">
        <w:t xml:space="preserve"> </w:t>
      </w:r>
      <w:r w:rsidR="00E75DCA">
        <w:t xml:space="preserve">The formula assessment is therefore focused on the </w:t>
      </w:r>
      <w:r w:rsidR="00131E8C">
        <w:t>liable parent</w:t>
      </w:r>
      <w:r w:rsidR="00F40DFF">
        <w:t xml:space="preserve"> and their ability to pay.</w:t>
      </w:r>
      <w:r w:rsidRPr="004C2818">
        <w:t xml:space="preserve"> </w:t>
      </w:r>
      <w:r w:rsidR="002D17E6">
        <w:t xml:space="preserve"> </w:t>
      </w:r>
      <w:r w:rsidRPr="004C2818">
        <w:t xml:space="preserve">However, </w:t>
      </w:r>
      <w:r w:rsidR="00B03DB3">
        <w:t xml:space="preserve">today </w:t>
      </w:r>
      <w:r w:rsidRPr="004C2818">
        <w:t>when parents live apart, there is a</w:t>
      </w:r>
      <w:r w:rsidR="00B03DB3">
        <w:t>n</w:t>
      </w:r>
      <w:r w:rsidRPr="004C2818">
        <w:t xml:space="preserve"> increased emphasis on shared parental responsibility and both parents remaining actively involved in their children’s lives. </w:t>
      </w:r>
      <w:r w:rsidR="002D17E6">
        <w:t xml:space="preserve"> </w:t>
      </w:r>
      <w:r w:rsidR="00B03DB3">
        <w:t>Work p</w:t>
      </w:r>
      <w:r w:rsidRPr="004C2818">
        <w:t>articipation rates of both parents, particularly in part-time work, has also increased since the scheme was introduced, resulting in the principal carer of the children now being more likely to be in paid work</w:t>
      </w:r>
      <w:r w:rsidR="00E75DCA">
        <w:t xml:space="preserve"> or seeking paid work</w:t>
      </w:r>
      <w:r w:rsidRPr="004C2818">
        <w:t>.</w:t>
      </w:r>
    </w:p>
    <w:p w:rsidR="0038084E" w:rsidRPr="004C2818" w:rsidRDefault="0038084E" w:rsidP="0038084E">
      <w:pPr>
        <w:pStyle w:val="Chapter1"/>
        <w:numPr>
          <w:ilvl w:val="0"/>
          <w:numId w:val="0"/>
        </w:numPr>
        <w:tabs>
          <w:tab w:val="left" w:pos="567"/>
        </w:tabs>
      </w:pPr>
    </w:p>
    <w:p w:rsidR="0038084E" w:rsidRPr="004C2818" w:rsidRDefault="0038084E" w:rsidP="0038084E">
      <w:pPr>
        <w:pStyle w:val="Chapter3"/>
        <w:numPr>
          <w:ilvl w:val="0"/>
          <w:numId w:val="0"/>
        </w:numPr>
        <w:tabs>
          <w:tab w:val="left" w:pos="567"/>
        </w:tabs>
      </w:pPr>
      <w:r w:rsidRPr="004C2818">
        <w:fldChar w:fldCharType="begin"/>
      </w:r>
      <w:r w:rsidRPr="004C2818">
        <w:instrText xml:space="preserve"> AUTONUM  </w:instrText>
      </w:r>
      <w:r w:rsidRPr="004C2818">
        <w:fldChar w:fldCharType="end"/>
      </w:r>
      <w:r w:rsidRPr="004C2818">
        <w:tab/>
        <w:t>Escalating levels of accumulated child support debt, relating in particular to child support penalties, is increasingly becoming an issue</w:t>
      </w:r>
      <w:r>
        <w:t>.</w:t>
      </w:r>
      <w:r w:rsidR="002D17E6">
        <w:t xml:space="preserve"> </w:t>
      </w:r>
      <w:r w:rsidR="00F40DFF">
        <w:t xml:space="preserve"> Child support debt now exceeds $3</w:t>
      </w:r>
      <w:r w:rsidR="00094C7A">
        <w:t>.2</w:t>
      </w:r>
      <w:r w:rsidR="00F40DFF">
        <w:t> billion</w:t>
      </w:r>
      <w:r w:rsidR="000B3A53">
        <w:t>, with 7</w:t>
      </w:r>
      <w:r w:rsidR="00094C7A">
        <w:t>8</w:t>
      </w:r>
      <w:r w:rsidR="000B3A53">
        <w:t>% of the amount being penalties</w:t>
      </w:r>
      <w:r w:rsidR="00F40DFF">
        <w:t>.</w:t>
      </w:r>
    </w:p>
    <w:p w:rsidR="0038084E" w:rsidRPr="004C2818" w:rsidRDefault="0038084E" w:rsidP="0038084E">
      <w:pPr>
        <w:pStyle w:val="Chapter1"/>
        <w:numPr>
          <w:ilvl w:val="0"/>
          <w:numId w:val="0"/>
        </w:numPr>
        <w:tabs>
          <w:tab w:val="left" w:pos="567"/>
        </w:tabs>
      </w:pPr>
    </w:p>
    <w:p w:rsidR="00307331" w:rsidRPr="00ED71DE" w:rsidRDefault="0038084E" w:rsidP="00ED71DE">
      <w:pPr>
        <w:tabs>
          <w:tab w:val="left" w:pos="567"/>
        </w:tabs>
        <w:jc w:val="both"/>
      </w:pPr>
      <w:r w:rsidRPr="004C2818">
        <w:fldChar w:fldCharType="begin"/>
      </w:r>
      <w:r w:rsidRPr="004C2818">
        <w:instrText xml:space="preserve"> AUTONUM  </w:instrText>
      </w:r>
      <w:r w:rsidRPr="004C2818">
        <w:fldChar w:fldCharType="end"/>
      </w:r>
      <w:r w:rsidRPr="004C2818">
        <w:tab/>
      </w:r>
      <w:r w:rsidR="000B3A53">
        <w:t>T</w:t>
      </w:r>
      <w:r w:rsidRPr="004C2818">
        <w:t>he scheme is now, in many cases, out of date</w:t>
      </w:r>
      <w:r w:rsidR="00B03DB3">
        <w:t xml:space="preserve"> and out of line with social expectations</w:t>
      </w:r>
      <w:r w:rsidRPr="004C2818">
        <w:t>.</w:t>
      </w:r>
      <w:r w:rsidR="002D17E6">
        <w:t xml:space="preserve"> </w:t>
      </w:r>
      <w:r w:rsidRPr="004C2818">
        <w:t xml:space="preserve"> This undermines some parents’ incentives to meet their child support obligations and </w:t>
      </w:r>
      <w:r w:rsidR="00B03DB3">
        <w:t>therefore</w:t>
      </w:r>
      <w:r w:rsidRPr="004C2818">
        <w:t xml:space="preserve"> detrimental to the wellbeing of </w:t>
      </w:r>
      <w:r w:rsidR="00B03DB3">
        <w:t>their</w:t>
      </w:r>
      <w:r>
        <w:t xml:space="preserve"> children.</w:t>
      </w:r>
      <w:r w:rsidR="004A7F2E">
        <w:t xml:space="preserve"> </w:t>
      </w:r>
      <w:r w:rsidR="00F65706">
        <w:t xml:space="preserve"> </w:t>
      </w:r>
    </w:p>
    <w:p w:rsidR="004A7F2E" w:rsidRPr="0047110C" w:rsidRDefault="004A7F2E" w:rsidP="00CC6C74">
      <w:pPr>
        <w:pStyle w:val="Chapter1"/>
        <w:numPr>
          <w:ilvl w:val="0"/>
          <w:numId w:val="0"/>
        </w:numPr>
        <w:tabs>
          <w:tab w:val="left" w:pos="567"/>
        </w:tabs>
        <w:spacing w:before="240"/>
        <w:rPr>
          <w:b/>
          <w:i/>
        </w:rPr>
      </w:pPr>
      <w:r w:rsidRPr="0047110C">
        <w:rPr>
          <w:b/>
          <w:i/>
        </w:rPr>
        <w:t>Original policy problems</w:t>
      </w:r>
    </w:p>
    <w:p w:rsidR="004A7F2E" w:rsidRPr="004C2818" w:rsidRDefault="004A7F2E" w:rsidP="004A7F2E">
      <w:pPr>
        <w:pStyle w:val="Chapter1"/>
        <w:numPr>
          <w:ilvl w:val="0"/>
          <w:numId w:val="0"/>
        </w:numPr>
        <w:tabs>
          <w:tab w:val="left" w:pos="567"/>
        </w:tabs>
      </w:pPr>
    </w:p>
    <w:p w:rsidR="004A7F2E" w:rsidRPr="004C2818" w:rsidRDefault="004A7F2E" w:rsidP="004A7F2E">
      <w:pPr>
        <w:pStyle w:val="TRNormal"/>
        <w:tabs>
          <w:tab w:val="left" w:pos="567"/>
        </w:tabs>
        <w:spacing w:line="240" w:lineRule="auto"/>
      </w:pPr>
      <w:r w:rsidRPr="004C2818">
        <w:fldChar w:fldCharType="begin"/>
      </w:r>
      <w:r w:rsidRPr="004C2818">
        <w:instrText xml:space="preserve"> AUTONUM  </w:instrText>
      </w:r>
      <w:r w:rsidRPr="004C2818">
        <w:fldChar w:fldCharType="end"/>
      </w:r>
      <w:r w:rsidRPr="004C2818">
        <w:tab/>
        <w:t>The</w:t>
      </w:r>
      <w:r w:rsidR="00AE5BBE">
        <w:t xml:space="preserve"> child support scheme was</w:t>
      </w:r>
      <w:r w:rsidRPr="004C2818">
        <w:t xml:space="preserve"> </w:t>
      </w:r>
      <w:r>
        <w:t>reform</w:t>
      </w:r>
      <w:r w:rsidR="00AE5BBE">
        <w:t>ed in 2013 to</w:t>
      </w:r>
      <w:r>
        <w:t xml:space="preserve"> address the </w:t>
      </w:r>
      <w:r w:rsidRPr="004C2818">
        <w:t xml:space="preserve">main policy problems </w:t>
      </w:r>
      <w:r>
        <w:t>identified at the time</w:t>
      </w:r>
      <w:r w:rsidR="00AE5BBE">
        <w:t>.</w:t>
      </w:r>
      <w:r w:rsidR="00CC6C74">
        <w:t xml:space="preserve"> </w:t>
      </w:r>
      <w:r w:rsidR="00AE5BBE">
        <w:t xml:space="preserve"> These</w:t>
      </w:r>
      <w:r>
        <w:t xml:space="preserve"> includ</w:t>
      </w:r>
      <w:r w:rsidR="00AE5BBE">
        <w:t>ed</w:t>
      </w:r>
      <w:r w:rsidRPr="004C2818">
        <w:t>:</w:t>
      </w:r>
    </w:p>
    <w:p w:rsidR="004A7F2E" w:rsidRPr="004C2818" w:rsidRDefault="004A7F2E" w:rsidP="00F65706">
      <w:pPr>
        <w:tabs>
          <w:tab w:val="left" w:pos="567"/>
        </w:tabs>
      </w:pPr>
    </w:p>
    <w:p w:rsidR="004A7F2E" w:rsidRPr="004C2818" w:rsidRDefault="004A7F2E" w:rsidP="00F65706">
      <w:pPr>
        <w:pStyle w:val="Bullets"/>
        <w:tabs>
          <w:tab w:val="clear" w:pos="1211"/>
          <w:tab w:val="left" w:pos="567"/>
          <w:tab w:val="num" w:pos="1134"/>
        </w:tabs>
        <w:spacing w:after="140"/>
        <w:ind w:left="1134" w:hanging="567"/>
        <w:jc w:val="both"/>
      </w:pPr>
      <w:r w:rsidRPr="004C2818">
        <w:t xml:space="preserve">whether the current child support system accurately reflects the expenditure for raising children in varying family circumstances in </w:t>
      </w:r>
      <w:smartTag w:uri="urn:schemas-microsoft-com:office:smarttags" w:element="country-region">
        <w:smartTag w:uri="urn:schemas-microsoft-com:office:smarttags" w:element="place">
          <w:r w:rsidRPr="004C2818">
            <w:t>New Zealand</w:t>
          </w:r>
        </w:smartTag>
      </w:smartTag>
      <w:r w:rsidRPr="004C2818">
        <w:t>;</w:t>
      </w:r>
    </w:p>
    <w:p w:rsidR="004A7F2E" w:rsidRPr="004C2818" w:rsidRDefault="004A7F2E" w:rsidP="004A7F2E">
      <w:pPr>
        <w:pStyle w:val="Bullets"/>
        <w:tabs>
          <w:tab w:val="clear" w:pos="1211"/>
          <w:tab w:val="left" w:pos="567"/>
          <w:tab w:val="num" w:pos="1134"/>
        </w:tabs>
        <w:spacing w:after="140"/>
        <w:ind w:left="1134" w:hanging="567"/>
        <w:jc w:val="both"/>
      </w:pPr>
      <w:r w:rsidRPr="004C2818">
        <w:t>whether greater levels of shared care and other regular care should be taken into account when calculating child support;</w:t>
      </w:r>
    </w:p>
    <w:p w:rsidR="004A7F2E" w:rsidRPr="004C2818" w:rsidRDefault="004A7F2E" w:rsidP="004A7F2E">
      <w:pPr>
        <w:pStyle w:val="Bullets"/>
        <w:tabs>
          <w:tab w:val="clear" w:pos="1211"/>
          <w:tab w:val="left" w:pos="567"/>
          <w:tab w:val="num" w:pos="1134"/>
        </w:tabs>
        <w:spacing w:after="140"/>
        <w:ind w:left="1134" w:hanging="567"/>
        <w:jc w:val="both"/>
      </w:pPr>
      <w:r w:rsidRPr="004C2818">
        <w:lastRenderedPageBreak/>
        <w:t xml:space="preserve">whether both parents’ income should be taken into account when calculating the child support to be paid; </w:t>
      </w:r>
    </w:p>
    <w:p w:rsidR="004A7F2E" w:rsidRPr="004C2818" w:rsidRDefault="004A7F2E" w:rsidP="004A7F2E">
      <w:pPr>
        <w:pStyle w:val="Bullets"/>
        <w:tabs>
          <w:tab w:val="clear" w:pos="1211"/>
          <w:tab w:val="left" w:pos="567"/>
          <w:tab w:val="num" w:pos="1134"/>
        </w:tabs>
        <w:ind w:left="1134" w:hanging="567"/>
        <w:jc w:val="both"/>
      </w:pPr>
      <w:r w:rsidRPr="004C2818">
        <w:t>whether incentives to make payments can be improved by changing the child support penalty rules and write-off provisions.</w:t>
      </w:r>
    </w:p>
    <w:p w:rsidR="004A7F2E" w:rsidRPr="004C2818" w:rsidRDefault="004A7F2E" w:rsidP="004A7F2E">
      <w:pPr>
        <w:pStyle w:val="TRNormal"/>
        <w:tabs>
          <w:tab w:val="left" w:pos="567"/>
          <w:tab w:val="left" w:pos="2685"/>
        </w:tabs>
        <w:spacing w:line="240" w:lineRule="auto"/>
      </w:pPr>
    </w:p>
    <w:p w:rsidR="004A7F2E" w:rsidRDefault="004A7F2E" w:rsidP="004A7F2E">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r>
      <w:r>
        <w:t>T</w:t>
      </w:r>
      <w:r w:rsidR="008E6889">
        <w:t>he main change of</w:t>
      </w:r>
      <w:r>
        <w:t xml:space="preserve"> the </w:t>
      </w:r>
      <w:r w:rsidR="008E6889">
        <w:t xml:space="preserve">2013 </w:t>
      </w:r>
      <w:r>
        <w:t xml:space="preserve">reforms has been to shift the focus of the child support formula assessment from assessing the liability of the </w:t>
      </w:r>
      <w:r w:rsidR="00131E8C">
        <w:t>liable parent</w:t>
      </w:r>
      <w:r>
        <w:t xml:space="preserve">, to focusing on the level of support that is required from </w:t>
      </w:r>
      <w:r w:rsidR="00AE5BBE">
        <w:t xml:space="preserve">each </w:t>
      </w:r>
      <w:r>
        <w:t>parent for each qualifying child.</w:t>
      </w:r>
      <w:r w:rsidR="006916BA">
        <w:t xml:space="preserve"> </w:t>
      </w:r>
      <w:r w:rsidR="00F65706">
        <w:t xml:space="preserve"> </w:t>
      </w:r>
      <w:r>
        <w:t>In doing so, it considers a greater range of shared care, the income of all parents of the child (including legal step</w:t>
      </w:r>
      <w:r>
        <w:noBreakHyphen/>
        <w:t>parents), and the average cost of raising the child (taking into account other children of the parents).</w:t>
      </w:r>
      <w:r w:rsidR="00AE5BBE">
        <w:t xml:space="preserve"> </w:t>
      </w:r>
      <w:r w:rsidR="00CC6C74">
        <w:t xml:space="preserve"> </w:t>
      </w:r>
      <w:r w:rsidR="00AE5BBE">
        <w:t xml:space="preserve">At the same time, changes were made to the general administrative processes and rules around payments and debts to improve incentives </w:t>
      </w:r>
      <w:r w:rsidR="001C1C89">
        <w:t xml:space="preserve">for </w:t>
      </w:r>
      <w:r w:rsidR="00131E8C">
        <w:t>liable parent</w:t>
      </w:r>
      <w:r w:rsidR="001C1C89">
        <w:t xml:space="preserve">s </w:t>
      </w:r>
      <w:r w:rsidR="00AE5BBE">
        <w:t>to make timely payments.</w:t>
      </w:r>
    </w:p>
    <w:p w:rsidR="004A7F2E" w:rsidRDefault="004A7F2E" w:rsidP="004A7F2E">
      <w:pPr>
        <w:pStyle w:val="Chapter1"/>
        <w:numPr>
          <w:ilvl w:val="0"/>
          <w:numId w:val="0"/>
        </w:numPr>
        <w:tabs>
          <w:tab w:val="left" w:pos="567"/>
        </w:tabs>
      </w:pPr>
    </w:p>
    <w:p w:rsidR="004A7F2E" w:rsidRDefault="004A7F2E" w:rsidP="004A7F2E">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r>
      <w:r>
        <w:t>More information on the background and the reasons for reviewing the 1991 scheme can be found in the ear</w:t>
      </w:r>
      <w:r w:rsidR="002E6D79">
        <w:t>lier RIS</w:t>
      </w:r>
      <w:r>
        <w:t xml:space="preserve"> </w:t>
      </w:r>
      <w:r>
        <w:rPr>
          <w:i/>
        </w:rPr>
        <w:t xml:space="preserve">Child support scheme </w:t>
      </w:r>
      <w:r w:rsidRPr="00A07E9B">
        <w:rPr>
          <w:i/>
        </w:rPr>
        <w:t>reform</w:t>
      </w:r>
      <w:r>
        <w:t xml:space="preserve"> </w:t>
      </w:r>
      <w:r w:rsidRPr="00A07E9B">
        <w:t>prepared</w:t>
      </w:r>
      <w:r>
        <w:t xml:space="preserve"> by Inland Revenue for the original reforms, dated 26 July 2011 and released November 2011 (see </w:t>
      </w:r>
      <w:hyperlink r:id="rId10" w:history="1">
        <w:r w:rsidRPr="00366310">
          <w:rPr>
            <w:rStyle w:val="Hyperlink"/>
          </w:rPr>
          <w:t>http://taxpolicy.ird.govt.nz/publications/type/ris</w:t>
        </w:r>
      </w:hyperlink>
      <w:r>
        <w:t xml:space="preserve">). </w:t>
      </w:r>
      <w:r w:rsidR="00CC6C74">
        <w:t xml:space="preserve"> </w:t>
      </w:r>
      <w:r>
        <w:t xml:space="preserve">The RIS also considered the problems with the 1991 scheme, the consultation undertaken and analysis of the options for addressing the problems. </w:t>
      </w:r>
    </w:p>
    <w:p w:rsidR="00EE2A2E" w:rsidRPr="0047110C" w:rsidRDefault="00EE2A2E" w:rsidP="006916BA">
      <w:pPr>
        <w:pStyle w:val="TRBodyText"/>
        <w:tabs>
          <w:tab w:val="left" w:pos="540"/>
        </w:tabs>
        <w:spacing w:before="240" w:line="240" w:lineRule="auto"/>
        <w:rPr>
          <w:b/>
          <w:i/>
          <w:iCs/>
        </w:rPr>
      </w:pPr>
      <w:r w:rsidRPr="0047110C">
        <w:rPr>
          <w:b/>
          <w:i/>
          <w:iCs/>
        </w:rPr>
        <w:t>Child Support Amendment Act 2013</w:t>
      </w:r>
    </w:p>
    <w:p w:rsidR="00EE2A2E" w:rsidRDefault="00EE2A2E" w:rsidP="00393428">
      <w:pPr>
        <w:pStyle w:val="Chapter2"/>
        <w:numPr>
          <w:ilvl w:val="0"/>
          <w:numId w:val="0"/>
        </w:numPr>
        <w:tabs>
          <w:tab w:val="left" w:pos="540"/>
        </w:tabs>
      </w:pPr>
    </w:p>
    <w:p w:rsidR="001D72E8" w:rsidRDefault="001D72E8" w:rsidP="00393428">
      <w:pPr>
        <w:pStyle w:val="Chapter2"/>
        <w:numPr>
          <w:ilvl w:val="0"/>
          <w:numId w:val="0"/>
        </w:numPr>
        <w:tabs>
          <w:tab w:val="left" w:pos="540"/>
        </w:tabs>
      </w:pPr>
      <w:r w:rsidRPr="004C2818">
        <w:fldChar w:fldCharType="begin"/>
      </w:r>
      <w:r w:rsidRPr="004C2818">
        <w:instrText xml:space="preserve"> AUTONUM  \* Arabic </w:instrText>
      </w:r>
      <w:r w:rsidRPr="004C2818">
        <w:fldChar w:fldCharType="end"/>
      </w:r>
      <w:r w:rsidRPr="004C2818">
        <w:tab/>
      </w:r>
      <w:r>
        <w:t>Following consultation on a range of options, the child support scheme was amended by the Child Support Amendment Act 2013</w:t>
      </w:r>
      <w:r w:rsidR="008E6889">
        <w:t xml:space="preserve"> (Amendment Act)</w:t>
      </w:r>
      <w:r>
        <w:t xml:space="preserve">. </w:t>
      </w:r>
      <w:r w:rsidR="00CC6C74">
        <w:t xml:space="preserve"> </w:t>
      </w:r>
    </w:p>
    <w:p w:rsidR="00F40DFF" w:rsidRDefault="00F40DFF" w:rsidP="00393428">
      <w:pPr>
        <w:pStyle w:val="Chapter2"/>
        <w:numPr>
          <w:ilvl w:val="0"/>
          <w:numId w:val="0"/>
        </w:numPr>
        <w:tabs>
          <w:tab w:val="left" w:pos="540"/>
        </w:tabs>
      </w:pPr>
    </w:p>
    <w:p w:rsidR="00031FE4" w:rsidRDefault="00F40DFF" w:rsidP="000B3A53">
      <w:pPr>
        <w:pStyle w:val="Chapter2"/>
        <w:numPr>
          <w:ilvl w:val="0"/>
          <w:numId w:val="0"/>
        </w:numPr>
        <w:tabs>
          <w:tab w:val="left" w:pos="284"/>
        </w:tabs>
      </w:pPr>
      <w:r w:rsidRPr="004C2818">
        <w:fldChar w:fldCharType="begin"/>
      </w:r>
      <w:r w:rsidRPr="004C2818">
        <w:instrText xml:space="preserve"> AUTONUM  \* Arabic </w:instrText>
      </w:r>
      <w:r w:rsidRPr="004C2818">
        <w:fldChar w:fldCharType="end"/>
      </w:r>
      <w:r w:rsidRPr="004C2818">
        <w:tab/>
      </w:r>
      <w:r w:rsidR="0038084E">
        <w:t xml:space="preserve">The </w:t>
      </w:r>
      <w:r w:rsidR="00DB06D2">
        <w:t>Amendment Act</w:t>
      </w:r>
      <w:r w:rsidR="003A2F75">
        <w:t xml:space="preserve"> com</w:t>
      </w:r>
      <w:r w:rsidR="00DB06D2">
        <w:t>es</w:t>
      </w:r>
      <w:r w:rsidR="003A2F75">
        <w:t xml:space="preserve"> into effect from different dates</w:t>
      </w:r>
      <w:r w:rsidR="0038084E">
        <w:t>. The application, formula assessment and notification process c</w:t>
      </w:r>
      <w:r w:rsidR="005A0EA8">
        <w:t>a</w:t>
      </w:r>
      <w:r w:rsidR="0038084E">
        <w:t>me into effect fr</w:t>
      </w:r>
      <w:r w:rsidR="000B3A53">
        <w:t>om 1 April 2</w:t>
      </w:r>
      <w:r w:rsidR="0038084E">
        <w:t>015</w:t>
      </w:r>
      <w:r w:rsidR="00F3726C">
        <w:t xml:space="preserve"> (first phase of changes)</w:t>
      </w:r>
      <w:r w:rsidR="0038084E">
        <w:t>.</w:t>
      </w:r>
      <w:r w:rsidR="00CC6C74">
        <w:t xml:space="preserve"> </w:t>
      </w:r>
      <w:r w:rsidR="0038084E">
        <w:t xml:space="preserve"> </w:t>
      </w:r>
      <w:r w:rsidR="00F3726C">
        <w:t>These changes specifically address the first three bullet points of the original policy problems.</w:t>
      </w:r>
      <w:r w:rsidR="00CC6C74">
        <w:t xml:space="preserve"> </w:t>
      </w:r>
      <w:r w:rsidR="00F3726C">
        <w:t xml:space="preserve"> </w:t>
      </w:r>
      <w:r w:rsidR="0038084E">
        <w:t>The changes to the payment process, penalties and debt</w:t>
      </w:r>
      <w:r w:rsidR="000B3A53">
        <w:t xml:space="preserve"> come into effect </w:t>
      </w:r>
      <w:r w:rsidR="00DF0845">
        <w:t xml:space="preserve">on enactment date or on or after </w:t>
      </w:r>
      <w:r w:rsidR="000B3A53">
        <w:t>1 April 2016</w:t>
      </w:r>
      <w:r w:rsidR="00F3726C">
        <w:t>, along with o</w:t>
      </w:r>
      <w:r w:rsidR="00784E85">
        <w:t xml:space="preserve">ther policy changes </w:t>
      </w:r>
      <w:r w:rsidR="00F3726C">
        <w:t>(second phase of changes)</w:t>
      </w:r>
      <w:r w:rsidR="00784E85">
        <w:rPr>
          <w:rStyle w:val="FootnoteReference"/>
        </w:rPr>
        <w:footnoteReference w:id="1"/>
      </w:r>
      <w:r w:rsidR="00784E85">
        <w:t xml:space="preserve">. </w:t>
      </w:r>
      <w:r w:rsidR="00CC6C74">
        <w:t xml:space="preserve"> </w:t>
      </w:r>
      <w:r w:rsidR="00F3726C">
        <w:t>These changes specifically address the last bullet point of the original policy problems.</w:t>
      </w:r>
    </w:p>
    <w:p w:rsidR="00031FE4" w:rsidRPr="004C2818" w:rsidRDefault="00031FE4" w:rsidP="00031FE4">
      <w:pPr>
        <w:pStyle w:val="Chapter2"/>
        <w:numPr>
          <w:ilvl w:val="0"/>
          <w:numId w:val="0"/>
        </w:numPr>
        <w:tabs>
          <w:tab w:val="left" w:pos="540"/>
        </w:tabs>
        <w:spacing w:before="240"/>
      </w:pPr>
      <w:r w:rsidRPr="004C2818">
        <w:fldChar w:fldCharType="begin"/>
      </w:r>
      <w:r w:rsidRPr="004C2818">
        <w:instrText xml:space="preserve"> AUTONUM  </w:instrText>
      </w:r>
      <w:r w:rsidRPr="004C2818">
        <w:fldChar w:fldCharType="end"/>
      </w:r>
      <w:r w:rsidRPr="004C2818">
        <w:tab/>
      </w:r>
      <w:r>
        <w:t xml:space="preserve">Further detail on the 1991 scheme and the 2013 scheme and the consultation undertaken can be found on Inland Revenue’s websites, including the Tax Policy website (see </w:t>
      </w:r>
      <w:hyperlink r:id="rId11" w:history="1">
        <w:r w:rsidRPr="00366310">
          <w:rPr>
            <w:rStyle w:val="Hyperlink"/>
          </w:rPr>
          <w:t>http://www.ird.govt.nz/childsupport/</w:t>
        </w:r>
      </w:hyperlink>
      <w:r>
        <w:t>) .</w:t>
      </w:r>
    </w:p>
    <w:p w:rsidR="00031FE4" w:rsidRDefault="00031FE4" w:rsidP="000B3A53">
      <w:pPr>
        <w:pStyle w:val="Chapter2"/>
        <w:numPr>
          <w:ilvl w:val="0"/>
          <w:numId w:val="0"/>
        </w:numPr>
        <w:tabs>
          <w:tab w:val="left" w:pos="284"/>
        </w:tabs>
      </w:pPr>
    </w:p>
    <w:p w:rsidR="004A7F2E" w:rsidRPr="00E15638" w:rsidRDefault="00031FE4" w:rsidP="000B3A53">
      <w:pPr>
        <w:pStyle w:val="Chapter2"/>
        <w:numPr>
          <w:ilvl w:val="0"/>
          <w:numId w:val="0"/>
        </w:numPr>
        <w:tabs>
          <w:tab w:val="left" w:pos="284"/>
        </w:tabs>
        <w:rPr>
          <w:b/>
          <w:i/>
        </w:rPr>
      </w:pPr>
      <w:r w:rsidRPr="00E15638">
        <w:rPr>
          <w:b/>
          <w:i/>
        </w:rPr>
        <w:t>Review of child support policy work programme</w:t>
      </w:r>
    </w:p>
    <w:p w:rsidR="00031FE4" w:rsidRDefault="00031FE4" w:rsidP="000B3A53">
      <w:pPr>
        <w:pStyle w:val="Chapter2"/>
        <w:numPr>
          <w:ilvl w:val="0"/>
          <w:numId w:val="0"/>
        </w:numPr>
        <w:tabs>
          <w:tab w:val="left" w:pos="284"/>
        </w:tabs>
      </w:pPr>
    </w:p>
    <w:p w:rsidR="00A64F83" w:rsidRDefault="00A64F83" w:rsidP="00555DE4">
      <w:pPr>
        <w:pStyle w:val="Chapter2"/>
        <w:numPr>
          <w:ilvl w:val="0"/>
          <w:numId w:val="0"/>
        </w:numPr>
        <w:tabs>
          <w:tab w:val="left" w:pos="540"/>
        </w:tabs>
        <w:rPr>
          <w:i/>
        </w:rPr>
      </w:pPr>
      <w:r w:rsidRPr="004C2818">
        <w:fldChar w:fldCharType="begin"/>
      </w:r>
      <w:r w:rsidRPr="004C2818">
        <w:instrText xml:space="preserve"> AUTONUM  \* Arabic </w:instrText>
      </w:r>
      <w:r w:rsidRPr="004C2818">
        <w:fldChar w:fldCharType="end"/>
      </w:r>
      <w:r w:rsidRPr="004C2818">
        <w:tab/>
      </w:r>
      <w:r w:rsidR="00081D45">
        <w:t>The child support policy work programme was reviewed in June 2014</w:t>
      </w:r>
      <w:r w:rsidR="00CB2BD5">
        <w:t xml:space="preserve"> and Cabinet agreed</w:t>
      </w:r>
      <w:r w:rsidR="00081D45">
        <w:t xml:space="preserve"> to </w:t>
      </w:r>
      <w:r w:rsidR="00DF0845">
        <w:t>re-</w:t>
      </w:r>
      <w:r w:rsidR="00081D45">
        <w:t>focus the child support reform</w:t>
      </w:r>
      <w:r w:rsidR="00CB2BD5">
        <w:t>s</w:t>
      </w:r>
      <w:r w:rsidR="00081D45">
        <w:t xml:space="preserve"> on reducing the size and growth in child support debt.  Key changes in the reform include a fairer assessment formula, reducing penalty rates, and providing measures to better manage the debt book.  </w:t>
      </w:r>
      <w:r w:rsidR="00555DE4">
        <w:t xml:space="preserve">Further information on the review can be found in the RIS </w:t>
      </w:r>
      <w:r w:rsidR="00555DE4">
        <w:rPr>
          <w:i/>
        </w:rPr>
        <w:t xml:space="preserve">Review </w:t>
      </w:r>
      <w:r w:rsidR="00B95005">
        <w:rPr>
          <w:i/>
        </w:rPr>
        <w:t>of child support scheme reform.</w:t>
      </w:r>
      <w:r w:rsidR="00555DE4">
        <w:rPr>
          <w:i/>
        </w:rPr>
        <w:t xml:space="preserve"> </w:t>
      </w:r>
    </w:p>
    <w:p w:rsidR="00031FE4" w:rsidRDefault="00031FE4" w:rsidP="00555DE4">
      <w:pPr>
        <w:pStyle w:val="Chapter2"/>
        <w:numPr>
          <w:ilvl w:val="0"/>
          <w:numId w:val="0"/>
        </w:numPr>
        <w:tabs>
          <w:tab w:val="left" w:pos="540"/>
        </w:tabs>
        <w:rPr>
          <w:i/>
        </w:rPr>
      </w:pPr>
    </w:p>
    <w:p w:rsidR="00031FE4" w:rsidRPr="00555DE4" w:rsidRDefault="00031FE4" w:rsidP="00555DE4">
      <w:pPr>
        <w:pStyle w:val="Chapter2"/>
        <w:numPr>
          <w:ilvl w:val="0"/>
          <w:numId w:val="0"/>
        </w:numPr>
        <w:tabs>
          <w:tab w:val="left" w:pos="540"/>
        </w:tabs>
        <w:rPr>
          <w:i/>
        </w:rPr>
      </w:pPr>
      <w:r w:rsidRPr="004C2818">
        <w:fldChar w:fldCharType="begin"/>
      </w:r>
      <w:r w:rsidRPr="004C2818">
        <w:instrText xml:space="preserve"> AUTONUM  </w:instrText>
      </w:r>
      <w:r w:rsidRPr="004C2818">
        <w:fldChar w:fldCharType="end"/>
      </w:r>
      <w:r w:rsidRPr="004C2818">
        <w:tab/>
      </w:r>
      <w:r>
        <w:t>At that same time, Cabinet also noted that officials would conduct further analysis on the debt book with a view to developing targeted strategies to address the older legacy debt.</w:t>
      </w:r>
    </w:p>
    <w:p w:rsidR="00FE6151" w:rsidRDefault="00FE6151">
      <w:pPr>
        <w:rPr>
          <w:b/>
          <w:lang w:eastAsia="en-AU"/>
        </w:rPr>
      </w:pPr>
    </w:p>
    <w:p w:rsidR="002B0C34" w:rsidRDefault="002E6D79" w:rsidP="00F5528D">
      <w:pPr>
        <w:pStyle w:val="Chapter1"/>
        <w:numPr>
          <w:ilvl w:val="0"/>
          <w:numId w:val="0"/>
        </w:numPr>
        <w:tabs>
          <w:tab w:val="left" w:pos="567"/>
        </w:tabs>
        <w:spacing w:before="240"/>
        <w:rPr>
          <w:b/>
        </w:rPr>
      </w:pPr>
      <w:r>
        <w:rPr>
          <w:b/>
        </w:rPr>
        <w:lastRenderedPageBreak/>
        <w:t>Problem d</w:t>
      </w:r>
      <w:r w:rsidR="002B0C34">
        <w:rPr>
          <w:b/>
        </w:rPr>
        <w:t>efinition</w:t>
      </w:r>
    </w:p>
    <w:p w:rsidR="002B0C34" w:rsidRDefault="002B0C34" w:rsidP="00F17FAD">
      <w:pPr>
        <w:tabs>
          <w:tab w:val="left" w:pos="567"/>
        </w:tabs>
        <w:jc w:val="both"/>
        <w:rPr>
          <w:b/>
          <w:i/>
        </w:rPr>
      </w:pPr>
    </w:p>
    <w:p w:rsidR="00F17FAD" w:rsidRDefault="00B95005" w:rsidP="00F17FAD">
      <w:pPr>
        <w:tabs>
          <w:tab w:val="left" w:pos="567"/>
        </w:tabs>
        <w:jc w:val="both"/>
        <w:rPr>
          <w:b/>
          <w:i/>
        </w:rPr>
      </w:pPr>
      <w:r>
        <w:rPr>
          <w:b/>
          <w:i/>
        </w:rPr>
        <w:t>C</w:t>
      </w:r>
      <w:r w:rsidR="00F17FAD" w:rsidRPr="001A6FF7">
        <w:rPr>
          <w:b/>
          <w:i/>
        </w:rPr>
        <w:t>hild support debt</w:t>
      </w:r>
    </w:p>
    <w:p w:rsidR="00F17FAD" w:rsidRDefault="00F17FAD" w:rsidP="00F17FAD">
      <w:pPr>
        <w:pStyle w:val="Chapter1"/>
        <w:numPr>
          <w:ilvl w:val="0"/>
          <w:numId w:val="0"/>
        </w:numPr>
        <w:tabs>
          <w:tab w:val="left" w:pos="567"/>
        </w:tabs>
      </w:pPr>
    </w:p>
    <w:p w:rsidR="009D1283" w:rsidRPr="00E51D7C" w:rsidRDefault="009D1283" w:rsidP="009D1283">
      <w:pPr>
        <w:pStyle w:val="Numberparagraph"/>
        <w:numPr>
          <w:ilvl w:val="0"/>
          <w:numId w:val="0"/>
        </w:numPr>
      </w:pPr>
      <w:r w:rsidRPr="004C2818">
        <w:fldChar w:fldCharType="begin"/>
      </w:r>
      <w:r w:rsidRPr="004C2818">
        <w:instrText xml:space="preserve"> AUTONUM  </w:instrText>
      </w:r>
      <w:r w:rsidRPr="004C2818">
        <w:fldChar w:fldCharType="end"/>
      </w:r>
      <w:r w:rsidRPr="004C2818">
        <w:tab/>
      </w:r>
      <w:r w:rsidR="001F532A">
        <w:t>T</w:t>
      </w:r>
      <w:r w:rsidRPr="00E51D7C">
        <w:t xml:space="preserve">able </w:t>
      </w:r>
      <w:r w:rsidR="00883925">
        <w:t>1</w:t>
      </w:r>
      <w:r w:rsidR="001F532A">
        <w:t xml:space="preserve"> </w:t>
      </w:r>
      <w:r w:rsidRPr="00E51D7C">
        <w:t>below summarises the debt book to 31 December 2014 and shows a debtor split between domestic and international (Australia and other countries) debt and the total debt split across assessed debt and penalty (both 10% initial late payment and 2% monthly incremental) debt.</w:t>
      </w:r>
    </w:p>
    <w:p w:rsidR="009D1283" w:rsidRDefault="009D1283" w:rsidP="009D1283">
      <w:pPr>
        <w:pStyle w:val="Numberparagraph"/>
        <w:numPr>
          <w:ilvl w:val="0"/>
          <w:numId w:val="0"/>
        </w:numPr>
      </w:pPr>
    </w:p>
    <w:p w:rsidR="001F532A" w:rsidRPr="005D628F" w:rsidRDefault="00883925" w:rsidP="009D1283">
      <w:pPr>
        <w:pStyle w:val="Numberparagraph"/>
        <w:numPr>
          <w:ilvl w:val="0"/>
          <w:numId w:val="0"/>
        </w:numPr>
        <w:rPr>
          <w:b/>
        </w:rPr>
      </w:pPr>
      <w:r>
        <w:rPr>
          <w:b/>
        </w:rPr>
        <w:t xml:space="preserve">Table 1: </w:t>
      </w:r>
      <w:r w:rsidR="001F532A" w:rsidRPr="005D628F">
        <w:rPr>
          <w:b/>
        </w:rPr>
        <w:t>Debt book summary to 31 December 2014</w:t>
      </w:r>
    </w:p>
    <w:p w:rsidR="001F532A" w:rsidRPr="00E51D7C" w:rsidRDefault="001F532A" w:rsidP="009D1283">
      <w:pPr>
        <w:pStyle w:val="Numberparagraph"/>
        <w:numPr>
          <w:ilvl w:val="0"/>
          <w:numId w:val="0"/>
        </w:numPr>
      </w:pPr>
    </w:p>
    <w:tbl>
      <w:tblPr>
        <w:tblStyle w:val="TableGrid"/>
        <w:tblW w:w="0" w:type="auto"/>
        <w:tblLook w:val="04A0" w:firstRow="1" w:lastRow="0" w:firstColumn="1" w:lastColumn="0" w:noHBand="0" w:noVBand="1"/>
      </w:tblPr>
      <w:tblGrid>
        <w:gridCol w:w="1416"/>
        <w:gridCol w:w="1052"/>
        <w:gridCol w:w="1534"/>
        <w:gridCol w:w="1593"/>
        <w:gridCol w:w="1772"/>
        <w:gridCol w:w="1749"/>
      </w:tblGrid>
      <w:tr w:rsidR="009D1283" w:rsidRPr="00E51D7C" w:rsidTr="009D1283">
        <w:tc>
          <w:tcPr>
            <w:tcW w:w="1242" w:type="dxa"/>
            <w:vAlign w:val="bottom"/>
          </w:tcPr>
          <w:p w:rsidR="009D1283" w:rsidRPr="00E51D7C" w:rsidRDefault="009D1283" w:rsidP="009D1283">
            <w:pPr>
              <w:rPr>
                <w:color w:val="000000"/>
                <w:sz w:val="20"/>
              </w:rPr>
            </w:pPr>
            <w:r w:rsidRPr="00E51D7C">
              <w:rPr>
                <w:color w:val="000000"/>
                <w:sz w:val="20"/>
              </w:rPr>
              <w:t> </w:t>
            </w:r>
          </w:p>
        </w:tc>
        <w:tc>
          <w:tcPr>
            <w:tcW w:w="1134" w:type="dxa"/>
            <w:vAlign w:val="bottom"/>
          </w:tcPr>
          <w:p w:rsidR="009D1283" w:rsidRPr="00E51D7C" w:rsidRDefault="009D1283" w:rsidP="009D1283">
            <w:pPr>
              <w:jc w:val="center"/>
              <w:rPr>
                <w:b/>
                <w:bCs/>
                <w:color w:val="000000"/>
                <w:sz w:val="20"/>
              </w:rPr>
            </w:pPr>
            <w:r w:rsidRPr="00E51D7C">
              <w:rPr>
                <w:b/>
                <w:bCs/>
                <w:color w:val="000000"/>
                <w:sz w:val="20"/>
              </w:rPr>
              <w:t>Debtors</w:t>
            </w:r>
          </w:p>
        </w:tc>
        <w:tc>
          <w:tcPr>
            <w:tcW w:w="1701" w:type="dxa"/>
            <w:vAlign w:val="bottom"/>
          </w:tcPr>
          <w:p w:rsidR="009D1283" w:rsidRDefault="009D1283" w:rsidP="009D1283">
            <w:pPr>
              <w:jc w:val="center"/>
              <w:rPr>
                <w:b/>
                <w:bCs/>
                <w:color w:val="000000"/>
                <w:sz w:val="20"/>
              </w:rPr>
            </w:pPr>
            <w:r w:rsidRPr="00E51D7C">
              <w:rPr>
                <w:b/>
                <w:bCs/>
                <w:color w:val="000000"/>
                <w:sz w:val="20"/>
              </w:rPr>
              <w:t>Assessed Child Support</w:t>
            </w:r>
          </w:p>
          <w:p w:rsidR="005D628F" w:rsidRPr="00E51D7C" w:rsidRDefault="005D628F" w:rsidP="009D1283">
            <w:pPr>
              <w:jc w:val="center"/>
              <w:rPr>
                <w:b/>
                <w:bCs/>
                <w:color w:val="000000"/>
                <w:sz w:val="20"/>
              </w:rPr>
            </w:pPr>
            <w:r>
              <w:rPr>
                <w:b/>
                <w:bCs/>
                <w:color w:val="000000"/>
                <w:sz w:val="20"/>
              </w:rPr>
              <w:t>$</w:t>
            </w:r>
          </w:p>
        </w:tc>
        <w:tc>
          <w:tcPr>
            <w:tcW w:w="1843" w:type="dxa"/>
            <w:vAlign w:val="bottom"/>
          </w:tcPr>
          <w:p w:rsidR="009D1283" w:rsidRDefault="009D1283" w:rsidP="009D1283">
            <w:pPr>
              <w:jc w:val="center"/>
              <w:rPr>
                <w:b/>
                <w:bCs/>
                <w:color w:val="000000"/>
                <w:sz w:val="20"/>
              </w:rPr>
            </w:pPr>
            <w:r w:rsidRPr="00E51D7C">
              <w:rPr>
                <w:b/>
                <w:bCs/>
                <w:color w:val="000000"/>
                <w:sz w:val="20"/>
              </w:rPr>
              <w:t>10% Initial Late Payment Penalty</w:t>
            </w:r>
          </w:p>
          <w:p w:rsidR="005D628F" w:rsidRPr="00E51D7C" w:rsidRDefault="005D628F" w:rsidP="009D1283">
            <w:pPr>
              <w:jc w:val="center"/>
              <w:rPr>
                <w:b/>
                <w:bCs/>
                <w:color w:val="000000"/>
                <w:sz w:val="20"/>
              </w:rPr>
            </w:pPr>
            <w:r>
              <w:rPr>
                <w:b/>
                <w:bCs/>
                <w:color w:val="000000"/>
                <w:sz w:val="20"/>
              </w:rPr>
              <w:t>$</w:t>
            </w:r>
          </w:p>
        </w:tc>
        <w:tc>
          <w:tcPr>
            <w:tcW w:w="1985" w:type="dxa"/>
            <w:vAlign w:val="bottom"/>
          </w:tcPr>
          <w:p w:rsidR="009D1283" w:rsidRDefault="009D1283" w:rsidP="009D1283">
            <w:pPr>
              <w:jc w:val="center"/>
              <w:rPr>
                <w:b/>
                <w:bCs/>
                <w:color w:val="000000"/>
                <w:sz w:val="20"/>
              </w:rPr>
            </w:pPr>
            <w:r w:rsidRPr="00E51D7C">
              <w:rPr>
                <w:b/>
                <w:bCs/>
                <w:color w:val="000000"/>
                <w:sz w:val="20"/>
              </w:rPr>
              <w:t>2% Monthly Incremental Penalty</w:t>
            </w:r>
          </w:p>
          <w:p w:rsidR="005D628F" w:rsidRPr="00E51D7C" w:rsidRDefault="005D628F" w:rsidP="009D1283">
            <w:pPr>
              <w:jc w:val="center"/>
              <w:rPr>
                <w:b/>
                <w:bCs/>
                <w:color w:val="000000"/>
                <w:sz w:val="20"/>
              </w:rPr>
            </w:pPr>
            <w:r>
              <w:rPr>
                <w:b/>
                <w:bCs/>
                <w:color w:val="000000"/>
                <w:sz w:val="20"/>
              </w:rPr>
              <w:t>$</w:t>
            </w:r>
          </w:p>
        </w:tc>
        <w:tc>
          <w:tcPr>
            <w:tcW w:w="1950" w:type="dxa"/>
            <w:vAlign w:val="bottom"/>
          </w:tcPr>
          <w:p w:rsidR="009D1283" w:rsidRDefault="009D1283" w:rsidP="009D1283">
            <w:pPr>
              <w:jc w:val="center"/>
              <w:rPr>
                <w:b/>
                <w:bCs/>
                <w:color w:val="000000"/>
                <w:sz w:val="20"/>
              </w:rPr>
            </w:pPr>
            <w:r w:rsidRPr="00E51D7C">
              <w:rPr>
                <w:b/>
                <w:bCs/>
                <w:color w:val="000000"/>
                <w:sz w:val="20"/>
              </w:rPr>
              <w:t>Total Debt</w:t>
            </w:r>
          </w:p>
          <w:p w:rsidR="005D628F" w:rsidRPr="00E51D7C" w:rsidRDefault="005D628F" w:rsidP="009D1283">
            <w:pPr>
              <w:jc w:val="center"/>
              <w:rPr>
                <w:b/>
                <w:bCs/>
                <w:color w:val="000000"/>
                <w:sz w:val="20"/>
              </w:rPr>
            </w:pPr>
            <w:r>
              <w:rPr>
                <w:b/>
                <w:bCs/>
                <w:color w:val="000000"/>
                <w:sz w:val="20"/>
              </w:rPr>
              <w:t>$</w:t>
            </w:r>
          </w:p>
        </w:tc>
      </w:tr>
      <w:tr w:rsidR="009D1283" w:rsidRPr="00E51D7C" w:rsidTr="009D1283">
        <w:tc>
          <w:tcPr>
            <w:tcW w:w="1242" w:type="dxa"/>
            <w:vAlign w:val="bottom"/>
          </w:tcPr>
          <w:p w:rsidR="009D1283" w:rsidRPr="00E51D7C" w:rsidRDefault="009D1283" w:rsidP="009D1283">
            <w:pPr>
              <w:rPr>
                <w:b/>
                <w:color w:val="000000"/>
                <w:sz w:val="20"/>
              </w:rPr>
            </w:pPr>
            <w:r w:rsidRPr="00E51D7C">
              <w:rPr>
                <w:b/>
                <w:color w:val="000000"/>
                <w:sz w:val="20"/>
              </w:rPr>
              <w:t>Domestic</w:t>
            </w:r>
          </w:p>
        </w:tc>
        <w:tc>
          <w:tcPr>
            <w:tcW w:w="1134" w:type="dxa"/>
            <w:vAlign w:val="bottom"/>
          </w:tcPr>
          <w:p w:rsidR="009D1283" w:rsidRPr="00E51D7C" w:rsidRDefault="009D1283" w:rsidP="009D1283">
            <w:pPr>
              <w:jc w:val="right"/>
              <w:rPr>
                <w:color w:val="000000"/>
                <w:sz w:val="20"/>
              </w:rPr>
            </w:pPr>
            <w:r w:rsidRPr="00E51D7C">
              <w:rPr>
                <w:color w:val="000000"/>
                <w:sz w:val="20"/>
              </w:rPr>
              <w:t>91,255</w:t>
            </w:r>
          </w:p>
        </w:tc>
        <w:tc>
          <w:tcPr>
            <w:tcW w:w="1701" w:type="dxa"/>
            <w:vAlign w:val="bottom"/>
          </w:tcPr>
          <w:p w:rsidR="009D1283" w:rsidRPr="00E51D7C" w:rsidRDefault="009D1283" w:rsidP="009D1283">
            <w:pPr>
              <w:jc w:val="right"/>
              <w:rPr>
                <w:color w:val="000000"/>
                <w:sz w:val="20"/>
              </w:rPr>
            </w:pPr>
            <w:r w:rsidRPr="00E51D7C">
              <w:rPr>
                <w:color w:val="000000"/>
                <w:sz w:val="20"/>
              </w:rPr>
              <w:t>350,281,173</w:t>
            </w:r>
          </w:p>
        </w:tc>
        <w:tc>
          <w:tcPr>
            <w:tcW w:w="1843" w:type="dxa"/>
            <w:vAlign w:val="bottom"/>
          </w:tcPr>
          <w:p w:rsidR="009D1283" w:rsidRPr="00E51D7C" w:rsidRDefault="009D1283" w:rsidP="009D1283">
            <w:pPr>
              <w:jc w:val="right"/>
              <w:rPr>
                <w:color w:val="000000"/>
                <w:sz w:val="20"/>
              </w:rPr>
            </w:pPr>
            <w:r w:rsidRPr="00E51D7C">
              <w:rPr>
                <w:color w:val="000000"/>
                <w:sz w:val="20"/>
              </w:rPr>
              <w:t>54,427,806</w:t>
            </w:r>
          </w:p>
        </w:tc>
        <w:tc>
          <w:tcPr>
            <w:tcW w:w="1985" w:type="dxa"/>
            <w:vAlign w:val="bottom"/>
          </w:tcPr>
          <w:p w:rsidR="009D1283" w:rsidRPr="00E51D7C" w:rsidRDefault="009D1283" w:rsidP="009D1283">
            <w:pPr>
              <w:jc w:val="right"/>
              <w:rPr>
                <w:color w:val="000000"/>
                <w:sz w:val="20"/>
              </w:rPr>
            </w:pPr>
            <w:r w:rsidRPr="00E51D7C">
              <w:rPr>
                <w:color w:val="000000"/>
                <w:sz w:val="20"/>
              </w:rPr>
              <w:t>1,053,068,295</w:t>
            </w:r>
          </w:p>
        </w:tc>
        <w:tc>
          <w:tcPr>
            <w:tcW w:w="1950" w:type="dxa"/>
            <w:vAlign w:val="bottom"/>
          </w:tcPr>
          <w:p w:rsidR="009D1283" w:rsidRPr="00E51D7C" w:rsidRDefault="009D1283" w:rsidP="009D1283">
            <w:pPr>
              <w:jc w:val="right"/>
              <w:rPr>
                <w:color w:val="000000"/>
                <w:sz w:val="20"/>
              </w:rPr>
            </w:pPr>
            <w:r w:rsidRPr="00E51D7C">
              <w:rPr>
                <w:color w:val="000000"/>
                <w:sz w:val="20"/>
              </w:rPr>
              <w:t>1,457,777,274</w:t>
            </w:r>
          </w:p>
        </w:tc>
      </w:tr>
      <w:tr w:rsidR="009D1283" w:rsidRPr="00E51D7C" w:rsidTr="009D1283">
        <w:tc>
          <w:tcPr>
            <w:tcW w:w="1242" w:type="dxa"/>
            <w:vAlign w:val="bottom"/>
          </w:tcPr>
          <w:p w:rsidR="009D1283" w:rsidRPr="00E51D7C" w:rsidRDefault="009D1283" w:rsidP="009D1283">
            <w:pPr>
              <w:rPr>
                <w:b/>
                <w:color w:val="000000"/>
                <w:sz w:val="20"/>
              </w:rPr>
            </w:pPr>
            <w:r w:rsidRPr="00E51D7C">
              <w:rPr>
                <w:b/>
                <w:color w:val="000000"/>
                <w:sz w:val="20"/>
              </w:rPr>
              <w:t>Australia</w:t>
            </w:r>
          </w:p>
        </w:tc>
        <w:tc>
          <w:tcPr>
            <w:tcW w:w="1134" w:type="dxa"/>
            <w:vAlign w:val="bottom"/>
          </w:tcPr>
          <w:p w:rsidR="009D1283" w:rsidRPr="00E51D7C" w:rsidRDefault="009D1283" w:rsidP="009D1283">
            <w:pPr>
              <w:jc w:val="right"/>
              <w:rPr>
                <w:color w:val="000000"/>
                <w:sz w:val="20"/>
              </w:rPr>
            </w:pPr>
            <w:r w:rsidRPr="00E51D7C">
              <w:rPr>
                <w:color w:val="000000"/>
                <w:sz w:val="20"/>
              </w:rPr>
              <w:t>19,138</w:t>
            </w:r>
          </w:p>
        </w:tc>
        <w:tc>
          <w:tcPr>
            <w:tcW w:w="1701" w:type="dxa"/>
            <w:vAlign w:val="bottom"/>
          </w:tcPr>
          <w:p w:rsidR="009D1283" w:rsidRPr="00E51D7C" w:rsidRDefault="009D1283" w:rsidP="009D1283">
            <w:pPr>
              <w:jc w:val="right"/>
              <w:rPr>
                <w:color w:val="000000"/>
                <w:sz w:val="20"/>
              </w:rPr>
            </w:pPr>
            <w:r w:rsidRPr="00E51D7C">
              <w:rPr>
                <w:color w:val="000000"/>
                <w:sz w:val="20"/>
              </w:rPr>
              <w:t>211,258,260</w:t>
            </w:r>
          </w:p>
        </w:tc>
        <w:tc>
          <w:tcPr>
            <w:tcW w:w="1843" w:type="dxa"/>
            <w:vAlign w:val="bottom"/>
          </w:tcPr>
          <w:p w:rsidR="009D1283" w:rsidRPr="00E51D7C" w:rsidRDefault="009D1283" w:rsidP="009D1283">
            <w:pPr>
              <w:jc w:val="right"/>
              <w:rPr>
                <w:color w:val="000000"/>
                <w:sz w:val="20"/>
              </w:rPr>
            </w:pPr>
            <w:r w:rsidRPr="00E51D7C">
              <w:rPr>
                <w:color w:val="000000"/>
                <w:sz w:val="20"/>
              </w:rPr>
              <w:t>19,523,931</w:t>
            </w:r>
          </w:p>
        </w:tc>
        <w:tc>
          <w:tcPr>
            <w:tcW w:w="1985" w:type="dxa"/>
            <w:vAlign w:val="bottom"/>
          </w:tcPr>
          <w:p w:rsidR="009D1283" w:rsidRPr="00E51D7C" w:rsidRDefault="009D1283" w:rsidP="009D1283">
            <w:pPr>
              <w:jc w:val="right"/>
              <w:rPr>
                <w:color w:val="000000"/>
                <w:sz w:val="20"/>
              </w:rPr>
            </w:pPr>
            <w:r w:rsidRPr="00E51D7C">
              <w:rPr>
                <w:color w:val="000000"/>
                <w:sz w:val="20"/>
              </w:rPr>
              <w:t>570,073,302</w:t>
            </w:r>
          </w:p>
        </w:tc>
        <w:tc>
          <w:tcPr>
            <w:tcW w:w="1950" w:type="dxa"/>
            <w:vAlign w:val="bottom"/>
          </w:tcPr>
          <w:p w:rsidR="009D1283" w:rsidRPr="00E51D7C" w:rsidRDefault="009D1283" w:rsidP="009D1283">
            <w:pPr>
              <w:jc w:val="right"/>
              <w:rPr>
                <w:color w:val="000000"/>
                <w:sz w:val="20"/>
              </w:rPr>
            </w:pPr>
            <w:r w:rsidRPr="00E51D7C">
              <w:rPr>
                <w:color w:val="000000"/>
                <w:sz w:val="20"/>
              </w:rPr>
              <w:t>800,855,494</w:t>
            </w:r>
          </w:p>
        </w:tc>
      </w:tr>
      <w:tr w:rsidR="009D1283" w:rsidRPr="00E51D7C" w:rsidTr="009D1283">
        <w:tc>
          <w:tcPr>
            <w:tcW w:w="1242" w:type="dxa"/>
            <w:vAlign w:val="bottom"/>
          </w:tcPr>
          <w:p w:rsidR="009D1283" w:rsidRPr="00E51D7C" w:rsidRDefault="009D1283" w:rsidP="009D1283">
            <w:pPr>
              <w:rPr>
                <w:b/>
                <w:color w:val="000000"/>
                <w:sz w:val="20"/>
                <w:vertAlign w:val="superscript"/>
              </w:rPr>
            </w:pPr>
            <w:r w:rsidRPr="00E51D7C">
              <w:rPr>
                <w:b/>
                <w:color w:val="000000"/>
                <w:sz w:val="20"/>
              </w:rPr>
              <w:t>Other International</w:t>
            </w:r>
            <w:r w:rsidRPr="00E51D7C">
              <w:rPr>
                <w:rStyle w:val="FootnoteReference"/>
                <w:b/>
                <w:color w:val="000000"/>
                <w:sz w:val="20"/>
              </w:rPr>
              <w:footnoteReference w:id="2"/>
            </w:r>
          </w:p>
        </w:tc>
        <w:tc>
          <w:tcPr>
            <w:tcW w:w="1134" w:type="dxa"/>
            <w:vAlign w:val="bottom"/>
          </w:tcPr>
          <w:p w:rsidR="009D1283" w:rsidRPr="00E51D7C" w:rsidRDefault="009D1283" w:rsidP="009D1283">
            <w:pPr>
              <w:jc w:val="right"/>
              <w:rPr>
                <w:color w:val="000000"/>
                <w:sz w:val="20"/>
              </w:rPr>
            </w:pPr>
            <w:r w:rsidRPr="00E51D7C">
              <w:rPr>
                <w:color w:val="000000"/>
                <w:sz w:val="20"/>
              </w:rPr>
              <w:t>10,160</w:t>
            </w:r>
          </w:p>
        </w:tc>
        <w:tc>
          <w:tcPr>
            <w:tcW w:w="1701" w:type="dxa"/>
            <w:vAlign w:val="bottom"/>
          </w:tcPr>
          <w:p w:rsidR="009D1283" w:rsidRPr="00E51D7C" w:rsidRDefault="009D1283" w:rsidP="009D1283">
            <w:pPr>
              <w:jc w:val="right"/>
              <w:rPr>
                <w:color w:val="000000"/>
                <w:sz w:val="20"/>
              </w:rPr>
            </w:pPr>
            <w:r w:rsidRPr="00E51D7C">
              <w:rPr>
                <w:color w:val="000000"/>
                <w:sz w:val="20"/>
              </w:rPr>
              <w:t>146,289,712</w:t>
            </w:r>
          </w:p>
        </w:tc>
        <w:tc>
          <w:tcPr>
            <w:tcW w:w="1843" w:type="dxa"/>
            <w:vAlign w:val="bottom"/>
          </w:tcPr>
          <w:p w:rsidR="009D1283" w:rsidRPr="00E51D7C" w:rsidRDefault="009D1283" w:rsidP="009D1283">
            <w:pPr>
              <w:jc w:val="right"/>
              <w:rPr>
                <w:color w:val="000000"/>
                <w:sz w:val="20"/>
              </w:rPr>
            </w:pPr>
            <w:r w:rsidRPr="00E51D7C">
              <w:rPr>
                <w:color w:val="000000"/>
                <w:sz w:val="20"/>
              </w:rPr>
              <w:t>16,942,411</w:t>
            </w:r>
          </w:p>
        </w:tc>
        <w:tc>
          <w:tcPr>
            <w:tcW w:w="1985" w:type="dxa"/>
            <w:vAlign w:val="bottom"/>
          </w:tcPr>
          <w:p w:rsidR="009D1283" w:rsidRPr="00E51D7C" w:rsidRDefault="009D1283" w:rsidP="009D1283">
            <w:pPr>
              <w:jc w:val="right"/>
              <w:rPr>
                <w:color w:val="000000"/>
                <w:sz w:val="20"/>
              </w:rPr>
            </w:pPr>
            <w:r w:rsidRPr="00E51D7C">
              <w:rPr>
                <w:color w:val="000000"/>
                <w:sz w:val="20"/>
              </w:rPr>
              <w:t>766,076,600</w:t>
            </w:r>
          </w:p>
        </w:tc>
        <w:tc>
          <w:tcPr>
            <w:tcW w:w="1950" w:type="dxa"/>
            <w:vAlign w:val="bottom"/>
          </w:tcPr>
          <w:p w:rsidR="009D1283" w:rsidRPr="00E51D7C" w:rsidRDefault="009D1283" w:rsidP="009D1283">
            <w:pPr>
              <w:jc w:val="right"/>
              <w:rPr>
                <w:color w:val="000000"/>
                <w:sz w:val="20"/>
              </w:rPr>
            </w:pPr>
            <w:r w:rsidRPr="00E51D7C">
              <w:rPr>
                <w:color w:val="000000"/>
                <w:sz w:val="20"/>
              </w:rPr>
              <w:t>929,308,723</w:t>
            </w:r>
          </w:p>
        </w:tc>
      </w:tr>
      <w:tr w:rsidR="009D1283" w:rsidRPr="00BF215D" w:rsidTr="009D1283">
        <w:tc>
          <w:tcPr>
            <w:tcW w:w="1242" w:type="dxa"/>
            <w:vAlign w:val="bottom"/>
          </w:tcPr>
          <w:p w:rsidR="009D1283" w:rsidRPr="00E51D7C" w:rsidRDefault="009D1283" w:rsidP="009D1283">
            <w:pPr>
              <w:rPr>
                <w:b/>
                <w:bCs/>
                <w:color w:val="000000"/>
                <w:sz w:val="20"/>
              </w:rPr>
            </w:pPr>
            <w:r w:rsidRPr="00E51D7C">
              <w:rPr>
                <w:b/>
                <w:bCs/>
                <w:color w:val="000000"/>
                <w:sz w:val="20"/>
              </w:rPr>
              <w:t>Total</w:t>
            </w:r>
          </w:p>
        </w:tc>
        <w:tc>
          <w:tcPr>
            <w:tcW w:w="1134" w:type="dxa"/>
            <w:vAlign w:val="bottom"/>
          </w:tcPr>
          <w:p w:rsidR="009D1283" w:rsidRPr="00E51D7C" w:rsidRDefault="009D1283" w:rsidP="009D1283">
            <w:pPr>
              <w:jc w:val="right"/>
              <w:rPr>
                <w:b/>
                <w:bCs/>
                <w:color w:val="000000"/>
                <w:sz w:val="20"/>
              </w:rPr>
            </w:pPr>
            <w:r w:rsidRPr="00E51D7C">
              <w:rPr>
                <w:b/>
                <w:bCs/>
                <w:color w:val="000000"/>
                <w:sz w:val="20"/>
              </w:rPr>
              <w:t>120,553</w:t>
            </w:r>
          </w:p>
        </w:tc>
        <w:tc>
          <w:tcPr>
            <w:tcW w:w="1701" w:type="dxa"/>
            <w:vAlign w:val="bottom"/>
          </w:tcPr>
          <w:p w:rsidR="009D1283" w:rsidRPr="00E51D7C" w:rsidRDefault="009D1283" w:rsidP="009D1283">
            <w:pPr>
              <w:jc w:val="right"/>
              <w:rPr>
                <w:b/>
                <w:bCs/>
                <w:color w:val="000000"/>
                <w:sz w:val="20"/>
              </w:rPr>
            </w:pPr>
            <w:r w:rsidRPr="00E51D7C">
              <w:rPr>
                <w:b/>
                <w:bCs/>
                <w:color w:val="000000"/>
                <w:sz w:val="20"/>
              </w:rPr>
              <w:t>707,829,145</w:t>
            </w:r>
          </w:p>
        </w:tc>
        <w:tc>
          <w:tcPr>
            <w:tcW w:w="1843" w:type="dxa"/>
            <w:vAlign w:val="bottom"/>
          </w:tcPr>
          <w:p w:rsidR="009D1283" w:rsidRPr="00E51D7C" w:rsidRDefault="009D1283" w:rsidP="009D1283">
            <w:pPr>
              <w:jc w:val="right"/>
              <w:rPr>
                <w:b/>
                <w:bCs/>
                <w:color w:val="000000"/>
                <w:sz w:val="20"/>
              </w:rPr>
            </w:pPr>
            <w:r w:rsidRPr="00E51D7C">
              <w:rPr>
                <w:b/>
                <w:bCs/>
                <w:color w:val="000000"/>
                <w:sz w:val="20"/>
              </w:rPr>
              <w:t>90,894,148</w:t>
            </w:r>
          </w:p>
        </w:tc>
        <w:tc>
          <w:tcPr>
            <w:tcW w:w="1985" w:type="dxa"/>
            <w:vAlign w:val="bottom"/>
          </w:tcPr>
          <w:p w:rsidR="009D1283" w:rsidRPr="00E51D7C" w:rsidRDefault="009D1283" w:rsidP="009D1283">
            <w:pPr>
              <w:jc w:val="right"/>
              <w:rPr>
                <w:b/>
                <w:bCs/>
                <w:color w:val="000000"/>
                <w:sz w:val="20"/>
              </w:rPr>
            </w:pPr>
            <w:r w:rsidRPr="00E51D7C">
              <w:rPr>
                <w:b/>
                <w:bCs/>
                <w:color w:val="000000"/>
                <w:sz w:val="20"/>
              </w:rPr>
              <w:t>2,389,218,198</w:t>
            </w:r>
          </w:p>
        </w:tc>
        <w:tc>
          <w:tcPr>
            <w:tcW w:w="1950" w:type="dxa"/>
            <w:vAlign w:val="bottom"/>
          </w:tcPr>
          <w:p w:rsidR="009D1283" w:rsidRPr="00E51D7C" w:rsidRDefault="009D1283" w:rsidP="009D1283">
            <w:pPr>
              <w:jc w:val="right"/>
              <w:rPr>
                <w:b/>
                <w:bCs/>
                <w:color w:val="000000"/>
                <w:sz w:val="20"/>
              </w:rPr>
            </w:pPr>
            <w:r w:rsidRPr="00E51D7C">
              <w:rPr>
                <w:b/>
                <w:bCs/>
                <w:color w:val="000000"/>
                <w:sz w:val="20"/>
              </w:rPr>
              <w:t>3,187,941,490</w:t>
            </w:r>
          </w:p>
        </w:tc>
      </w:tr>
    </w:tbl>
    <w:p w:rsidR="009D1283" w:rsidRDefault="009D1283" w:rsidP="00F17FAD">
      <w:pPr>
        <w:pStyle w:val="Chapter1"/>
        <w:numPr>
          <w:ilvl w:val="0"/>
          <w:numId w:val="0"/>
        </w:numPr>
        <w:tabs>
          <w:tab w:val="left" w:pos="567"/>
        </w:tabs>
      </w:pPr>
    </w:p>
    <w:p w:rsidR="0054622E" w:rsidRDefault="0054622E" w:rsidP="00F17FAD">
      <w:pPr>
        <w:pStyle w:val="Chapter1"/>
        <w:numPr>
          <w:ilvl w:val="0"/>
          <w:numId w:val="0"/>
        </w:numPr>
        <w:tabs>
          <w:tab w:val="left" w:pos="567"/>
        </w:tabs>
      </w:pPr>
    </w:p>
    <w:p w:rsidR="00C632A4" w:rsidRDefault="00F17FAD" w:rsidP="00F17FAD">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r>
      <w:r w:rsidR="0078370B">
        <w:t>Analysis shows that e</w:t>
      </w:r>
      <w:r w:rsidR="00031FE4">
        <w:t>scalating levels of accumulated child support debt, relating particularly to penalties, is increasingly becoming an issue.</w:t>
      </w:r>
      <w:r>
        <w:t xml:space="preserve"> 7</w:t>
      </w:r>
      <w:r w:rsidR="00DF0845">
        <w:t>8</w:t>
      </w:r>
      <w:r w:rsidR="00EF6AC1">
        <w:t>% of the debt is related to</w:t>
      </w:r>
      <w:r>
        <w:t xml:space="preserve"> penalties</w:t>
      </w:r>
      <w:r w:rsidR="00EF6AC1">
        <w:t xml:space="preserve"> and is 97% impaired (not expected to be collected).</w:t>
      </w:r>
      <w:r w:rsidR="00D66F92">
        <w:t xml:space="preserve"> </w:t>
      </w:r>
    </w:p>
    <w:p w:rsidR="00C632A4" w:rsidRDefault="00C632A4" w:rsidP="00F17FAD">
      <w:pPr>
        <w:pStyle w:val="Chapter1"/>
        <w:numPr>
          <w:ilvl w:val="0"/>
          <w:numId w:val="0"/>
        </w:numPr>
        <w:tabs>
          <w:tab w:val="left" w:pos="567"/>
        </w:tabs>
      </w:pPr>
    </w:p>
    <w:p w:rsidR="00EF6AC1" w:rsidRDefault="00C632A4" w:rsidP="00EF6AC1">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r>
      <w:r w:rsidR="00EF6AC1">
        <w:t>There are two types of late payment penalties charged to outstanding debt amounts:</w:t>
      </w:r>
    </w:p>
    <w:p w:rsidR="00EF6AC1" w:rsidRDefault="00EF6AC1" w:rsidP="00EF6AC1">
      <w:pPr>
        <w:numPr>
          <w:ilvl w:val="0"/>
          <w:numId w:val="30"/>
        </w:numPr>
        <w:spacing w:before="100" w:beforeAutospacing="1" w:after="100" w:afterAutospacing="1"/>
      </w:pPr>
      <w:r>
        <w:t>Initial late payment penalties. Imposed on any unpaid balance of assessment immediately following the due date at a rate of 10% (or $5.00, whichever is greater).</w:t>
      </w:r>
      <w:r w:rsidR="00980B51">
        <w:br/>
      </w:r>
    </w:p>
    <w:p w:rsidR="00EF6AC1" w:rsidRDefault="00EF6AC1" w:rsidP="00EF6AC1">
      <w:pPr>
        <w:numPr>
          <w:ilvl w:val="0"/>
          <w:numId w:val="30"/>
        </w:numPr>
        <w:spacing w:before="100" w:beforeAutospacing="1" w:after="100" w:afterAutospacing="1"/>
      </w:pPr>
      <w:r>
        <w:t>Incremental late payment penalties. Imposed monthly (following the initial late payment penalty) on any unpaid amounts (inclusive of existing penalties) at a rate of 2%.</w:t>
      </w:r>
    </w:p>
    <w:p w:rsidR="00F17FAD" w:rsidRDefault="00EF6AC1" w:rsidP="00EF6AC1">
      <w:pPr>
        <w:spacing w:before="100" w:beforeAutospacing="1" w:after="100" w:afterAutospacing="1"/>
      </w:pPr>
      <w:r>
        <w:t>The penalty regime creates an effective penalty rate of 37% within the first 18 months.</w:t>
      </w:r>
    </w:p>
    <w:p w:rsidR="005F1345" w:rsidRDefault="005F1345" w:rsidP="005F1345">
      <w:pPr>
        <w:pStyle w:val="Chapter1"/>
        <w:numPr>
          <w:ilvl w:val="0"/>
          <w:numId w:val="0"/>
        </w:numPr>
        <w:tabs>
          <w:tab w:val="left" w:pos="567"/>
        </w:tabs>
      </w:pPr>
      <w:r w:rsidRPr="004C2818">
        <w:fldChar w:fldCharType="begin"/>
      </w:r>
      <w:r w:rsidRPr="004C2818">
        <w:instrText xml:space="preserve"> AUTONUM  </w:instrText>
      </w:r>
      <w:r w:rsidRPr="004C2818">
        <w:fldChar w:fldCharType="end"/>
      </w:r>
      <w:r w:rsidRPr="004C2818">
        <w:tab/>
      </w:r>
      <w:r>
        <w:t>Although the Commissioner of Inland Revenue</w:t>
      </w:r>
      <w:r w:rsidR="00DF0845">
        <w:t xml:space="preserve"> (CIR)</w:t>
      </w:r>
      <w:r>
        <w:t xml:space="preserve"> has a wide range</w:t>
      </w:r>
      <w:r w:rsidR="00DF0845">
        <w:t xml:space="preserve"> of debt collection tools </w:t>
      </w:r>
      <w:r>
        <w:t>to apply across the compliance spectrum</w:t>
      </w:r>
      <w:r w:rsidR="007B661C">
        <w:t xml:space="preserve"> within the debt book</w:t>
      </w:r>
      <w:r>
        <w:t xml:space="preserve">, the inflationary nature of penalties over time </w:t>
      </w:r>
      <w:r w:rsidR="007B661C">
        <w:t xml:space="preserve">has resulted in </w:t>
      </w:r>
      <w:r w:rsidR="00031FE4">
        <w:t>high levels of debt.</w:t>
      </w:r>
      <w:r w:rsidR="007B661C">
        <w:t xml:space="preserve"> </w:t>
      </w:r>
      <w:r w:rsidR="00031FE4">
        <w:t xml:space="preserve"> </w:t>
      </w:r>
      <w:r w:rsidR="00D77E49">
        <w:t xml:space="preserve">While a penalty regime may be an appropriate part of any compliance model it should not unfairly </w:t>
      </w:r>
      <w:r w:rsidR="005E2A69">
        <w:t xml:space="preserve">or unreasonably penalise people.  </w:t>
      </w:r>
      <w:r w:rsidR="00094C7A">
        <w:t>Research suggests</w:t>
      </w:r>
      <w:r w:rsidR="008E0E4E">
        <w:t xml:space="preserve"> that when debt reaches certain levels ($10,000 or half as much again as the original amount) </w:t>
      </w:r>
      <w:r w:rsidR="00DF0845">
        <w:t>the debt level</w:t>
      </w:r>
      <w:r w:rsidR="008E0E4E">
        <w:t xml:space="preserve"> become</w:t>
      </w:r>
      <w:r w:rsidR="00DF0845">
        <w:t>s</w:t>
      </w:r>
      <w:r w:rsidR="008E0E4E">
        <w:t xml:space="preserve"> a disincentive to pay and people disengage from their debt.</w:t>
      </w:r>
    </w:p>
    <w:p w:rsidR="005F1345" w:rsidRDefault="005F1345" w:rsidP="00F17FAD">
      <w:pPr>
        <w:pStyle w:val="Chapter1"/>
        <w:numPr>
          <w:ilvl w:val="0"/>
          <w:numId w:val="0"/>
        </w:numPr>
        <w:tabs>
          <w:tab w:val="left" w:pos="567"/>
        </w:tabs>
      </w:pPr>
    </w:p>
    <w:p w:rsidR="009234F0" w:rsidRDefault="00F17FAD" w:rsidP="00160BF2">
      <w:pPr>
        <w:pStyle w:val="Chapter1"/>
        <w:numPr>
          <w:ilvl w:val="0"/>
          <w:numId w:val="0"/>
        </w:numPr>
        <w:tabs>
          <w:tab w:val="left" w:pos="567"/>
        </w:tabs>
      </w:pPr>
      <w:r w:rsidRPr="004C2818" w:rsidDel="00031FE4">
        <w:fldChar w:fldCharType="begin"/>
      </w:r>
      <w:r w:rsidRPr="004C2818" w:rsidDel="00031FE4">
        <w:instrText xml:space="preserve"> AUTONUM  </w:instrText>
      </w:r>
      <w:r w:rsidRPr="004C2818" w:rsidDel="00031FE4">
        <w:fldChar w:fldCharType="end"/>
      </w:r>
      <w:r w:rsidRPr="004C2818" w:rsidDel="00031FE4">
        <w:tab/>
      </w:r>
      <w:r w:rsidDel="00031FE4">
        <w:t>The Amendment Act</w:t>
      </w:r>
      <w:r w:rsidR="008A388F" w:rsidDel="00031FE4">
        <w:t xml:space="preserve"> </w:t>
      </w:r>
      <w:r w:rsidDel="00031FE4">
        <w:t>go</w:t>
      </w:r>
      <w:r w:rsidR="008A388F" w:rsidDel="00031FE4">
        <w:t>es</w:t>
      </w:r>
      <w:r w:rsidDel="00031FE4">
        <w:t xml:space="preserve"> some way to addressing the issue of child support </w:t>
      </w:r>
      <w:r w:rsidR="00DF0845" w:rsidDel="00031FE4">
        <w:t xml:space="preserve">legacy </w:t>
      </w:r>
      <w:r w:rsidDel="00031FE4">
        <w:t xml:space="preserve">debt </w:t>
      </w:r>
      <w:r w:rsidR="008A388F" w:rsidDel="00031FE4">
        <w:t xml:space="preserve">by </w:t>
      </w:r>
      <w:r w:rsidR="005F1345" w:rsidDel="00031FE4">
        <w:t xml:space="preserve">providing some incentive for </w:t>
      </w:r>
      <w:r w:rsidR="00131E8C">
        <w:t>liable parent</w:t>
      </w:r>
      <w:r w:rsidR="005F1345" w:rsidDel="00031FE4">
        <w:t xml:space="preserve">s to enter into instalment arrangements </w:t>
      </w:r>
      <w:r w:rsidR="00DF0845" w:rsidDel="00031FE4">
        <w:t xml:space="preserve">for their debt </w:t>
      </w:r>
      <w:r w:rsidR="005F1345" w:rsidDel="00031FE4">
        <w:t>and comply with those arrangements</w:t>
      </w:r>
      <w:r w:rsidR="008A388F" w:rsidDel="00031FE4">
        <w:t>.</w:t>
      </w:r>
      <w:r w:rsidR="004B6D45" w:rsidDel="00031FE4">
        <w:t xml:space="preserve"> </w:t>
      </w:r>
      <w:r w:rsidR="005F1345" w:rsidDel="00031FE4">
        <w:t xml:space="preserve"> In addition</w:t>
      </w:r>
      <w:r w:rsidR="00D77E49" w:rsidDel="00031FE4">
        <w:t>, changes to reduce</w:t>
      </w:r>
      <w:r w:rsidR="008A388F" w:rsidDel="00031FE4">
        <w:t xml:space="preserve"> penalty rate</w:t>
      </w:r>
      <w:r w:rsidR="005F1345" w:rsidDel="00031FE4">
        <w:t>s</w:t>
      </w:r>
      <w:r w:rsidR="008A388F" w:rsidDel="00031FE4">
        <w:t xml:space="preserve"> an</w:t>
      </w:r>
      <w:r w:rsidR="00DF0845" w:rsidDel="00031FE4">
        <w:t>d allow for debt write</w:t>
      </w:r>
      <w:r w:rsidR="00DF0845" w:rsidDel="00031FE4">
        <w:noBreakHyphen/>
        <w:t>offs are expected to</w:t>
      </w:r>
      <w:r w:rsidR="008A388F" w:rsidDel="00031FE4">
        <w:t xml:space="preserve"> reduce debt from 2016</w:t>
      </w:r>
      <w:r w:rsidR="00DF0845" w:rsidDel="00031FE4">
        <w:t xml:space="preserve">.  </w:t>
      </w:r>
    </w:p>
    <w:p w:rsidR="009234F0" w:rsidRDefault="009234F0" w:rsidP="00160BF2">
      <w:pPr>
        <w:pStyle w:val="Chapter1"/>
        <w:numPr>
          <w:ilvl w:val="0"/>
          <w:numId w:val="0"/>
        </w:numPr>
        <w:tabs>
          <w:tab w:val="left" w:pos="567"/>
        </w:tabs>
      </w:pPr>
    </w:p>
    <w:p w:rsidR="005D628F" w:rsidRDefault="005D628F">
      <w:pPr>
        <w:rPr>
          <w:lang w:eastAsia="en-AU"/>
        </w:rPr>
      </w:pPr>
      <w:r>
        <w:br w:type="page"/>
      </w:r>
    </w:p>
    <w:p w:rsidR="00696692" w:rsidRDefault="009234F0" w:rsidP="00160BF2">
      <w:pPr>
        <w:pStyle w:val="Chapter1"/>
        <w:numPr>
          <w:ilvl w:val="0"/>
          <w:numId w:val="0"/>
        </w:numPr>
        <w:tabs>
          <w:tab w:val="left" w:pos="567"/>
        </w:tabs>
      </w:pPr>
      <w:r w:rsidRPr="004C2818" w:rsidDel="00031FE4">
        <w:lastRenderedPageBreak/>
        <w:fldChar w:fldCharType="begin"/>
      </w:r>
      <w:r w:rsidRPr="004C2818" w:rsidDel="00031FE4">
        <w:instrText xml:space="preserve"> AUTONUM  </w:instrText>
      </w:r>
      <w:r w:rsidRPr="004C2818" w:rsidDel="00031FE4">
        <w:fldChar w:fldCharType="end"/>
      </w:r>
      <w:r w:rsidRPr="004C2818" w:rsidDel="00031FE4">
        <w:tab/>
      </w:r>
      <w:r w:rsidR="00DF0845" w:rsidDel="00031FE4">
        <w:t xml:space="preserve">However, </w:t>
      </w:r>
      <w:r>
        <w:t>further analysis of the debt book shows that the penalty regime – post-reform – would not be flexible enough to address the legacy debt.  This largely results from legislative constraints on incentives for liable parents to pay their assessment debt and on the Commissioner’s ability to negotiate payment arrangements and pragmatically manage the debt book to address legacy debt.</w:t>
      </w:r>
      <w:r w:rsidR="003F4B3F" w:rsidDel="00031FE4">
        <w:t xml:space="preserve"> </w:t>
      </w:r>
      <w:r w:rsidR="00F17FAD" w:rsidDel="00031FE4">
        <w:t xml:space="preserve"> Child support </w:t>
      </w:r>
      <w:r w:rsidR="008E0E4E" w:rsidDel="00031FE4">
        <w:t xml:space="preserve">legacy </w:t>
      </w:r>
      <w:r w:rsidR="00F17FAD" w:rsidDel="00031FE4">
        <w:t>debt remains a problem.</w:t>
      </w:r>
    </w:p>
    <w:p w:rsidR="0078370B" w:rsidRDefault="0078370B" w:rsidP="00160BF2">
      <w:pPr>
        <w:pStyle w:val="Chapter1"/>
        <w:numPr>
          <w:ilvl w:val="0"/>
          <w:numId w:val="0"/>
        </w:numPr>
        <w:tabs>
          <w:tab w:val="left" w:pos="567"/>
        </w:tabs>
      </w:pPr>
    </w:p>
    <w:p w:rsidR="0078370B" w:rsidDel="00031FE4" w:rsidRDefault="0078370B" w:rsidP="00160BF2">
      <w:pPr>
        <w:pStyle w:val="Chapter1"/>
        <w:numPr>
          <w:ilvl w:val="0"/>
          <w:numId w:val="0"/>
        </w:numPr>
        <w:tabs>
          <w:tab w:val="left" w:pos="567"/>
        </w:tabs>
      </w:pPr>
      <w:r w:rsidRPr="004C2818" w:rsidDel="00031FE4">
        <w:fldChar w:fldCharType="begin"/>
      </w:r>
      <w:r w:rsidRPr="004C2818" w:rsidDel="00031FE4">
        <w:instrText xml:space="preserve"> AUTONUM  </w:instrText>
      </w:r>
      <w:r w:rsidRPr="004C2818" w:rsidDel="00031FE4">
        <w:fldChar w:fldCharType="end"/>
      </w:r>
      <w:r w:rsidRPr="004C2818" w:rsidDel="00031FE4">
        <w:tab/>
      </w:r>
      <w:r>
        <w:t xml:space="preserve">Further measures are needed to improve flexibility for the </w:t>
      </w:r>
      <w:r w:rsidR="002E6D79">
        <w:t xml:space="preserve">CIR </w:t>
      </w:r>
      <w:r>
        <w:t>to negotiate payment arrangements for child support debt and more pragmatically manage the older legacy debt.</w:t>
      </w:r>
    </w:p>
    <w:p w:rsidR="00ED71DE" w:rsidRDefault="00ED71DE">
      <w:pPr>
        <w:rPr>
          <w:b/>
          <w:caps/>
        </w:rPr>
      </w:pPr>
    </w:p>
    <w:p w:rsidR="00ED71DE" w:rsidRDefault="00AB7312" w:rsidP="002656A1">
      <w:pPr>
        <w:tabs>
          <w:tab w:val="left" w:pos="540"/>
          <w:tab w:val="left" w:pos="567"/>
        </w:tabs>
        <w:spacing w:before="240"/>
        <w:jc w:val="both"/>
        <w:rPr>
          <w:b/>
          <w:caps/>
        </w:rPr>
      </w:pPr>
      <w:r w:rsidRPr="004C2818">
        <w:rPr>
          <w:b/>
          <w:caps/>
        </w:rPr>
        <w:t>Objectives</w:t>
      </w:r>
    </w:p>
    <w:p w:rsidR="00AB7312" w:rsidRPr="00ED71DE" w:rsidRDefault="00AB7312" w:rsidP="00ED71DE">
      <w:pPr>
        <w:rPr>
          <w:b/>
          <w:caps/>
        </w:rPr>
      </w:pPr>
    </w:p>
    <w:p w:rsidR="00AB7312" w:rsidRPr="004C2818" w:rsidRDefault="00AB7312" w:rsidP="00393428">
      <w:pPr>
        <w:tabs>
          <w:tab w:val="left" w:pos="567"/>
        </w:tabs>
      </w:pPr>
      <w:r w:rsidRPr="004C2818">
        <w:fldChar w:fldCharType="begin"/>
      </w:r>
      <w:r w:rsidRPr="004C2818">
        <w:instrText xml:space="preserve"> AUTONUM  </w:instrText>
      </w:r>
      <w:r w:rsidRPr="004C2818">
        <w:fldChar w:fldCharType="end"/>
      </w:r>
      <w:r w:rsidRPr="004C2818">
        <w:tab/>
      </w:r>
      <w:r w:rsidR="00407F36">
        <w:t xml:space="preserve">The objectives </w:t>
      </w:r>
      <w:r w:rsidR="0078370B">
        <w:t xml:space="preserve">of further measures </w:t>
      </w:r>
      <w:r w:rsidR="00407F36">
        <w:t>are</w:t>
      </w:r>
      <w:r w:rsidR="00E86E53">
        <w:t xml:space="preserve"> to</w:t>
      </w:r>
      <w:r w:rsidR="00407F36">
        <w:t xml:space="preserve">:  </w:t>
      </w:r>
    </w:p>
    <w:p w:rsidR="00AB7312" w:rsidRPr="004C2818" w:rsidRDefault="00AB7312" w:rsidP="00393428">
      <w:pPr>
        <w:tabs>
          <w:tab w:val="left" w:pos="567"/>
        </w:tabs>
      </w:pPr>
    </w:p>
    <w:p w:rsidR="00C800AC" w:rsidRDefault="001104B1" w:rsidP="005D628F">
      <w:pPr>
        <w:pStyle w:val="TRNormal"/>
        <w:ind w:left="1134" w:hanging="546"/>
      </w:pPr>
      <w:r>
        <w:t>a)</w:t>
      </w:r>
      <w:r>
        <w:tab/>
      </w:r>
      <w:r w:rsidR="005D628F">
        <w:t>Reduce</w:t>
      </w:r>
      <w:r w:rsidR="004237E6">
        <w:t xml:space="preserve"> </w:t>
      </w:r>
      <w:r w:rsidR="00C800AC">
        <w:t xml:space="preserve">child support </w:t>
      </w:r>
      <w:r w:rsidR="00DF0845">
        <w:t xml:space="preserve">legacy </w:t>
      </w:r>
      <w:r w:rsidR="00C800AC">
        <w:t>debt</w:t>
      </w:r>
      <w:r w:rsidR="00491CC1">
        <w:t>;</w:t>
      </w:r>
    </w:p>
    <w:p w:rsidR="004237E6" w:rsidRDefault="00C800AC" w:rsidP="005D628F">
      <w:pPr>
        <w:pStyle w:val="TRNormal"/>
        <w:ind w:left="1134" w:hanging="546"/>
      </w:pPr>
      <w:r>
        <w:t>b)</w:t>
      </w:r>
      <w:r>
        <w:tab/>
      </w:r>
      <w:r w:rsidR="005D628F">
        <w:t>Encourage</w:t>
      </w:r>
      <w:r w:rsidR="004237E6">
        <w:t xml:space="preserve"> parents to pay their financial support obligations</w:t>
      </w:r>
      <w:r w:rsidR="00E109E9">
        <w:t>;</w:t>
      </w:r>
      <w:r w:rsidR="004237E6">
        <w:t xml:space="preserve">  </w:t>
      </w:r>
    </w:p>
    <w:p w:rsidR="00BE66D6" w:rsidRPr="004C2818" w:rsidRDefault="00C800AC" w:rsidP="005D628F">
      <w:pPr>
        <w:pStyle w:val="TRNormal"/>
        <w:ind w:left="1134" w:hanging="546"/>
      </w:pPr>
      <w:r>
        <w:t>c)</w:t>
      </w:r>
      <w:r>
        <w:tab/>
      </w:r>
      <w:r w:rsidR="005D628F">
        <w:t>Provide</w:t>
      </w:r>
      <w:r w:rsidR="0078370B">
        <w:t xml:space="preserve"> more flexibility for the </w:t>
      </w:r>
      <w:r w:rsidR="002E6D79">
        <w:t>CIR</w:t>
      </w:r>
      <w:r w:rsidR="004237E6">
        <w:t xml:space="preserve"> to </w:t>
      </w:r>
      <w:r w:rsidR="00696692">
        <w:t xml:space="preserve">negotiate payment arrangements and </w:t>
      </w:r>
      <w:r w:rsidR="0078370B">
        <w:t xml:space="preserve">more pragmatically </w:t>
      </w:r>
      <w:r w:rsidR="004237E6">
        <w:t>manage the child support debt book;</w:t>
      </w:r>
      <w:r w:rsidR="00E109E9">
        <w:t xml:space="preserve"> and</w:t>
      </w:r>
    </w:p>
    <w:p w:rsidR="00CE09E7" w:rsidRPr="004C2818" w:rsidRDefault="00C800AC" w:rsidP="00F5528D">
      <w:pPr>
        <w:pStyle w:val="TRNormal"/>
        <w:ind w:left="1134" w:hanging="546"/>
      </w:pPr>
      <w:r>
        <w:t>d)</w:t>
      </w:r>
      <w:r>
        <w:tab/>
      </w:r>
      <w:r w:rsidR="005D628F" w:rsidRPr="004C2818">
        <w:t>Promote</w:t>
      </w:r>
      <w:r w:rsidR="00CE09E7" w:rsidRPr="004C2818">
        <w:t xml:space="preserve"> the welfare of the children, in particular by recognising that children are disadvantaged when child support is not paid, or not paid on time.</w:t>
      </w:r>
    </w:p>
    <w:p w:rsidR="001104B1" w:rsidRDefault="001104B1" w:rsidP="00F5528D">
      <w:pPr>
        <w:pStyle w:val="TRNormal"/>
        <w:ind w:left="567" w:hanging="546"/>
      </w:pPr>
    </w:p>
    <w:p w:rsidR="00A64F83" w:rsidRDefault="004852E1" w:rsidP="001D1CCF">
      <w:pPr>
        <w:tabs>
          <w:tab w:val="left" w:pos="567"/>
        </w:tabs>
        <w:jc w:val="both"/>
      </w:pPr>
      <w:r w:rsidRPr="004C2818">
        <w:fldChar w:fldCharType="begin"/>
      </w:r>
      <w:r w:rsidRPr="004C2818">
        <w:instrText xml:space="preserve"> AUTONUM  </w:instrText>
      </w:r>
      <w:r w:rsidRPr="004C2818">
        <w:fldChar w:fldCharType="end"/>
      </w:r>
      <w:r w:rsidR="006C3904" w:rsidRPr="004C2818">
        <w:tab/>
      </w:r>
      <w:r w:rsidR="005E7E67">
        <w:t xml:space="preserve">High levels of debt can discourage </w:t>
      </w:r>
      <w:r w:rsidR="00131E8C">
        <w:t>liable parent</w:t>
      </w:r>
      <w:r w:rsidR="005E7E67">
        <w:t>s from meeting their obligations leading to non</w:t>
      </w:r>
      <w:r w:rsidR="005E7E67">
        <w:noBreakHyphen/>
        <w:t xml:space="preserve">compliance and child support not being paid on time. </w:t>
      </w:r>
      <w:r w:rsidR="002656A1">
        <w:t xml:space="preserve"> </w:t>
      </w:r>
      <w:r w:rsidR="00AB7312" w:rsidRPr="004C2818">
        <w:t xml:space="preserve">A more </w:t>
      </w:r>
      <w:r>
        <w:t>responsive</w:t>
      </w:r>
      <w:r w:rsidR="00AB7312" w:rsidRPr="004C2818">
        <w:t xml:space="preserve"> system with a better targeted payment and penalties system would encourage, or at least not discourage, parents to pay their child support</w:t>
      </w:r>
      <w:r w:rsidR="00C800AC">
        <w:t>, reduce debt</w:t>
      </w:r>
      <w:r w:rsidR="00AB7312" w:rsidRPr="004C2818">
        <w:t xml:space="preserve"> and </w:t>
      </w:r>
      <w:r w:rsidR="00AD455D" w:rsidRPr="004C2818">
        <w:t xml:space="preserve">would </w:t>
      </w:r>
      <w:r w:rsidR="00AB7312" w:rsidRPr="004C2818">
        <w:t>help improve the well-being of their</w:t>
      </w:r>
      <w:r w:rsidR="004C2818">
        <w:t xml:space="preserve"> children.</w:t>
      </w:r>
    </w:p>
    <w:p w:rsidR="0092224D" w:rsidRDefault="0092224D" w:rsidP="001D1CCF">
      <w:pPr>
        <w:tabs>
          <w:tab w:val="left" w:pos="567"/>
        </w:tabs>
        <w:jc w:val="both"/>
      </w:pPr>
    </w:p>
    <w:p w:rsidR="00CE1365" w:rsidRPr="0063019E" w:rsidRDefault="00CE1365" w:rsidP="001D1CCF">
      <w:pPr>
        <w:tabs>
          <w:tab w:val="left" w:pos="567"/>
        </w:tabs>
        <w:jc w:val="both"/>
        <w:rPr>
          <w:b/>
        </w:rPr>
      </w:pPr>
      <w:r w:rsidRPr="0063019E">
        <w:rPr>
          <w:b/>
        </w:rPr>
        <w:t>Constraints</w:t>
      </w:r>
    </w:p>
    <w:p w:rsidR="00283312" w:rsidRDefault="00283312" w:rsidP="001D1CCF">
      <w:pPr>
        <w:tabs>
          <w:tab w:val="left" w:pos="567"/>
        </w:tabs>
        <w:jc w:val="both"/>
      </w:pPr>
    </w:p>
    <w:p w:rsidR="00CE1365" w:rsidRDefault="00CE1365" w:rsidP="00E109E9">
      <w:pPr>
        <w:pStyle w:val="TRBodyText"/>
        <w:tabs>
          <w:tab w:val="left" w:pos="540"/>
        </w:tabs>
        <w:spacing w:line="240" w:lineRule="auto"/>
      </w:pPr>
      <w:r w:rsidRPr="004C2818">
        <w:fldChar w:fldCharType="begin"/>
      </w:r>
      <w:r w:rsidRPr="004C2818">
        <w:instrText xml:space="preserve"> AUTONUM  </w:instrText>
      </w:r>
      <w:r w:rsidRPr="004C2818">
        <w:fldChar w:fldCharType="end"/>
      </w:r>
      <w:r w:rsidRPr="004C2818">
        <w:tab/>
      </w:r>
      <w:r w:rsidR="004237E6">
        <w:t xml:space="preserve">A time constraint exists </w:t>
      </w:r>
      <w:r w:rsidR="0028122E">
        <w:t>for</w:t>
      </w:r>
      <w:r w:rsidR="004237E6">
        <w:t xml:space="preserve"> the recommended option as the option is designed to support the child support reforms scheduled for amendment through the </w:t>
      </w:r>
      <w:r w:rsidR="0028122E">
        <w:t>Bill</w:t>
      </w:r>
      <w:r w:rsidR="004237E6">
        <w:t xml:space="preserve"> </w:t>
      </w:r>
      <w:r w:rsidR="00980B51">
        <w:t>that was</w:t>
      </w:r>
      <w:r w:rsidR="004237E6">
        <w:t xml:space="preserve"> introduc</w:t>
      </w:r>
      <w:r w:rsidR="00980B51">
        <w:t>ed</w:t>
      </w:r>
      <w:r w:rsidR="002E6D79">
        <w:t xml:space="preserve"> </w:t>
      </w:r>
      <w:r w:rsidR="00980B51">
        <w:t>on 26</w:t>
      </w:r>
      <w:r w:rsidR="004237E6">
        <w:t xml:space="preserve"> February 2015.  The ability for Inland Revenue to deliver the recommended option relies on the option being reflected in the Bill and the scope, timing and drafting of the option remaining unchanged throughout the legislative process.  T</w:t>
      </w:r>
      <w:r w:rsidR="004237E6" w:rsidRPr="00C62176">
        <w:t xml:space="preserve">here are no </w:t>
      </w:r>
      <w:r w:rsidR="004237E6">
        <w:t xml:space="preserve">other </w:t>
      </w:r>
      <w:r w:rsidR="004237E6" w:rsidRPr="00C62176">
        <w:t xml:space="preserve">significant constraints, caveats and uncertainties concerning the regulatory analysis undertaken.  </w:t>
      </w:r>
    </w:p>
    <w:p w:rsidR="008C0BEB" w:rsidRDefault="008C0BEB" w:rsidP="001D1CCF">
      <w:pPr>
        <w:tabs>
          <w:tab w:val="left" w:pos="567"/>
        </w:tabs>
        <w:jc w:val="both"/>
      </w:pPr>
    </w:p>
    <w:p w:rsidR="0092224D" w:rsidRPr="004C2818" w:rsidRDefault="008C0BEB" w:rsidP="001D1CCF">
      <w:pPr>
        <w:tabs>
          <w:tab w:val="left" w:pos="567"/>
        </w:tabs>
        <w:jc w:val="both"/>
      </w:pPr>
      <w:r w:rsidRPr="004C2818">
        <w:fldChar w:fldCharType="begin"/>
      </w:r>
      <w:r w:rsidRPr="004C2818">
        <w:instrText xml:space="preserve"> AUTONUM  </w:instrText>
      </w:r>
      <w:r w:rsidRPr="004C2818">
        <w:fldChar w:fldCharType="end"/>
      </w:r>
      <w:r w:rsidRPr="004C2818">
        <w:tab/>
      </w:r>
      <w:r w:rsidR="00E109E9">
        <w:t>This time constraint</w:t>
      </w:r>
      <w:r>
        <w:t xml:space="preserve"> also impact</w:t>
      </w:r>
      <w:r w:rsidR="00E109E9">
        <w:t>s</w:t>
      </w:r>
      <w:r>
        <w:t xml:space="preserve"> on the ability to consult and gather information.</w:t>
      </w:r>
    </w:p>
    <w:p w:rsidR="00AB7312" w:rsidRPr="004C2818" w:rsidRDefault="00AB7312" w:rsidP="00672439">
      <w:pPr>
        <w:tabs>
          <w:tab w:val="left" w:pos="540"/>
        </w:tabs>
        <w:jc w:val="both"/>
        <w:rPr>
          <w:b/>
          <w:caps/>
        </w:rPr>
      </w:pPr>
    </w:p>
    <w:p w:rsidR="00AB7312" w:rsidRPr="004C2818" w:rsidRDefault="00AB7312" w:rsidP="00624EE7">
      <w:pPr>
        <w:tabs>
          <w:tab w:val="left" w:pos="540"/>
        </w:tabs>
        <w:spacing w:before="240"/>
        <w:jc w:val="both"/>
        <w:rPr>
          <w:b/>
          <w:caps/>
        </w:rPr>
      </w:pPr>
      <w:r w:rsidRPr="004C2818">
        <w:rPr>
          <w:b/>
          <w:caps/>
        </w:rPr>
        <w:t>Regulatory impact analysis</w:t>
      </w:r>
    </w:p>
    <w:p w:rsidR="00AB7312" w:rsidRPr="004C2818" w:rsidRDefault="00AB7312" w:rsidP="00672439">
      <w:pPr>
        <w:tabs>
          <w:tab w:val="left" w:pos="540"/>
        </w:tabs>
        <w:jc w:val="both"/>
      </w:pPr>
    </w:p>
    <w:p w:rsidR="001104B1" w:rsidRDefault="006C3904" w:rsidP="00393428">
      <w:pPr>
        <w:pStyle w:val="TRNormal"/>
        <w:tabs>
          <w:tab w:val="left" w:pos="567"/>
        </w:tabs>
        <w:spacing w:line="240" w:lineRule="auto"/>
      </w:pPr>
      <w:r w:rsidRPr="004C2818">
        <w:fldChar w:fldCharType="begin"/>
      </w:r>
      <w:r w:rsidRPr="004C2818">
        <w:instrText xml:space="preserve"> AUTONUM  </w:instrText>
      </w:r>
      <w:r w:rsidRPr="004C2818">
        <w:fldChar w:fldCharType="end"/>
      </w:r>
      <w:r w:rsidRPr="004C2818">
        <w:tab/>
      </w:r>
      <w:r w:rsidR="004237E6">
        <w:t>Two</w:t>
      </w:r>
      <w:r w:rsidR="003D3D1E">
        <w:t xml:space="preserve"> </w:t>
      </w:r>
      <w:r w:rsidR="00AB7312" w:rsidRPr="004C2818">
        <w:t xml:space="preserve">options have been considered to </w:t>
      </w:r>
      <w:r w:rsidR="004237E6">
        <w:t xml:space="preserve">meet the objectives and </w:t>
      </w:r>
      <w:r w:rsidR="00DC1CD8">
        <w:t xml:space="preserve">address the </w:t>
      </w:r>
      <w:r w:rsidR="004237E6">
        <w:t>policy problem.</w:t>
      </w:r>
      <w:r w:rsidR="004852E1">
        <w:t xml:space="preserve"> </w:t>
      </w:r>
      <w:r w:rsidR="004237E6">
        <w:t xml:space="preserve"> </w:t>
      </w:r>
      <w:r w:rsidR="00E86E53">
        <w:t>The</w:t>
      </w:r>
      <w:r w:rsidR="003D3D1E">
        <w:t>se</w:t>
      </w:r>
      <w:r w:rsidR="00E86E53">
        <w:t xml:space="preserve"> </w:t>
      </w:r>
      <w:r w:rsidR="003D3D1E">
        <w:t>options are described</w:t>
      </w:r>
      <w:r w:rsidR="00067850">
        <w:t xml:space="preserve"> and analysed</w:t>
      </w:r>
      <w:r w:rsidR="003D3D1E">
        <w:t xml:space="preserve"> below</w:t>
      </w:r>
      <w:r w:rsidR="005D628F">
        <w:t>.</w:t>
      </w:r>
    </w:p>
    <w:p w:rsidR="00E86E53" w:rsidRDefault="00E86E53" w:rsidP="00AB053E">
      <w:pPr>
        <w:pStyle w:val="TRNormal"/>
        <w:tabs>
          <w:tab w:val="left" w:pos="567"/>
        </w:tabs>
        <w:spacing w:line="240" w:lineRule="auto"/>
      </w:pPr>
    </w:p>
    <w:p w:rsidR="00E86E53" w:rsidRPr="00777D6A" w:rsidRDefault="00E86E53" w:rsidP="00777D6A">
      <w:pPr>
        <w:rPr>
          <w:b/>
          <w:szCs w:val="20"/>
          <w:lang w:eastAsia="en-AU"/>
        </w:rPr>
      </w:pPr>
      <w:r w:rsidRPr="0063019E">
        <w:rPr>
          <w:b/>
        </w:rPr>
        <w:t>Option 1 –</w:t>
      </w:r>
      <w:r w:rsidR="004237E6" w:rsidRPr="0063019E">
        <w:rPr>
          <w:b/>
          <w:bCs/>
          <w:iCs/>
          <w:sz w:val="22"/>
          <w:lang w:eastAsia="en-US"/>
        </w:rPr>
        <w:t xml:space="preserve"> Status quo</w:t>
      </w:r>
    </w:p>
    <w:p w:rsidR="00E86E53" w:rsidRDefault="00E86E53" w:rsidP="00AB053E">
      <w:pPr>
        <w:pStyle w:val="TRNormal"/>
        <w:tabs>
          <w:tab w:val="left" w:pos="567"/>
        </w:tabs>
        <w:spacing w:line="240" w:lineRule="auto"/>
        <w:rPr>
          <w:bCs/>
          <w:iCs/>
          <w:sz w:val="22"/>
          <w:lang w:eastAsia="en-US"/>
        </w:rPr>
      </w:pPr>
    </w:p>
    <w:p w:rsidR="00030DF3" w:rsidRDefault="00E86E53" w:rsidP="00011F13">
      <w:pPr>
        <w:pStyle w:val="TRNormal"/>
        <w:tabs>
          <w:tab w:val="left" w:pos="567"/>
        </w:tabs>
        <w:spacing w:line="240" w:lineRule="auto"/>
      </w:pPr>
      <w:r w:rsidRPr="00E86E53">
        <w:fldChar w:fldCharType="begin"/>
      </w:r>
      <w:r w:rsidRPr="00E86E53">
        <w:instrText xml:space="preserve"> AUTONUM  </w:instrText>
      </w:r>
      <w:r w:rsidRPr="00E86E53">
        <w:fldChar w:fldCharType="end"/>
      </w:r>
      <w:r w:rsidRPr="00E86E53">
        <w:tab/>
      </w:r>
      <w:r w:rsidR="00067850">
        <w:t>The status quo</w:t>
      </w:r>
      <w:r w:rsidR="004237E6">
        <w:t xml:space="preserve"> continue</w:t>
      </w:r>
      <w:r w:rsidR="0028122E">
        <w:t>s</w:t>
      </w:r>
      <w:r w:rsidR="004237E6">
        <w:t xml:space="preserve"> with the reforms </w:t>
      </w:r>
      <w:r w:rsidR="000E00B1">
        <w:t xml:space="preserve">focused on reducing child support debt </w:t>
      </w:r>
      <w:r w:rsidR="004237E6">
        <w:t xml:space="preserve">as amended and detailed in the RIS </w:t>
      </w:r>
      <w:r w:rsidR="004237E6">
        <w:rPr>
          <w:i/>
        </w:rPr>
        <w:t>Review of child support scheme reform.</w:t>
      </w:r>
    </w:p>
    <w:p w:rsidR="00E86E53" w:rsidRDefault="00E86E53" w:rsidP="00AB053E">
      <w:pPr>
        <w:pStyle w:val="TRNormal"/>
        <w:tabs>
          <w:tab w:val="left" w:pos="567"/>
        </w:tabs>
        <w:spacing w:line="240" w:lineRule="auto"/>
      </w:pPr>
    </w:p>
    <w:p w:rsidR="000E00B1" w:rsidRDefault="000E00B1" w:rsidP="000E00B1">
      <w:pPr>
        <w:pStyle w:val="TRNormal"/>
        <w:tabs>
          <w:tab w:val="left" w:pos="567"/>
        </w:tabs>
        <w:spacing w:line="240" w:lineRule="auto"/>
      </w:pPr>
      <w:r w:rsidRPr="00E86E53">
        <w:lastRenderedPageBreak/>
        <w:fldChar w:fldCharType="begin"/>
      </w:r>
      <w:r w:rsidRPr="00E86E53">
        <w:instrText xml:space="preserve"> AUTONUM  </w:instrText>
      </w:r>
      <w:r w:rsidRPr="00E86E53">
        <w:fldChar w:fldCharType="end"/>
      </w:r>
      <w:r w:rsidRPr="00E86E53">
        <w:tab/>
      </w:r>
      <w:r>
        <w:t xml:space="preserve">Under this option, debt would be reduced through changes to penalty rates, incentivising </w:t>
      </w:r>
      <w:r w:rsidR="00131E8C">
        <w:t>liable parent</w:t>
      </w:r>
      <w:r>
        <w:t>s to enter into payment arrangements and relaxing the penalty rules t</w:t>
      </w:r>
      <w:r w:rsidR="002E6D79">
        <w:t>o provide the CIR</w:t>
      </w:r>
      <w:r>
        <w:t xml:space="preserve"> with some flexibility to better manage the debt book.</w:t>
      </w:r>
    </w:p>
    <w:p w:rsidR="000E00B1" w:rsidRDefault="000E00B1" w:rsidP="000E00B1">
      <w:pPr>
        <w:pStyle w:val="TRNormal"/>
        <w:tabs>
          <w:tab w:val="left" w:pos="567"/>
        </w:tabs>
        <w:spacing w:line="240" w:lineRule="auto"/>
      </w:pPr>
    </w:p>
    <w:p w:rsidR="000E00B1" w:rsidRDefault="000E00B1" w:rsidP="006967A5">
      <w:pPr>
        <w:pStyle w:val="TRNormal"/>
        <w:tabs>
          <w:tab w:val="left" w:pos="567"/>
        </w:tabs>
        <w:spacing w:line="240" w:lineRule="auto"/>
      </w:pPr>
      <w:r w:rsidRPr="00E86E53">
        <w:fldChar w:fldCharType="begin"/>
      </w:r>
      <w:r w:rsidRPr="00E86E53">
        <w:instrText xml:space="preserve"> AUTONUM  </w:instrText>
      </w:r>
      <w:r w:rsidRPr="00E86E53">
        <w:fldChar w:fldCharType="end"/>
      </w:r>
      <w:r w:rsidRPr="00E86E53">
        <w:tab/>
      </w:r>
      <w:r w:rsidR="0028122E">
        <w:t>T</w:t>
      </w:r>
      <w:r w:rsidR="006967A5">
        <w:t>he reforms specifically</w:t>
      </w:r>
      <w:r>
        <w:t xml:space="preserve"> include:</w:t>
      </w:r>
    </w:p>
    <w:p w:rsidR="000E00B1" w:rsidRPr="002E6D79" w:rsidRDefault="002E6D79" w:rsidP="000E00B1">
      <w:pPr>
        <w:numPr>
          <w:ilvl w:val="0"/>
          <w:numId w:val="30"/>
        </w:numPr>
        <w:spacing w:before="100" w:beforeAutospacing="1" w:after="100" w:afterAutospacing="1"/>
        <w:rPr>
          <w:szCs w:val="20"/>
          <w:lang w:eastAsia="en-AU"/>
        </w:rPr>
      </w:pPr>
      <w:r w:rsidRPr="002E6D79">
        <w:rPr>
          <w:szCs w:val="20"/>
          <w:lang w:eastAsia="en-AU"/>
        </w:rPr>
        <w:t>A</w:t>
      </w:r>
      <w:r w:rsidR="000E00B1" w:rsidRPr="002E6D79">
        <w:rPr>
          <w:szCs w:val="20"/>
          <w:lang w:eastAsia="en-AU"/>
        </w:rPr>
        <w:t xml:space="preserve"> penalty write-off incentive </w:t>
      </w:r>
      <w:r w:rsidR="006967A5" w:rsidRPr="002E6D79">
        <w:rPr>
          <w:szCs w:val="20"/>
          <w:lang w:eastAsia="en-AU"/>
        </w:rPr>
        <w:t xml:space="preserve">for </w:t>
      </w:r>
      <w:r w:rsidR="00131E8C" w:rsidRPr="002E6D79">
        <w:rPr>
          <w:szCs w:val="20"/>
          <w:lang w:eastAsia="en-AU"/>
        </w:rPr>
        <w:t>liable parent</w:t>
      </w:r>
      <w:r w:rsidR="006967A5" w:rsidRPr="002E6D79">
        <w:rPr>
          <w:szCs w:val="20"/>
          <w:lang w:eastAsia="en-AU"/>
        </w:rPr>
        <w:t xml:space="preserve">s </w:t>
      </w:r>
      <w:r w:rsidR="00067850" w:rsidRPr="002E6D79">
        <w:rPr>
          <w:szCs w:val="20"/>
          <w:lang w:eastAsia="en-AU"/>
        </w:rPr>
        <w:t>to enter into an</w:t>
      </w:r>
      <w:r w:rsidR="000E00B1" w:rsidRPr="002E6D79">
        <w:rPr>
          <w:szCs w:val="20"/>
          <w:lang w:eastAsia="en-AU"/>
        </w:rPr>
        <w:t xml:space="preserve"> in</w:t>
      </w:r>
      <w:r w:rsidR="005F1345" w:rsidRPr="002E6D79">
        <w:rPr>
          <w:szCs w:val="20"/>
          <w:lang w:eastAsia="en-AU"/>
        </w:rPr>
        <w:t>stalment arrangement covering</w:t>
      </w:r>
      <w:r w:rsidR="00067850" w:rsidRPr="002E6D79">
        <w:rPr>
          <w:szCs w:val="20"/>
          <w:lang w:eastAsia="en-AU"/>
        </w:rPr>
        <w:t xml:space="preserve"> assessment</w:t>
      </w:r>
      <w:r w:rsidR="000E00B1" w:rsidRPr="002E6D79">
        <w:rPr>
          <w:szCs w:val="20"/>
          <w:lang w:eastAsia="en-AU"/>
        </w:rPr>
        <w:t xml:space="preserve"> debt and initial late payment penalties</w:t>
      </w:r>
      <w:r w:rsidR="005F1345" w:rsidRPr="002E6D79">
        <w:rPr>
          <w:szCs w:val="20"/>
          <w:lang w:eastAsia="en-AU"/>
        </w:rPr>
        <w:t>;</w:t>
      </w:r>
    </w:p>
    <w:p w:rsidR="000E00B1" w:rsidRPr="002E6D79" w:rsidRDefault="002E6D79" w:rsidP="000E00B1">
      <w:pPr>
        <w:numPr>
          <w:ilvl w:val="0"/>
          <w:numId w:val="30"/>
        </w:numPr>
        <w:spacing w:before="100" w:beforeAutospacing="1" w:after="100" w:afterAutospacing="1"/>
        <w:rPr>
          <w:szCs w:val="20"/>
          <w:lang w:eastAsia="en-AU"/>
        </w:rPr>
      </w:pPr>
      <w:r w:rsidRPr="002E6D79">
        <w:rPr>
          <w:szCs w:val="20"/>
          <w:lang w:eastAsia="en-AU"/>
        </w:rPr>
        <w:t>F</w:t>
      </w:r>
      <w:r w:rsidR="000E00B1" w:rsidRPr="002E6D79">
        <w:rPr>
          <w:szCs w:val="20"/>
          <w:lang w:eastAsia="en-AU"/>
        </w:rPr>
        <w:t xml:space="preserve">or </w:t>
      </w:r>
      <w:r w:rsidR="00131E8C" w:rsidRPr="002E6D79">
        <w:rPr>
          <w:szCs w:val="20"/>
          <w:lang w:eastAsia="en-AU"/>
        </w:rPr>
        <w:t>liable parent</w:t>
      </w:r>
      <w:r w:rsidR="000E00B1" w:rsidRPr="002E6D79">
        <w:rPr>
          <w:szCs w:val="20"/>
          <w:lang w:eastAsia="en-AU"/>
        </w:rPr>
        <w:t>s who default on their first payment of child support, an initial late payment penalty write-off incentive to enter into and comply with an instalment arrangement</w:t>
      </w:r>
      <w:r w:rsidR="00993EB2" w:rsidRPr="002E6D79">
        <w:rPr>
          <w:szCs w:val="20"/>
          <w:lang w:eastAsia="en-AU"/>
        </w:rPr>
        <w:t xml:space="preserve"> (effectively</w:t>
      </w:r>
      <w:r w:rsidR="005E2A69" w:rsidRPr="002E6D79">
        <w:rPr>
          <w:szCs w:val="20"/>
          <w:lang w:eastAsia="en-AU"/>
        </w:rPr>
        <w:t xml:space="preserve"> applies to new debt)</w:t>
      </w:r>
      <w:r w:rsidR="005F1345" w:rsidRPr="002E6D79">
        <w:rPr>
          <w:szCs w:val="20"/>
          <w:lang w:eastAsia="en-AU"/>
        </w:rPr>
        <w:t>;</w:t>
      </w:r>
    </w:p>
    <w:p w:rsidR="005F1345" w:rsidRPr="002E6D79" w:rsidRDefault="002E6D79" w:rsidP="000E00B1">
      <w:pPr>
        <w:numPr>
          <w:ilvl w:val="0"/>
          <w:numId w:val="30"/>
        </w:numPr>
        <w:spacing w:before="100" w:beforeAutospacing="1" w:after="100" w:afterAutospacing="1"/>
        <w:rPr>
          <w:szCs w:val="20"/>
          <w:lang w:eastAsia="en-AU"/>
        </w:rPr>
      </w:pPr>
      <w:r w:rsidRPr="002E6D79">
        <w:rPr>
          <w:szCs w:val="20"/>
          <w:lang w:eastAsia="en-AU"/>
        </w:rPr>
        <w:t>R</w:t>
      </w:r>
      <w:r w:rsidR="00A85507" w:rsidRPr="002E6D79">
        <w:rPr>
          <w:szCs w:val="20"/>
          <w:lang w:eastAsia="en-AU"/>
        </w:rPr>
        <w:t>elaxing</w:t>
      </w:r>
      <w:r w:rsidR="005F1345" w:rsidRPr="002E6D79">
        <w:rPr>
          <w:szCs w:val="20"/>
          <w:lang w:eastAsia="en-AU"/>
        </w:rPr>
        <w:t xml:space="preserve"> the circumstances in which the CIR can write off penalties (but still subject to stringent tests).</w:t>
      </w:r>
    </w:p>
    <w:p w:rsidR="000E00B1" w:rsidRDefault="000E00B1" w:rsidP="000E00B1">
      <w:pPr>
        <w:pStyle w:val="TRNormal"/>
        <w:tabs>
          <w:tab w:val="left" w:pos="567"/>
        </w:tabs>
        <w:spacing w:line="240" w:lineRule="auto"/>
      </w:pPr>
      <w:r w:rsidRPr="00E86E53">
        <w:fldChar w:fldCharType="begin"/>
      </w:r>
      <w:r w:rsidRPr="00E86E53">
        <w:instrText xml:space="preserve"> AUTONUM  </w:instrText>
      </w:r>
      <w:r w:rsidRPr="00E86E53">
        <w:fldChar w:fldCharType="end"/>
      </w:r>
      <w:r w:rsidRPr="00E86E53">
        <w:tab/>
      </w:r>
      <w:r>
        <w:t xml:space="preserve">The status quo only partially meets the objectives and addresses the policy </w:t>
      </w:r>
      <w:r w:rsidR="00993EB2">
        <w:t>problem</w:t>
      </w:r>
      <w:r w:rsidR="0078370B">
        <w:t xml:space="preserve"> as fu</w:t>
      </w:r>
      <w:r w:rsidR="004F71EB">
        <w:t xml:space="preserve">rther analysis of the debt book </w:t>
      </w:r>
      <w:r w:rsidR="0078370B">
        <w:t xml:space="preserve">shows that </w:t>
      </w:r>
      <w:r w:rsidR="004F71EB">
        <w:t>the penalty regime – post-reform – would not be flexible enough to address the legacy debt.  This largely results from legislative constraints</w:t>
      </w:r>
      <w:r w:rsidR="00AE0F18">
        <w:t xml:space="preserve"> on incentives for liable parents to pay their assessment debt and on</w:t>
      </w:r>
      <w:r w:rsidR="002E6D79">
        <w:t xml:space="preserve"> the Commissioner</w:t>
      </w:r>
      <w:r w:rsidR="004F71EB">
        <w:t xml:space="preserve">’s ability to negotiate payment arrangements and pragmatically manage the debt book to address legacy debt.  </w:t>
      </w:r>
    </w:p>
    <w:p w:rsidR="000E00B1" w:rsidRDefault="000E00B1" w:rsidP="00AB053E">
      <w:pPr>
        <w:pStyle w:val="TRNormal"/>
        <w:tabs>
          <w:tab w:val="left" w:pos="567"/>
        </w:tabs>
        <w:spacing w:line="240" w:lineRule="auto"/>
      </w:pPr>
    </w:p>
    <w:p w:rsidR="00E86E53" w:rsidRPr="005E2A69" w:rsidRDefault="00E86E53" w:rsidP="005E2A69">
      <w:pPr>
        <w:rPr>
          <w:b/>
          <w:szCs w:val="20"/>
          <w:lang w:eastAsia="en-AU"/>
        </w:rPr>
      </w:pPr>
      <w:r w:rsidRPr="0063019E">
        <w:rPr>
          <w:b/>
        </w:rPr>
        <w:t xml:space="preserve">Option 2 </w:t>
      </w:r>
      <w:r w:rsidR="00CC78E8" w:rsidRPr="0063019E">
        <w:rPr>
          <w:b/>
        </w:rPr>
        <w:t>–</w:t>
      </w:r>
      <w:r w:rsidRPr="0063019E">
        <w:rPr>
          <w:b/>
        </w:rPr>
        <w:t xml:space="preserve"> </w:t>
      </w:r>
      <w:r w:rsidR="000D4347" w:rsidRPr="0063019E">
        <w:rPr>
          <w:b/>
        </w:rPr>
        <w:t>Additional measures to address</w:t>
      </w:r>
      <w:r w:rsidR="000D0D7A" w:rsidRPr="0063019E">
        <w:rPr>
          <w:b/>
          <w:bCs/>
          <w:iCs/>
        </w:rPr>
        <w:t xml:space="preserve"> child support </w:t>
      </w:r>
      <w:r w:rsidR="000D4347" w:rsidRPr="0063019E">
        <w:rPr>
          <w:b/>
          <w:bCs/>
          <w:iCs/>
        </w:rPr>
        <w:t xml:space="preserve">legacy </w:t>
      </w:r>
      <w:r w:rsidR="000D0D7A" w:rsidRPr="0063019E">
        <w:rPr>
          <w:b/>
          <w:bCs/>
          <w:iCs/>
        </w:rPr>
        <w:t>debt</w:t>
      </w:r>
    </w:p>
    <w:p w:rsidR="00E163FA" w:rsidRDefault="00E163FA" w:rsidP="00E163FA">
      <w:pPr>
        <w:pStyle w:val="Chapter1"/>
        <w:numPr>
          <w:ilvl w:val="0"/>
          <w:numId w:val="0"/>
        </w:numPr>
        <w:tabs>
          <w:tab w:val="left" w:pos="567"/>
        </w:tabs>
      </w:pPr>
    </w:p>
    <w:p w:rsidR="009234F0" w:rsidRDefault="00E163FA" w:rsidP="009234F0">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9234F0" w:rsidRPr="009234F0">
        <w:t xml:space="preserve">Prior to the child support reforms the high, compounding penalty rates for child support debt combined with the low incomes of many liable parents has resulted in penalties that are disproportionate to the </w:t>
      </w:r>
      <w:r w:rsidR="009234F0">
        <w:t>originally assessed debt.  The</w:t>
      </w:r>
      <w:r w:rsidR="009234F0" w:rsidRPr="009234F0">
        <w:t xml:space="preserve"> measures </w:t>
      </w:r>
      <w:r w:rsidR="009234F0">
        <w:t xml:space="preserve">below </w:t>
      </w:r>
      <w:r w:rsidR="009234F0" w:rsidRPr="009234F0">
        <w:t>aim to permit a fairer treatment of the accumulated penalties faced by liable parents so as to encourage them to focus on repayment of their obligations to pay financial support for their children.  The proposals aim to promote the welfare of children by recognising that children are disadvantaged when child support is not paid, or not paid on time.</w:t>
      </w:r>
    </w:p>
    <w:p w:rsidR="00EA04E6" w:rsidRDefault="00EA04E6" w:rsidP="009234F0">
      <w:pPr>
        <w:pStyle w:val="Numberparagraph"/>
        <w:numPr>
          <w:ilvl w:val="0"/>
          <w:numId w:val="0"/>
        </w:numPr>
      </w:pPr>
    </w:p>
    <w:p w:rsidR="009234F0" w:rsidRPr="009234F0" w:rsidRDefault="009234F0" w:rsidP="005D628F">
      <w:pPr>
        <w:pStyle w:val="Chapter1"/>
        <w:numPr>
          <w:ilvl w:val="0"/>
          <w:numId w:val="0"/>
        </w:numPr>
        <w:tabs>
          <w:tab w:val="left" w:pos="567"/>
        </w:tabs>
      </w:pPr>
      <w:r w:rsidRPr="00E86E53">
        <w:fldChar w:fldCharType="begin"/>
      </w:r>
      <w:r w:rsidRPr="00E86E53">
        <w:instrText xml:space="preserve"> AUTONUM  </w:instrText>
      </w:r>
      <w:r w:rsidRPr="00E86E53">
        <w:fldChar w:fldCharType="end"/>
      </w:r>
      <w:r w:rsidRPr="00E86E53">
        <w:tab/>
      </w:r>
      <w:r>
        <w:t>The additional measures would strengthen the second phase of the child support reforms currently being developed, require minimal systems changes and additional resource, and would be funded internally by Inland Revenue.</w:t>
      </w:r>
    </w:p>
    <w:p w:rsidR="00E86E53" w:rsidRPr="00E86E53" w:rsidRDefault="00E86E53" w:rsidP="00E86E53">
      <w:pPr>
        <w:pStyle w:val="TRNormal"/>
        <w:tabs>
          <w:tab w:val="left" w:pos="567"/>
        </w:tabs>
        <w:rPr>
          <w:b/>
          <w:bCs/>
          <w:i/>
          <w:iCs/>
        </w:rPr>
      </w:pPr>
    </w:p>
    <w:p w:rsidR="009F0396" w:rsidRDefault="00E86E53" w:rsidP="00993EB2">
      <w:pPr>
        <w:pStyle w:val="Chapter1"/>
        <w:numPr>
          <w:ilvl w:val="0"/>
          <w:numId w:val="0"/>
        </w:numPr>
        <w:tabs>
          <w:tab w:val="left" w:pos="567"/>
        </w:tabs>
      </w:pPr>
      <w:r w:rsidRPr="00E86E53">
        <w:fldChar w:fldCharType="begin"/>
      </w:r>
      <w:r w:rsidRPr="00E86E53">
        <w:instrText xml:space="preserve"> AUTONUM  </w:instrText>
      </w:r>
      <w:r w:rsidRPr="00E86E53">
        <w:fldChar w:fldCharType="end"/>
      </w:r>
      <w:r w:rsidRPr="00E86E53">
        <w:tab/>
      </w:r>
      <w:r w:rsidR="009234F0">
        <w:t>The</w:t>
      </w:r>
      <w:r w:rsidR="009F0396">
        <w:t xml:space="preserve"> measures </w:t>
      </w:r>
      <w:r w:rsidR="009234F0">
        <w:t xml:space="preserve">proposed are </w:t>
      </w:r>
      <w:r w:rsidR="009F0396">
        <w:t>:</w:t>
      </w:r>
    </w:p>
    <w:p w:rsidR="009234F0" w:rsidRDefault="009234F0" w:rsidP="00993EB2">
      <w:pPr>
        <w:pStyle w:val="Chapter1"/>
        <w:numPr>
          <w:ilvl w:val="0"/>
          <w:numId w:val="0"/>
        </w:numPr>
        <w:tabs>
          <w:tab w:val="left" w:pos="567"/>
        </w:tabs>
      </w:pPr>
    </w:p>
    <w:p w:rsidR="009234F0" w:rsidRPr="00FD158E" w:rsidRDefault="009234F0" w:rsidP="009234F0">
      <w:pPr>
        <w:pStyle w:val="Numberparagraph"/>
        <w:numPr>
          <w:ilvl w:val="0"/>
          <w:numId w:val="31"/>
        </w:numPr>
        <w:rPr>
          <w:color w:val="1A1A1A"/>
          <w:lang w:val="en-US" w:eastAsia="en-NZ"/>
        </w:rPr>
      </w:pPr>
      <w:r>
        <w:rPr>
          <w:color w:val="1A1A1A"/>
          <w:lang w:val="en-US" w:eastAsia="en-NZ"/>
        </w:rPr>
        <w:t>E</w:t>
      </w:r>
      <w:proofErr w:type="spellStart"/>
      <w:r>
        <w:t>xtension</w:t>
      </w:r>
      <w:proofErr w:type="spellEnd"/>
      <w:r>
        <w:t xml:space="preserve"> of the mandatory write-off of monthly incremental penalties for payment arrangements subject to 26 week review to payment arrangements where a liable person has not explicitly agreed to the arrangement;</w:t>
      </w:r>
    </w:p>
    <w:p w:rsidR="009234F0" w:rsidRDefault="009234F0" w:rsidP="009234F0">
      <w:pPr>
        <w:pStyle w:val="Numberparagraph"/>
        <w:numPr>
          <w:ilvl w:val="0"/>
          <w:numId w:val="31"/>
        </w:numPr>
        <w:rPr>
          <w:lang w:val="en-US"/>
        </w:rPr>
      </w:pPr>
      <w:r>
        <w:rPr>
          <w:lang w:val="en-US"/>
        </w:rPr>
        <w:t>Amendment to the discretionary penalty write-off tests to adopt a</w:t>
      </w:r>
      <w:r w:rsidRPr="00FD158E">
        <w:rPr>
          <w:lang w:val="en-US"/>
        </w:rPr>
        <w:t xml:space="preserve"> </w:t>
      </w:r>
      <w:r>
        <w:rPr>
          <w:lang w:val="en-US"/>
        </w:rPr>
        <w:t xml:space="preserve">more </w:t>
      </w:r>
      <w:r w:rsidRPr="00FD158E">
        <w:rPr>
          <w:lang w:val="en-US"/>
        </w:rPr>
        <w:t xml:space="preserve">pragmatic test </w:t>
      </w:r>
      <w:r>
        <w:rPr>
          <w:lang w:val="en-US"/>
        </w:rPr>
        <w:t>based on “fair and reasonable”.</w:t>
      </w:r>
    </w:p>
    <w:p w:rsidR="00883925" w:rsidRPr="00FD158E" w:rsidRDefault="00883925" w:rsidP="005D628F">
      <w:pPr>
        <w:pStyle w:val="Numberparagraph"/>
        <w:numPr>
          <w:ilvl w:val="0"/>
          <w:numId w:val="0"/>
        </w:numPr>
        <w:ind w:left="927"/>
        <w:rPr>
          <w:lang w:val="en-US"/>
        </w:rPr>
      </w:pPr>
    </w:p>
    <w:p w:rsidR="00BC07AC" w:rsidRDefault="00BC07AC" w:rsidP="00BC07AC">
      <w:pPr>
        <w:pStyle w:val="Chapter1"/>
        <w:numPr>
          <w:ilvl w:val="0"/>
          <w:numId w:val="0"/>
        </w:numPr>
        <w:tabs>
          <w:tab w:val="left" w:pos="567"/>
        </w:tabs>
      </w:pPr>
      <w:r w:rsidRPr="00E86E53">
        <w:fldChar w:fldCharType="begin"/>
      </w:r>
      <w:r w:rsidRPr="00E86E53">
        <w:instrText xml:space="preserve"> AUTONUM  </w:instrText>
      </w:r>
      <w:r w:rsidRPr="00E86E53">
        <w:fldChar w:fldCharType="end"/>
      </w:r>
      <w:r w:rsidRPr="00E86E53">
        <w:tab/>
      </w:r>
      <w:r w:rsidRPr="008B3573">
        <w:rPr>
          <w:color w:val="1A1A1A"/>
          <w:lang w:val="en-US" w:eastAsia="en-NZ"/>
        </w:rPr>
        <w:t>The key principle of these proposals is that if the liable parent takes action to repay their asses</w:t>
      </w:r>
      <w:r w:rsidR="002E6D79">
        <w:rPr>
          <w:color w:val="1A1A1A"/>
          <w:lang w:val="en-US" w:eastAsia="en-NZ"/>
        </w:rPr>
        <w:t>sment debt then the Commissioner</w:t>
      </w:r>
      <w:r w:rsidRPr="008B3573">
        <w:rPr>
          <w:color w:val="1A1A1A"/>
          <w:lang w:val="en-US" w:eastAsia="en-NZ"/>
        </w:rPr>
        <w:t xml:space="preserve"> can relieve them on their existing penalty burden.</w:t>
      </w:r>
    </w:p>
    <w:p w:rsidR="00BC07AC" w:rsidRPr="005D628F" w:rsidRDefault="00BC07AC" w:rsidP="000E73BA">
      <w:pPr>
        <w:pStyle w:val="Chapter1"/>
        <w:numPr>
          <w:ilvl w:val="0"/>
          <w:numId w:val="0"/>
        </w:numPr>
        <w:tabs>
          <w:tab w:val="left" w:pos="567"/>
        </w:tabs>
      </w:pPr>
    </w:p>
    <w:p w:rsidR="00181EF2" w:rsidRPr="005D628F" w:rsidRDefault="00181EF2" w:rsidP="00181EF2">
      <w:pPr>
        <w:pStyle w:val="Chapter1"/>
        <w:numPr>
          <w:ilvl w:val="0"/>
          <w:numId w:val="0"/>
        </w:numPr>
        <w:tabs>
          <w:tab w:val="left" w:pos="567"/>
        </w:tabs>
        <w:rPr>
          <w:i/>
        </w:rPr>
      </w:pPr>
      <w:r w:rsidRPr="005D628F">
        <w:rPr>
          <w:i/>
        </w:rPr>
        <w:t>Extension of mandatory write-off of incremental penalties</w:t>
      </w:r>
    </w:p>
    <w:p w:rsidR="00181EF2" w:rsidRDefault="00181EF2" w:rsidP="00181EF2">
      <w:pPr>
        <w:pStyle w:val="Chapter1"/>
        <w:numPr>
          <w:ilvl w:val="0"/>
          <w:numId w:val="0"/>
        </w:numPr>
        <w:tabs>
          <w:tab w:val="left" w:pos="567"/>
        </w:tabs>
      </w:pPr>
    </w:p>
    <w:p w:rsidR="00C3743B" w:rsidRDefault="00181EF2" w:rsidP="00C3743B">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C3743B">
        <w:t xml:space="preserve">Currently, when a repayment arrangement for debt is negotiated and agreed between the </w:t>
      </w:r>
      <w:r w:rsidR="002E6D79">
        <w:t>CIR</w:t>
      </w:r>
      <w:r w:rsidR="00C3743B">
        <w:t xml:space="preserve"> and a liable parent an automatic write-off of monthly incremental late payment penalties is considered at each 26-week period (or at the completion of an arrangement).  </w:t>
      </w:r>
      <w:r w:rsidR="00C3743B">
        <w:lastRenderedPageBreak/>
        <w:t>Liable parents who remain fully compliant with their negotiated repayment arrangement receive an automatic write-off (mandated in child support legislation) of monthly incremental late payment penalties.</w:t>
      </w:r>
    </w:p>
    <w:p w:rsidR="00181EF2" w:rsidRDefault="00181EF2" w:rsidP="00181EF2">
      <w:pPr>
        <w:pStyle w:val="Chapter1"/>
        <w:numPr>
          <w:ilvl w:val="0"/>
          <w:numId w:val="0"/>
        </w:numPr>
        <w:tabs>
          <w:tab w:val="left" w:pos="567"/>
        </w:tabs>
      </w:pPr>
    </w:p>
    <w:p w:rsidR="00C3743B" w:rsidRDefault="00181EF2" w:rsidP="00C3743B">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C3743B">
        <w:t>Repayment arrangements where explicit agreement with the liable parent has not been received do not currently qualify for write-off of monthly incremental late payment penalties as above.  The manner in which the repayment is being made, and the rate of repayment, can be the same as an arrangement negotiated with a liable parent, the only difference being no explicit agreement.</w:t>
      </w:r>
    </w:p>
    <w:p w:rsidR="00C3743B" w:rsidRDefault="00C3743B" w:rsidP="00181EF2">
      <w:pPr>
        <w:pStyle w:val="Chapter1"/>
        <w:numPr>
          <w:ilvl w:val="0"/>
          <w:numId w:val="0"/>
        </w:numPr>
        <w:tabs>
          <w:tab w:val="left" w:pos="567"/>
        </w:tabs>
      </w:pPr>
    </w:p>
    <w:p w:rsidR="00181EF2" w:rsidRDefault="00181EF2" w:rsidP="00181EF2">
      <w:pPr>
        <w:pStyle w:val="Chapter1"/>
        <w:numPr>
          <w:ilvl w:val="0"/>
          <w:numId w:val="0"/>
        </w:numPr>
        <w:tabs>
          <w:tab w:val="left" w:pos="567"/>
        </w:tabs>
      </w:pPr>
      <w:r w:rsidRPr="00E86E53">
        <w:fldChar w:fldCharType="begin"/>
      </w:r>
      <w:r w:rsidRPr="00E86E53">
        <w:instrText xml:space="preserve"> AUTONUM  </w:instrText>
      </w:r>
      <w:r w:rsidRPr="00E86E53">
        <w:fldChar w:fldCharType="end"/>
      </w:r>
      <w:r w:rsidRPr="00E86E53">
        <w:tab/>
      </w:r>
      <w:r w:rsidR="00C3743B">
        <w:t xml:space="preserve">Currently, there are 27,500 liable parents with child support debt amounts totalling $423 million under payment arrangements that do not qualify for monthly incremental penalty write-off.  </w:t>
      </w:r>
      <w:r w:rsidR="00C3743B" w:rsidRPr="005C1E69">
        <w:t xml:space="preserve">If this </w:t>
      </w:r>
      <w:r w:rsidR="00C3743B">
        <w:t>proposal is approved</w:t>
      </w:r>
      <w:r w:rsidR="00C3743B" w:rsidRPr="005C1E69">
        <w:t xml:space="preserve">, the debt to </w:t>
      </w:r>
      <w:r w:rsidR="00C3743B">
        <w:t>be collected under these plans c</w:t>
      </w:r>
      <w:r w:rsidR="00C3743B" w:rsidRPr="005C1E69">
        <w:t>ould reduce by $123m</w:t>
      </w:r>
      <w:r w:rsidR="00C3743B">
        <w:t>.  In addition, aligning treatment across arrangements regardless of the liable parent’s agreement would increase equity across liable parents.</w:t>
      </w:r>
    </w:p>
    <w:p w:rsidR="00C3743B" w:rsidRDefault="00C3743B" w:rsidP="00181EF2">
      <w:pPr>
        <w:pStyle w:val="Chapter1"/>
        <w:numPr>
          <w:ilvl w:val="0"/>
          <w:numId w:val="0"/>
        </w:numPr>
        <w:tabs>
          <w:tab w:val="left" w:pos="567"/>
        </w:tabs>
      </w:pPr>
    </w:p>
    <w:p w:rsidR="00C3743B" w:rsidRPr="00032404" w:rsidRDefault="00181EF2" w:rsidP="00C3743B">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C3743B" w:rsidRPr="00C3743B">
        <w:rPr>
          <w:b/>
          <w:bCs/>
          <w:i/>
          <w:iCs/>
        </w:rPr>
        <w:t xml:space="preserve"> </w:t>
      </w:r>
      <w:r w:rsidR="00C3743B">
        <w:rPr>
          <w:b/>
          <w:bCs/>
          <w:i/>
          <w:iCs/>
        </w:rPr>
        <w:t>For e</w:t>
      </w:r>
      <w:r w:rsidR="00C3743B" w:rsidRPr="00032404">
        <w:rPr>
          <w:b/>
          <w:bCs/>
          <w:i/>
          <w:iCs/>
        </w:rPr>
        <w:t xml:space="preserve">xample: </w:t>
      </w:r>
      <w:r w:rsidR="00C3743B" w:rsidRPr="00032404">
        <w:t>A liable parent with income from a benefit has child support debt of $52,139 ($17,577 unpaid core assessments, $1,775 initial late payment penalties and $32,787 monthly incremental penalties). As the main source of income is a benefit, the legislation requires Inland Revenue to impose automatic deductions from the benefit income to repay current obligations and debt amounts. The beneficiary is not asked whether they agree with child support being paid in this manner. The automatic deductions continue to be made as expected, and at the conclusion of each 26-week period until full repayment, monthly incremental penalties are automatically written off. If the liable parent does not comply with the arrangement (moving off a benefit for example), Inland Revenue ceases the arrangement and the monthly incremental penalties will begin to accumulate from that point on. Inland Revenue also has the discretion to decline any future payment agreements if the liable parent is non-compliant.  Without the proposed extension of the mandatory write-off, the liable parent would be required to pay the monthly incremental penalties of $32,787 even while on a benefit.</w:t>
      </w:r>
    </w:p>
    <w:p w:rsidR="00C3743B" w:rsidRDefault="00C3743B" w:rsidP="00C3743B">
      <w:pPr>
        <w:pStyle w:val="Chapter1"/>
        <w:numPr>
          <w:ilvl w:val="0"/>
          <w:numId w:val="0"/>
        </w:numPr>
        <w:tabs>
          <w:tab w:val="left" w:pos="567"/>
        </w:tabs>
      </w:pPr>
    </w:p>
    <w:p w:rsidR="00FF0F24" w:rsidRPr="005D628F" w:rsidRDefault="00FF0F24" w:rsidP="00C3743B">
      <w:pPr>
        <w:pStyle w:val="Chapter1"/>
        <w:numPr>
          <w:ilvl w:val="0"/>
          <w:numId w:val="0"/>
        </w:numPr>
        <w:tabs>
          <w:tab w:val="left" w:pos="567"/>
        </w:tabs>
        <w:rPr>
          <w:i/>
        </w:rPr>
      </w:pPr>
      <w:r w:rsidRPr="005D628F">
        <w:rPr>
          <w:i/>
        </w:rPr>
        <w:t>A pragmatic test for discretionary penalty relief</w:t>
      </w:r>
    </w:p>
    <w:p w:rsidR="00FF0F24" w:rsidRDefault="00FF0F24" w:rsidP="00C3743B">
      <w:pPr>
        <w:pStyle w:val="Chapter1"/>
        <w:numPr>
          <w:ilvl w:val="0"/>
          <w:numId w:val="0"/>
        </w:numPr>
        <w:tabs>
          <w:tab w:val="left" w:pos="567"/>
        </w:tabs>
      </w:pPr>
    </w:p>
    <w:p w:rsidR="00FF0F24" w:rsidRDefault="00C3743B" w:rsidP="00FF0F24">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FF0F24">
        <w:t>Child support legislation (both current and anticipated reform) contains penalty relief discretions designed to increase flexibility to manage the debt book effectively. The discretions cover both initial late payment and monthly incremental penalties across a range of circumstances where penalty write-off would be appropriate, such as incentivising arrangements and promoting and rewarding positive compliance behaviour.</w:t>
      </w:r>
    </w:p>
    <w:p w:rsidR="000E73BA" w:rsidRDefault="000E73BA" w:rsidP="000E73BA">
      <w:pPr>
        <w:pStyle w:val="Chapter1"/>
        <w:numPr>
          <w:ilvl w:val="0"/>
          <w:numId w:val="0"/>
        </w:numPr>
        <w:tabs>
          <w:tab w:val="left" w:pos="567"/>
        </w:tabs>
      </w:pPr>
    </w:p>
    <w:p w:rsidR="00FF0F24" w:rsidRDefault="00C3743B" w:rsidP="00FF0F24">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FF0F24">
        <w:t>To qualify for penalty relief, some discretions (the upfront monthly penalty write-off and residual penalties write-off) require a liable parent to be in serious hardship or for continued collection to represent an inefficient use of the Commissioner’s resources. In both of these circumstances, write-off is subject to further tests in which the Commissioner must have regard to maintaining the integrity of the tax system, promoting compliance, the rights and responsibilities of taxpayers and Inland Revenue, and her duty to maximise revenue within practical boundaries. While the tests were legislated to ensure appropriate consideration is given to debt write-off and that checks and balances are in place, they provide less discretion than originally envisaged.</w:t>
      </w:r>
    </w:p>
    <w:p w:rsidR="00C3743B" w:rsidRDefault="00C3743B" w:rsidP="00C3743B">
      <w:pPr>
        <w:pStyle w:val="Chapter1"/>
        <w:numPr>
          <w:ilvl w:val="0"/>
          <w:numId w:val="0"/>
        </w:numPr>
        <w:tabs>
          <w:tab w:val="left" w:pos="567"/>
        </w:tabs>
      </w:pPr>
    </w:p>
    <w:p w:rsidR="00FF0F24" w:rsidRDefault="00C3743B" w:rsidP="00FF0F24">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FF0F24">
        <w:t xml:space="preserve">As a consequence, the debt book is inflated with penalties that are unlikely to be collected and unable to be written off.  In many cases, the high value of penalty debt (often a result of the inflationary penalty rates over time) implies that the debt value is sufficient to </w:t>
      </w:r>
      <w:r w:rsidR="00FF0F24">
        <w:lastRenderedPageBreak/>
        <w:t>warrant collection.</w:t>
      </w:r>
      <w:r w:rsidR="00BC07AC">
        <w:t xml:space="preserve">  Adopting a “fair and reasonable” test would enable penalty relief to be applied in circumstances where it makes sense to do so but where the “inefficient use of resources” based test would not allow relief.</w:t>
      </w:r>
    </w:p>
    <w:p w:rsidR="00C3743B" w:rsidRDefault="00C3743B" w:rsidP="000E73BA">
      <w:pPr>
        <w:pStyle w:val="Chapter1"/>
        <w:numPr>
          <w:ilvl w:val="0"/>
          <w:numId w:val="0"/>
        </w:numPr>
        <w:tabs>
          <w:tab w:val="left" w:pos="567"/>
        </w:tabs>
      </w:pPr>
    </w:p>
    <w:p w:rsidR="000E73BA" w:rsidRDefault="000E73BA" w:rsidP="005D628F">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BC07AC">
        <w:rPr>
          <w:b/>
          <w:bCs/>
          <w:i/>
          <w:iCs/>
        </w:rPr>
        <w:t>For e</w:t>
      </w:r>
      <w:r w:rsidR="00BC07AC" w:rsidRPr="008F2088">
        <w:rPr>
          <w:b/>
          <w:bCs/>
          <w:i/>
          <w:iCs/>
        </w:rPr>
        <w:t xml:space="preserve">xample: </w:t>
      </w:r>
      <w:r w:rsidR="00BC07AC" w:rsidRPr="008F2088">
        <w:t>A liable parent receiving NZ Superannuation from the Ministry of Social Development owes $136,958 in penalties for child support.  He has paid all his core assessment debt, all his late payment penalties and $943 towards his incremental late payment penalty debt.  He is repaying his penalty debt at $25 per week.  He will be 89 years old at the conclusion of the arrangement in 2037.  As his debt is currently under arrangement, he does not qualify for any penalty write-off.  This proposal would allow for the write-off of some or all of the incremental late payment penalty debt.</w:t>
      </w:r>
    </w:p>
    <w:p w:rsidR="005D628F" w:rsidRDefault="005D628F">
      <w:pPr>
        <w:rPr>
          <w:lang w:eastAsia="en-AU"/>
        </w:rPr>
      </w:pPr>
    </w:p>
    <w:p w:rsidR="00643A3F" w:rsidRPr="008F2088" w:rsidRDefault="009F0396" w:rsidP="005D628F">
      <w:pPr>
        <w:pStyle w:val="Chapter1"/>
        <w:numPr>
          <w:ilvl w:val="0"/>
          <w:numId w:val="0"/>
        </w:numPr>
        <w:tabs>
          <w:tab w:val="left" w:pos="567"/>
        </w:tabs>
      </w:pPr>
      <w:r w:rsidRPr="00E86E53">
        <w:fldChar w:fldCharType="begin"/>
      </w:r>
      <w:r w:rsidRPr="00E86E53">
        <w:instrText xml:space="preserve"> AUTONUM  </w:instrText>
      </w:r>
      <w:r w:rsidRPr="00E86E53">
        <w:fldChar w:fldCharType="end"/>
      </w:r>
      <w:r w:rsidRPr="00E86E53">
        <w:tab/>
      </w:r>
      <w:r w:rsidR="00643A3F">
        <w:t>Key risks associated with providing further flexibil</w:t>
      </w:r>
      <w:r w:rsidR="00883925">
        <w:t xml:space="preserve">ity for penalty relief include </w:t>
      </w:r>
      <w:r w:rsidR="00883925" w:rsidRPr="008F2088">
        <w:rPr>
          <w:color w:val="1A1A1A"/>
          <w:lang w:val="en-US" w:eastAsia="en-NZ"/>
        </w:rPr>
        <w:t>interpretation</w:t>
      </w:r>
      <w:r w:rsidR="00643A3F" w:rsidRPr="008F2088">
        <w:rPr>
          <w:color w:val="1A1A1A"/>
          <w:lang w:val="en-US" w:eastAsia="en-NZ"/>
        </w:rPr>
        <w:t xml:space="preserve"> concerns (for example, misunderstanding could lead to inappropriate penalty relief)</w:t>
      </w:r>
      <w:r w:rsidR="00643A3F">
        <w:rPr>
          <w:color w:val="1A1A1A"/>
          <w:lang w:val="en-US" w:eastAsia="en-NZ"/>
        </w:rPr>
        <w:t>, p</w:t>
      </w:r>
      <w:r w:rsidR="00643A3F" w:rsidRPr="008F2088">
        <w:rPr>
          <w:color w:val="1A1A1A"/>
          <w:lang w:val="en-US" w:eastAsia="en-NZ"/>
        </w:rPr>
        <w:t>otential for inconsistency in treatment of liable parents in similar situations</w:t>
      </w:r>
      <w:r w:rsidR="00643A3F">
        <w:rPr>
          <w:color w:val="1A1A1A"/>
          <w:lang w:val="en-US" w:eastAsia="en-NZ"/>
        </w:rPr>
        <w:t xml:space="preserve">, unintended </w:t>
      </w:r>
      <w:r w:rsidR="00883925">
        <w:rPr>
          <w:color w:val="1A1A1A"/>
          <w:lang w:val="en-US" w:eastAsia="en-NZ"/>
        </w:rPr>
        <w:t>behavioral</w:t>
      </w:r>
      <w:r w:rsidR="00643A3F">
        <w:rPr>
          <w:color w:val="1A1A1A"/>
          <w:lang w:val="en-US" w:eastAsia="en-NZ"/>
        </w:rPr>
        <w:t xml:space="preserve"> change </w:t>
      </w:r>
      <w:r w:rsidR="00643A3F" w:rsidRPr="008F2088">
        <w:rPr>
          <w:color w:val="1A1A1A"/>
          <w:lang w:val="en-US" w:eastAsia="en-NZ"/>
        </w:rPr>
        <w:t>with liable parents not paying assessment on time</w:t>
      </w:r>
      <w:r w:rsidR="00643A3F">
        <w:rPr>
          <w:color w:val="1A1A1A"/>
          <w:lang w:val="en-US" w:eastAsia="en-NZ"/>
        </w:rPr>
        <w:t>, and l</w:t>
      </w:r>
      <w:r w:rsidR="00643A3F" w:rsidRPr="008F2088">
        <w:rPr>
          <w:color w:val="1A1A1A"/>
          <w:lang w:val="en-US" w:eastAsia="en-NZ"/>
        </w:rPr>
        <w:t>oss of consistent debt treatment across legislation Inland Revenue is responsible for.</w:t>
      </w:r>
    </w:p>
    <w:p w:rsidR="00643A3F" w:rsidRDefault="00643A3F" w:rsidP="00AB053E">
      <w:pPr>
        <w:pStyle w:val="TRNormal"/>
        <w:tabs>
          <w:tab w:val="left" w:pos="567"/>
        </w:tabs>
        <w:spacing w:line="240" w:lineRule="auto"/>
      </w:pPr>
    </w:p>
    <w:p w:rsidR="00BC07AC" w:rsidRDefault="00BC07AC" w:rsidP="0054622E">
      <w:pPr>
        <w:pStyle w:val="Numberparagraph"/>
        <w:numPr>
          <w:ilvl w:val="0"/>
          <w:numId w:val="0"/>
        </w:numPr>
      </w:pPr>
      <w:r w:rsidRPr="00E86E53">
        <w:fldChar w:fldCharType="begin"/>
      </w:r>
      <w:r w:rsidRPr="00E86E53">
        <w:instrText xml:space="preserve"> AUTONUM  </w:instrText>
      </w:r>
      <w:r w:rsidRPr="00E86E53">
        <w:fldChar w:fldCharType="end"/>
      </w:r>
      <w:r w:rsidRPr="00E86E53">
        <w:tab/>
      </w:r>
      <w:r w:rsidR="00643A3F">
        <w:t xml:space="preserve">These risks can be mitigated through development of robust internal guidelines for considering “fair and reasonable”, appropriate training for staff, education for customers, and acknowledgement that child support customers can be differentiated from customers associated with other Inland Revenue Acts. These risks can be further mitigated by ensuring appropriate levels of delegated authority are set to apply this penalty relief. </w:t>
      </w:r>
    </w:p>
    <w:p w:rsidR="0054622E" w:rsidRPr="00E86E53" w:rsidRDefault="0054622E" w:rsidP="0054622E">
      <w:pPr>
        <w:pStyle w:val="Numberparagraph"/>
        <w:numPr>
          <w:ilvl w:val="0"/>
          <w:numId w:val="0"/>
        </w:numPr>
      </w:pPr>
    </w:p>
    <w:p w:rsidR="001104B1" w:rsidRPr="00ED71DE" w:rsidRDefault="001104B1" w:rsidP="00624EE7">
      <w:pPr>
        <w:spacing w:before="120"/>
        <w:jc w:val="both"/>
        <w:rPr>
          <w:b/>
        </w:rPr>
      </w:pPr>
      <w:r w:rsidRPr="00ED71DE">
        <w:rPr>
          <w:b/>
        </w:rPr>
        <w:t>Impact analysis of the options</w:t>
      </w:r>
      <w:r w:rsidR="00A85507" w:rsidRPr="00ED71DE">
        <w:rPr>
          <w:b/>
        </w:rPr>
        <w:t xml:space="preserve"> </w:t>
      </w:r>
    </w:p>
    <w:p w:rsidR="001104B1" w:rsidRDefault="001104B1" w:rsidP="001104B1">
      <w:pPr>
        <w:jc w:val="both"/>
      </w:pPr>
    </w:p>
    <w:p w:rsidR="005E2A69" w:rsidRDefault="001104B1" w:rsidP="00DF1497">
      <w:pPr>
        <w:jc w:val="both"/>
      </w:pPr>
      <w:r>
        <w:fldChar w:fldCharType="begin"/>
      </w:r>
      <w:r>
        <w:instrText xml:space="preserve"> AUTONUM  </w:instrText>
      </w:r>
      <w:r>
        <w:fldChar w:fldCharType="end"/>
      </w:r>
      <w:r>
        <w:tab/>
        <w:t>The</w:t>
      </w:r>
      <w:r w:rsidR="00BE4331">
        <w:t xml:space="preserve"> key</w:t>
      </w:r>
      <w:r>
        <w:t xml:space="preserve"> impacts of </w:t>
      </w:r>
      <w:r w:rsidR="000E1429">
        <w:t xml:space="preserve">the options, </w:t>
      </w:r>
      <w:r>
        <w:t xml:space="preserve">and whether they meet the objectives in paragraph </w:t>
      </w:r>
      <w:r w:rsidR="005D628F">
        <w:t>23</w:t>
      </w:r>
      <w:r>
        <w:t xml:space="preserve">, are summarised in </w:t>
      </w:r>
      <w:r w:rsidR="00724201">
        <w:t>T</w:t>
      </w:r>
      <w:r>
        <w:t>able</w:t>
      </w:r>
      <w:r w:rsidR="00724201">
        <w:t xml:space="preserve"> </w:t>
      </w:r>
      <w:r w:rsidR="00883925">
        <w:t>2</w:t>
      </w:r>
      <w:r>
        <w:t>.</w:t>
      </w:r>
      <w:r w:rsidR="00067850">
        <w:t xml:space="preserve">  </w:t>
      </w:r>
    </w:p>
    <w:p w:rsidR="005E2A69" w:rsidRDefault="005E2A69" w:rsidP="00DF1497">
      <w:pPr>
        <w:jc w:val="both"/>
      </w:pPr>
    </w:p>
    <w:p w:rsidR="00A26CF6" w:rsidRDefault="005E2A69" w:rsidP="00DF1497">
      <w:pPr>
        <w:jc w:val="both"/>
      </w:pPr>
      <w:r>
        <w:fldChar w:fldCharType="begin"/>
      </w:r>
      <w:r>
        <w:instrText xml:space="preserve"> AUTONUM  </w:instrText>
      </w:r>
      <w:r>
        <w:fldChar w:fldCharType="end"/>
      </w:r>
      <w:r>
        <w:tab/>
      </w:r>
      <w:r w:rsidR="00DF1497">
        <w:t xml:space="preserve">Both options </w:t>
      </w:r>
      <w:r w:rsidR="00F01A95">
        <w:t xml:space="preserve">would continue </w:t>
      </w:r>
      <w:r w:rsidR="000F3E61">
        <w:t>with changes to debt and penalties</w:t>
      </w:r>
      <w:r w:rsidR="00F01A95">
        <w:t xml:space="preserve"> </w:t>
      </w:r>
      <w:r w:rsidR="00DF1497">
        <w:t xml:space="preserve">as part of </w:t>
      </w:r>
      <w:r w:rsidR="00F01A95">
        <w:t>the second phase</w:t>
      </w:r>
      <w:r w:rsidR="00DF1497">
        <w:t xml:space="preserve"> of the child support reforms</w:t>
      </w:r>
      <w:r w:rsidR="000F3E61">
        <w:t>.</w:t>
      </w:r>
      <w:r w:rsidR="00EA4F89">
        <w:t xml:space="preserve"> </w:t>
      </w:r>
      <w:r w:rsidR="000F3E61">
        <w:t xml:space="preserve"> </w:t>
      </w:r>
      <w:r w:rsidR="00A7135F">
        <w:t xml:space="preserve">Around </w:t>
      </w:r>
      <w:r w:rsidR="00021EEF">
        <w:t>12</w:t>
      </w:r>
      <w:r w:rsidR="00173BC3">
        <w:t>0</w:t>
      </w:r>
      <w:r w:rsidR="00021EEF">
        <w:t>,</w:t>
      </w:r>
      <w:r w:rsidR="00173BC3">
        <w:t>6</w:t>
      </w:r>
      <w:r w:rsidR="00021EEF">
        <w:t>00</w:t>
      </w:r>
      <w:r w:rsidR="00A7135F">
        <w:t xml:space="preserve"> </w:t>
      </w:r>
      <w:r w:rsidR="00131E8C">
        <w:t>liable parent</w:t>
      </w:r>
      <w:r w:rsidR="00021EEF">
        <w:t xml:space="preserve">s are in debt, about </w:t>
      </w:r>
      <w:r w:rsidR="00770343">
        <w:t>70</w:t>
      </w:r>
      <w:r w:rsidR="00A7135F">
        <w:t xml:space="preserve">% of </w:t>
      </w:r>
      <w:r w:rsidR="00131E8C">
        <w:t>liable parent</w:t>
      </w:r>
      <w:r w:rsidR="00A7135F">
        <w:t xml:space="preserve">s. </w:t>
      </w:r>
      <w:r w:rsidR="00EA4F89">
        <w:t xml:space="preserve"> </w:t>
      </w:r>
      <w:r w:rsidR="003E0179">
        <w:t>T</w:t>
      </w:r>
      <w:r w:rsidR="00A85507">
        <w:t>he total debt</w:t>
      </w:r>
      <w:r w:rsidR="003E0179">
        <w:t xml:space="preserve"> exceeds $3</w:t>
      </w:r>
      <w:r w:rsidR="00021EEF">
        <w:t>.2</w:t>
      </w:r>
      <w:r w:rsidR="003E0179">
        <w:t xml:space="preserve"> billion, an average </w:t>
      </w:r>
      <w:r w:rsidR="00F01A95">
        <w:t xml:space="preserve">of </w:t>
      </w:r>
      <w:r w:rsidR="00021EEF" w:rsidRPr="00021EEF">
        <w:t>$2</w:t>
      </w:r>
      <w:r w:rsidR="00173BC3">
        <w:t>6</w:t>
      </w:r>
      <w:r w:rsidR="00021EEF" w:rsidRPr="00021EEF">
        <w:t>,</w:t>
      </w:r>
      <w:r w:rsidR="00173BC3">
        <w:t>5</w:t>
      </w:r>
      <w:r w:rsidR="003E0179" w:rsidRPr="00021EEF">
        <w:t>50</w:t>
      </w:r>
      <w:r w:rsidR="003E0179">
        <w:t xml:space="preserve"> per person. </w:t>
      </w:r>
      <w:r w:rsidR="00EA4F89">
        <w:t xml:space="preserve"> </w:t>
      </w:r>
      <w:r w:rsidR="00021EEF">
        <w:t>Around 78</w:t>
      </w:r>
      <w:r w:rsidR="003E0179">
        <w:t xml:space="preserve">% of the debt is the penalty component. </w:t>
      </w:r>
      <w:r w:rsidR="00EA4F89">
        <w:t xml:space="preserve"> </w:t>
      </w:r>
      <w:r w:rsidR="003E0179">
        <w:t xml:space="preserve">Of the penalty debt, </w:t>
      </w:r>
      <w:r w:rsidR="003E0179" w:rsidRPr="004F71EB">
        <w:t xml:space="preserve">about </w:t>
      </w:r>
      <w:r w:rsidR="00173BC3">
        <w:t>3</w:t>
      </w:r>
      <w:r w:rsidR="003E0179" w:rsidRPr="00E15638">
        <w:t>%</w:t>
      </w:r>
      <w:r w:rsidR="003E0179">
        <w:t xml:space="preserve"> relates to the late payment penalty, with the rest relate</w:t>
      </w:r>
      <w:r w:rsidR="006760BF">
        <w:t>s</w:t>
      </w:r>
      <w:r w:rsidR="003E0179">
        <w:t xml:space="preserve"> to the 2% monthly penalty</w:t>
      </w:r>
      <w:r w:rsidR="006760BF">
        <w:t xml:space="preserve"> rate</w:t>
      </w:r>
      <w:r w:rsidR="003E0179">
        <w:t xml:space="preserve">. </w:t>
      </w:r>
      <w:r w:rsidR="00EA4F89">
        <w:t xml:space="preserve"> </w:t>
      </w:r>
      <w:r w:rsidR="003E0179">
        <w:t>However, the average debt is not a good indicator of the spread of the impact of the changes</w:t>
      </w:r>
      <w:r w:rsidR="003E0179" w:rsidRPr="00021EEF">
        <w:t xml:space="preserve">. </w:t>
      </w:r>
      <w:r w:rsidR="00EA4F89" w:rsidRPr="00021EEF">
        <w:t xml:space="preserve"> </w:t>
      </w:r>
      <w:r w:rsidR="004F71EB">
        <w:t>Around</w:t>
      </w:r>
      <w:r w:rsidR="004F71EB" w:rsidRPr="00E15638">
        <w:t xml:space="preserve"> </w:t>
      </w:r>
      <w:r w:rsidR="00A26CF6" w:rsidRPr="00E15638">
        <w:t>half</w:t>
      </w:r>
      <w:r w:rsidR="00A26CF6">
        <w:t xml:space="preserve"> of the </w:t>
      </w:r>
      <w:r w:rsidR="00021EEF">
        <w:t>12</w:t>
      </w:r>
      <w:r w:rsidR="00173BC3">
        <w:t>0</w:t>
      </w:r>
      <w:r w:rsidR="00021EEF">
        <w:t>,</w:t>
      </w:r>
      <w:r w:rsidR="00173BC3">
        <w:t>6</w:t>
      </w:r>
      <w:r w:rsidR="00021EEF">
        <w:t>00</w:t>
      </w:r>
      <w:r w:rsidR="00A26CF6">
        <w:t xml:space="preserve"> </w:t>
      </w:r>
      <w:r w:rsidR="00131E8C">
        <w:t>liable parent</w:t>
      </w:r>
      <w:r w:rsidR="00A26CF6">
        <w:t>s have a debt where the penalties are greater than the value of the assessment debt</w:t>
      </w:r>
      <w:r w:rsidR="004F71EB">
        <w:t>.</w:t>
      </w:r>
      <w:r w:rsidR="00ED71DE">
        <w:t xml:space="preserve">  </w:t>
      </w:r>
      <w:r w:rsidR="000B0491">
        <w:t xml:space="preserve">The </w:t>
      </w:r>
      <w:r w:rsidR="00DC1CD8">
        <w:t>older the debt,</w:t>
      </w:r>
      <w:r w:rsidR="00724201">
        <w:t xml:space="preserve"> the high</w:t>
      </w:r>
      <w:r w:rsidR="00A85507">
        <w:t>er the proportion of penalties.</w:t>
      </w:r>
    </w:p>
    <w:p w:rsidR="006760BF" w:rsidRDefault="006760BF" w:rsidP="00B00A61">
      <w:pPr>
        <w:jc w:val="both"/>
      </w:pPr>
    </w:p>
    <w:p w:rsidR="00ED71DE" w:rsidRDefault="00ED71DE" w:rsidP="00ED71DE">
      <w:pPr>
        <w:jc w:val="both"/>
      </w:pPr>
      <w:r>
        <w:fldChar w:fldCharType="begin"/>
      </w:r>
      <w:r>
        <w:instrText xml:space="preserve"> AUTONUM  </w:instrText>
      </w:r>
      <w:r>
        <w:fldChar w:fldCharType="end"/>
      </w:r>
      <w:r>
        <w:tab/>
        <w:t>To the extent that the debt and penalty changes improve the timeliness of payments, and the payment of assessment debt by liable parents, there would be a corresponding impact on the receiving carers and their children.  However, receiving carers do not receive penalty payments (78</w:t>
      </w:r>
      <w:r w:rsidRPr="00021EEF">
        <w:t>%</w:t>
      </w:r>
      <w:r>
        <w:t xml:space="preserve"> of all debt), and receiving carers who are beneficiaries do not receive assessment debt as this is retained by the Crown.  Around </w:t>
      </w:r>
      <w:r w:rsidRPr="00E15638">
        <w:t>25%</w:t>
      </w:r>
      <w:r>
        <w:t xml:space="preserve"> of domestic assessed debt and around </w:t>
      </w:r>
      <w:r w:rsidRPr="00E15638">
        <w:t>50%</w:t>
      </w:r>
      <w:r>
        <w:t xml:space="preserve"> of the international assessed debt is owed to receiving carers, the rest is owed to the Crown.</w:t>
      </w:r>
    </w:p>
    <w:p w:rsidR="00883925" w:rsidRDefault="00883925" w:rsidP="00883925">
      <w:pPr>
        <w:jc w:val="both"/>
        <w:rPr>
          <w:b/>
          <w:i/>
        </w:rPr>
      </w:pPr>
    </w:p>
    <w:p w:rsidR="00CB3916" w:rsidRDefault="00CB3916" w:rsidP="00BE4331">
      <w:pPr>
        <w:jc w:val="both"/>
        <w:sectPr w:rsidR="00CB3916" w:rsidSect="00FB1225">
          <w:pgSz w:w="11906" w:h="16838"/>
          <w:pgMar w:top="1191" w:right="1588" w:bottom="1134" w:left="1418" w:header="720" w:footer="720" w:gutter="0"/>
          <w:cols w:space="720"/>
        </w:sectPr>
      </w:pPr>
    </w:p>
    <w:p w:rsidR="001104B1" w:rsidRPr="002D68EA" w:rsidRDefault="00724201" w:rsidP="001104B1">
      <w:pPr>
        <w:jc w:val="both"/>
        <w:rPr>
          <w:b/>
        </w:rPr>
      </w:pPr>
      <w:r>
        <w:rPr>
          <w:b/>
        </w:rPr>
        <w:lastRenderedPageBreak/>
        <w:t xml:space="preserve">Table </w:t>
      </w:r>
      <w:r w:rsidR="00883925">
        <w:rPr>
          <w:b/>
        </w:rPr>
        <w:t>2</w:t>
      </w:r>
      <w:r>
        <w:rPr>
          <w:b/>
        </w:rPr>
        <w:t>:</w:t>
      </w:r>
      <w:r w:rsidR="00883925">
        <w:rPr>
          <w:b/>
        </w:rPr>
        <w:t xml:space="preserve"> </w:t>
      </w:r>
      <w:r w:rsidR="001104B1" w:rsidRPr="002D68EA">
        <w:rPr>
          <w:b/>
        </w:rPr>
        <w:t xml:space="preserve">Summary of </w:t>
      </w:r>
      <w:r>
        <w:rPr>
          <w:b/>
        </w:rPr>
        <w:t xml:space="preserve">the </w:t>
      </w:r>
      <w:r w:rsidR="001104B1" w:rsidRPr="002D68EA">
        <w:rPr>
          <w:b/>
        </w:rPr>
        <w:t>impacts</w:t>
      </w:r>
      <w:r w:rsidR="002F633B">
        <w:rPr>
          <w:b/>
        </w:rPr>
        <w:t xml:space="preserve"> of</w:t>
      </w:r>
      <w:r>
        <w:rPr>
          <w:b/>
        </w:rPr>
        <w:t xml:space="preserve"> </w:t>
      </w:r>
      <w:r w:rsidR="002F633B">
        <w:rPr>
          <w:b/>
        </w:rPr>
        <w:t xml:space="preserve">the </w:t>
      </w:r>
      <w:r w:rsidR="00DC1CD8">
        <w:rPr>
          <w:b/>
        </w:rPr>
        <w:t>options</w:t>
      </w:r>
    </w:p>
    <w:p w:rsidR="001104B1" w:rsidRDefault="001104B1" w:rsidP="001104B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016"/>
        <w:gridCol w:w="2229"/>
        <w:gridCol w:w="2268"/>
        <w:gridCol w:w="2268"/>
        <w:gridCol w:w="2268"/>
        <w:gridCol w:w="2268"/>
        <w:gridCol w:w="2181"/>
      </w:tblGrid>
      <w:tr w:rsidR="00575F1D" w:rsidRPr="00321A33" w:rsidTr="00575F1D">
        <w:trPr>
          <w:tblHeader/>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rsidP="00321A33">
            <w:pPr>
              <w:jc w:val="both"/>
              <w:rPr>
                <w:b/>
                <w:i/>
                <w:sz w:val="20"/>
                <w:szCs w:val="20"/>
                <w:lang w:val="en-GB" w:eastAsia="en-US"/>
              </w:rPr>
            </w:pPr>
            <w:r w:rsidRPr="00321A33">
              <w:rPr>
                <w:b/>
                <w:i/>
                <w:sz w:val="20"/>
                <w:szCs w:val="20"/>
                <w:lang w:val="en-GB"/>
              </w:rPr>
              <w:t>Option</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rsidP="00321A33">
            <w:pPr>
              <w:jc w:val="both"/>
              <w:rPr>
                <w:b/>
                <w:i/>
                <w:sz w:val="20"/>
                <w:szCs w:val="20"/>
                <w:lang w:val="en-GB" w:eastAsia="en-US"/>
              </w:rPr>
            </w:pPr>
            <w:r w:rsidRPr="00321A33">
              <w:rPr>
                <w:b/>
                <w:i/>
                <w:sz w:val="20"/>
                <w:szCs w:val="20"/>
                <w:lang w:val="en-GB"/>
              </w:rPr>
              <w:t xml:space="preserve">Meets objectives </w:t>
            </w:r>
          </w:p>
        </w:tc>
        <w:tc>
          <w:tcPr>
            <w:tcW w:w="11301" w:type="dxa"/>
            <w:gridSpan w:val="5"/>
            <w:tcBorders>
              <w:top w:val="single" w:sz="4" w:space="0" w:color="auto"/>
              <w:left w:val="single" w:sz="4" w:space="0" w:color="auto"/>
              <w:bottom w:val="single" w:sz="4" w:space="0" w:color="auto"/>
              <w:right w:val="single" w:sz="4" w:space="0" w:color="auto"/>
            </w:tcBorders>
          </w:tcPr>
          <w:p w:rsidR="00575F1D" w:rsidRPr="00321A33" w:rsidRDefault="00575F1D" w:rsidP="00321A33">
            <w:pPr>
              <w:jc w:val="center"/>
              <w:rPr>
                <w:b/>
                <w:i/>
                <w:sz w:val="20"/>
                <w:szCs w:val="20"/>
                <w:lang w:val="en-GB" w:eastAsia="en-US"/>
              </w:rPr>
            </w:pPr>
            <w:r w:rsidRPr="00321A33">
              <w:rPr>
                <w:b/>
                <w:i/>
                <w:sz w:val="20"/>
                <w:szCs w:val="20"/>
                <w:lang w:val="en-GB"/>
              </w:rPr>
              <w:t>Impacts</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rsidP="00321A33">
            <w:pPr>
              <w:jc w:val="center"/>
              <w:rPr>
                <w:b/>
                <w:i/>
                <w:sz w:val="20"/>
                <w:szCs w:val="20"/>
                <w:lang w:val="en-GB" w:eastAsia="en-US"/>
              </w:rPr>
            </w:pPr>
            <w:r w:rsidRPr="00321A33">
              <w:rPr>
                <w:b/>
                <w:i/>
                <w:sz w:val="20"/>
                <w:szCs w:val="20"/>
                <w:lang w:val="en-GB"/>
              </w:rPr>
              <w:t>Recommendation and net impact</w:t>
            </w:r>
          </w:p>
        </w:tc>
      </w:tr>
      <w:tr w:rsidR="00575F1D" w:rsidRPr="00321A33" w:rsidTr="00575F1D">
        <w:trPr>
          <w:trHeight w:val="518"/>
          <w:tblHeader/>
        </w:trPr>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pPr>
              <w:rPr>
                <w:b/>
                <w:i/>
                <w:sz w:val="20"/>
                <w:szCs w:val="20"/>
                <w:lang w:val="en-GB" w:eastAsia="en-US"/>
              </w:rPr>
            </w:pPr>
          </w:p>
        </w:tc>
        <w:tc>
          <w:tcPr>
            <w:tcW w:w="1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pPr>
              <w:rPr>
                <w:b/>
                <w:i/>
                <w:sz w:val="20"/>
                <w:szCs w:val="20"/>
                <w:lang w:val="en-GB" w:eastAsia="en-US"/>
              </w:rPr>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575F1D" w:rsidRPr="00321A33" w:rsidRDefault="00575F1D" w:rsidP="008764AF">
            <w:pPr>
              <w:jc w:val="center"/>
              <w:rPr>
                <w:b/>
                <w:i/>
                <w:sz w:val="20"/>
                <w:szCs w:val="20"/>
                <w:lang w:val="en-GB" w:eastAsia="en-US"/>
              </w:rPr>
            </w:pPr>
            <w:r>
              <w:rPr>
                <w:b/>
                <w:i/>
                <w:sz w:val="20"/>
                <w:szCs w:val="20"/>
                <w:lang w:val="en-GB"/>
              </w:rPr>
              <w:t>E</w:t>
            </w:r>
            <w:r w:rsidRPr="00321A33">
              <w:rPr>
                <w:b/>
                <w:i/>
                <w:sz w:val="20"/>
                <w:szCs w:val="20"/>
                <w:lang w:val="en-GB"/>
              </w:rPr>
              <w:t>conomic</w:t>
            </w:r>
            <w:r>
              <w:rPr>
                <w:b/>
                <w:i/>
                <w:sz w:val="20"/>
                <w:szCs w:val="20"/>
                <w:lang w:val="en-GB"/>
              </w:rPr>
              <w:t>/ Revenue</w:t>
            </w:r>
            <w:r w:rsidRPr="00321A33">
              <w:rPr>
                <w:b/>
                <w:i/>
                <w:sz w:val="20"/>
                <w:szCs w:val="20"/>
                <w:lang w:val="en-GB"/>
              </w:rPr>
              <w:t xml:space="preserve"> impact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rsidP="00724201">
            <w:pPr>
              <w:jc w:val="center"/>
              <w:rPr>
                <w:b/>
                <w:i/>
                <w:sz w:val="20"/>
                <w:szCs w:val="20"/>
                <w:lang w:val="en-GB" w:eastAsia="en-US"/>
              </w:rPr>
            </w:pPr>
            <w:r w:rsidRPr="00321A33">
              <w:rPr>
                <w:b/>
                <w:i/>
                <w:sz w:val="20"/>
                <w:szCs w:val="20"/>
                <w:lang w:val="en-GB"/>
              </w:rPr>
              <w:t xml:space="preserve">Administrative </w:t>
            </w:r>
            <w:r>
              <w:rPr>
                <w:b/>
                <w:i/>
                <w:sz w:val="20"/>
                <w:szCs w:val="20"/>
                <w:lang w:val="en-GB"/>
              </w:rPr>
              <w:t>implications</w:t>
            </w:r>
          </w:p>
        </w:tc>
        <w:tc>
          <w:tcPr>
            <w:tcW w:w="2268" w:type="dxa"/>
            <w:tcBorders>
              <w:top w:val="single" w:sz="4" w:space="0" w:color="auto"/>
              <w:left w:val="single" w:sz="4" w:space="0" w:color="auto"/>
              <w:bottom w:val="single" w:sz="4" w:space="0" w:color="auto"/>
              <w:right w:val="single" w:sz="4" w:space="0" w:color="auto"/>
            </w:tcBorders>
            <w:vAlign w:val="center"/>
          </w:tcPr>
          <w:p w:rsidR="00575F1D" w:rsidRDefault="00575F1D" w:rsidP="008764AF">
            <w:pPr>
              <w:jc w:val="center"/>
              <w:rPr>
                <w:b/>
                <w:i/>
                <w:sz w:val="20"/>
                <w:szCs w:val="20"/>
                <w:lang w:val="en-GB"/>
              </w:rPr>
            </w:pPr>
            <w:r>
              <w:rPr>
                <w:b/>
                <w:i/>
                <w:sz w:val="20"/>
                <w:szCs w:val="20"/>
                <w:lang w:val="en-GB"/>
              </w:rPr>
              <w:t>Compliance implications</w:t>
            </w:r>
          </w:p>
        </w:tc>
        <w:tc>
          <w:tcPr>
            <w:tcW w:w="2268" w:type="dxa"/>
            <w:tcBorders>
              <w:top w:val="single" w:sz="4" w:space="0" w:color="auto"/>
              <w:left w:val="single" w:sz="4" w:space="0" w:color="auto"/>
              <w:bottom w:val="single" w:sz="4" w:space="0" w:color="auto"/>
              <w:right w:val="single" w:sz="4" w:space="0" w:color="auto"/>
            </w:tcBorders>
          </w:tcPr>
          <w:p w:rsidR="00575F1D" w:rsidRDefault="00575F1D" w:rsidP="00321A33">
            <w:pPr>
              <w:jc w:val="center"/>
              <w:rPr>
                <w:b/>
                <w:i/>
                <w:sz w:val="20"/>
                <w:szCs w:val="20"/>
                <w:lang w:val="en-GB" w:eastAsia="en-US"/>
              </w:rPr>
            </w:pPr>
            <w:r>
              <w:rPr>
                <w:b/>
                <w:i/>
                <w:sz w:val="20"/>
                <w:szCs w:val="20"/>
                <w:lang w:val="en-GB" w:eastAsia="en-US"/>
              </w:rPr>
              <w:t>Social</w:t>
            </w:r>
          </w:p>
          <w:p w:rsidR="00575F1D" w:rsidRDefault="00575F1D" w:rsidP="00321A33">
            <w:pPr>
              <w:jc w:val="center"/>
              <w:rPr>
                <w:b/>
                <w:i/>
                <w:sz w:val="20"/>
                <w:szCs w:val="20"/>
                <w:lang w:val="en-GB" w:eastAsia="en-US"/>
              </w:rPr>
            </w:pPr>
            <w:r>
              <w:rPr>
                <w:b/>
                <w:i/>
                <w:sz w:val="20"/>
                <w:szCs w:val="20"/>
                <w:lang w:val="en-GB" w:eastAsia="en-US"/>
              </w:rPr>
              <w:t>implications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rsidP="00321A33">
            <w:pPr>
              <w:jc w:val="center"/>
              <w:rPr>
                <w:b/>
                <w:i/>
                <w:sz w:val="20"/>
                <w:szCs w:val="20"/>
                <w:lang w:val="en-GB" w:eastAsia="en-US"/>
              </w:rPr>
            </w:pPr>
            <w:r>
              <w:rPr>
                <w:b/>
                <w:i/>
                <w:sz w:val="20"/>
                <w:szCs w:val="20"/>
                <w:lang w:val="en-GB" w:eastAsia="en-US"/>
              </w:rPr>
              <w:t>Risks</w:t>
            </w:r>
          </w:p>
        </w:tc>
        <w:tc>
          <w:tcPr>
            <w:tcW w:w="21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5F1D" w:rsidRPr="00321A33" w:rsidRDefault="00575F1D">
            <w:pPr>
              <w:rPr>
                <w:b/>
                <w:i/>
                <w:sz w:val="20"/>
                <w:szCs w:val="20"/>
                <w:lang w:val="en-GB" w:eastAsia="en-US"/>
              </w:rPr>
            </w:pPr>
          </w:p>
        </w:tc>
      </w:tr>
      <w:tr w:rsidR="00575F1D" w:rsidRPr="00321A33" w:rsidTr="00575F1D">
        <w:trPr>
          <w:trHeight w:val="1315"/>
        </w:trPr>
        <w:tc>
          <w:tcPr>
            <w:tcW w:w="1116"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b/>
                <w:sz w:val="20"/>
                <w:szCs w:val="20"/>
                <w:lang w:val="en-GB"/>
              </w:rPr>
            </w:pPr>
            <w:r>
              <w:rPr>
                <w:b/>
                <w:sz w:val="20"/>
                <w:szCs w:val="20"/>
                <w:lang w:val="en-GB"/>
              </w:rPr>
              <w:t>One</w:t>
            </w:r>
          </w:p>
          <w:p w:rsidR="00575F1D" w:rsidRDefault="00575F1D" w:rsidP="008A7A68">
            <w:pPr>
              <w:rPr>
                <w:i/>
                <w:sz w:val="20"/>
                <w:szCs w:val="20"/>
                <w:lang w:val="en-GB"/>
              </w:rPr>
            </w:pPr>
          </w:p>
          <w:p w:rsidR="00575F1D" w:rsidRPr="00321A33" w:rsidRDefault="00575F1D" w:rsidP="008A7A68">
            <w:pPr>
              <w:rPr>
                <w:b/>
                <w:sz w:val="20"/>
                <w:szCs w:val="20"/>
                <w:lang w:val="en-GB"/>
              </w:rPr>
            </w:pPr>
            <w:r>
              <w:rPr>
                <w:i/>
                <w:sz w:val="20"/>
                <w:szCs w:val="20"/>
                <w:lang w:val="en-GB"/>
              </w:rPr>
              <w:t>Status quo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sz w:val="20"/>
                <w:szCs w:val="20"/>
                <w:lang w:val="en-GB"/>
              </w:rPr>
            </w:pPr>
          </w:p>
          <w:p w:rsidR="00575F1D" w:rsidRDefault="00575F1D" w:rsidP="008A7A68">
            <w:pPr>
              <w:rPr>
                <w:sz w:val="20"/>
                <w:szCs w:val="20"/>
                <w:lang w:val="en-GB"/>
              </w:rPr>
            </w:pPr>
          </w:p>
          <w:p w:rsidR="00575F1D" w:rsidRPr="00321A33" w:rsidRDefault="00575F1D" w:rsidP="008A7A68">
            <w:pPr>
              <w:rPr>
                <w:sz w:val="20"/>
                <w:szCs w:val="20"/>
                <w:lang w:val="en-GB"/>
              </w:rPr>
            </w:pPr>
            <w:r>
              <w:rPr>
                <w:sz w:val="20"/>
                <w:szCs w:val="20"/>
                <w:lang w:val="en-GB"/>
              </w:rPr>
              <w:t>Partially A, B, C &amp; D</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sz w:val="20"/>
                <w:szCs w:val="22"/>
                <w:lang w:val="en-GB" w:eastAsia="en-US"/>
              </w:rPr>
            </w:pP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 xml:space="preserve">The revenue cost of the current reform changes to penalty and debt rules is estimated at </w:t>
            </w:r>
            <w:r w:rsidR="00027D40">
              <w:rPr>
                <w:sz w:val="20"/>
                <w:szCs w:val="22"/>
                <w:lang w:val="en-GB" w:eastAsia="en-US"/>
              </w:rPr>
              <w:t xml:space="preserve">around </w:t>
            </w:r>
            <w:r>
              <w:rPr>
                <w:sz w:val="20"/>
                <w:szCs w:val="22"/>
                <w:lang w:val="en-GB" w:eastAsia="en-US"/>
              </w:rPr>
              <w:t xml:space="preserve">$10 million </w:t>
            </w:r>
            <w:r w:rsidR="00027D40">
              <w:rPr>
                <w:sz w:val="20"/>
                <w:szCs w:val="22"/>
                <w:lang w:val="en-GB" w:eastAsia="en-US"/>
              </w:rPr>
              <w:t>per annum</w:t>
            </w:r>
            <w:r>
              <w:rPr>
                <w:sz w:val="20"/>
                <w:szCs w:val="22"/>
                <w:lang w:val="en-GB" w:eastAsia="en-US"/>
              </w:rPr>
              <w:t>.</w:t>
            </w:r>
          </w:p>
          <w:p w:rsidR="00575F1D" w:rsidRDefault="00575F1D" w:rsidP="008A7A68">
            <w:pPr>
              <w:rPr>
                <w:sz w:val="20"/>
                <w:szCs w:val="22"/>
                <w:lang w:val="en-GB" w:eastAsia="en-US"/>
              </w:rPr>
            </w:pPr>
          </w:p>
          <w:p w:rsidR="00575F1D" w:rsidRPr="00321A33" w:rsidRDefault="00575F1D" w:rsidP="008A7A68">
            <w:pPr>
              <w:rPr>
                <w:sz w:val="20"/>
                <w:szCs w:val="22"/>
                <w:lang w:val="en-GB" w:eastAsia="en-US"/>
              </w:rPr>
            </w:pPr>
            <w:r>
              <w:rPr>
                <w:sz w:val="20"/>
                <w:szCs w:val="22"/>
                <w:lang w:val="en-GB" w:eastAsia="en-US"/>
              </w:rPr>
              <w:t>Estimated that a 1% increase in the amount of child support paid to the Crown would have a positive fiscal impact of around $2m per annum.</w:t>
            </w:r>
            <w:r>
              <w:rPr>
                <w:rStyle w:val="FootnoteReference"/>
                <w:sz w:val="20"/>
                <w:szCs w:val="22"/>
                <w:lang w:val="en-GB" w:eastAsia="en-US"/>
              </w:rPr>
              <w:footnoteReference w:id="3"/>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sz w:val="20"/>
                <w:szCs w:val="22"/>
                <w:lang w:val="en-GB" w:eastAsia="en-US"/>
              </w:rPr>
            </w:pPr>
          </w:p>
          <w:p w:rsidR="00575F1D" w:rsidRDefault="00575F1D" w:rsidP="00032570">
            <w:pPr>
              <w:rPr>
                <w:sz w:val="20"/>
                <w:szCs w:val="22"/>
                <w:lang w:val="en-GB" w:eastAsia="en-US"/>
              </w:rPr>
            </w:pPr>
          </w:p>
          <w:p w:rsidR="00575F1D" w:rsidRDefault="00575F1D" w:rsidP="00032570">
            <w:pPr>
              <w:rPr>
                <w:sz w:val="20"/>
                <w:szCs w:val="22"/>
                <w:lang w:val="en-GB" w:eastAsia="en-US"/>
              </w:rPr>
            </w:pPr>
            <w:r>
              <w:rPr>
                <w:sz w:val="20"/>
                <w:szCs w:val="22"/>
                <w:lang w:val="en-GB" w:eastAsia="en-US"/>
              </w:rPr>
              <w:t xml:space="preserve">The administrative </w:t>
            </w:r>
            <w:r w:rsidR="00254177">
              <w:rPr>
                <w:sz w:val="20"/>
                <w:szCs w:val="22"/>
                <w:lang w:val="en-GB" w:eastAsia="en-US"/>
              </w:rPr>
              <w:t xml:space="preserve">impacts </w:t>
            </w:r>
            <w:r>
              <w:rPr>
                <w:sz w:val="20"/>
                <w:szCs w:val="22"/>
                <w:lang w:val="en-GB" w:eastAsia="en-US"/>
              </w:rPr>
              <w:t>of this option are an integral part of the wider child support reform programme.</w:t>
            </w:r>
          </w:p>
          <w:p w:rsidR="00575F1D" w:rsidRPr="0010759A" w:rsidRDefault="00575F1D" w:rsidP="008A7A68">
            <w:pPr>
              <w:rPr>
                <w:sz w:val="16"/>
                <w:szCs w:val="16"/>
                <w:lang w:val="en-GB" w:eastAsia="en-US"/>
              </w:rPr>
            </w:pPr>
          </w:p>
        </w:tc>
        <w:tc>
          <w:tcPr>
            <w:tcW w:w="2268" w:type="dxa"/>
            <w:tcBorders>
              <w:top w:val="single" w:sz="4" w:space="0" w:color="auto"/>
              <w:left w:val="single" w:sz="4" w:space="0" w:color="auto"/>
              <w:bottom w:val="single" w:sz="4" w:space="0" w:color="auto"/>
              <w:right w:val="single" w:sz="4" w:space="0" w:color="auto"/>
            </w:tcBorders>
          </w:tcPr>
          <w:p w:rsidR="00575F1D" w:rsidRDefault="00575F1D" w:rsidP="008A7A68">
            <w:pPr>
              <w:rPr>
                <w:sz w:val="20"/>
                <w:szCs w:val="22"/>
                <w:lang w:val="en-GB" w:eastAsia="en-US"/>
              </w:rPr>
            </w:pP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 xml:space="preserve">Compliance costs for </w:t>
            </w:r>
            <w:r w:rsidR="00131E8C">
              <w:rPr>
                <w:sz w:val="20"/>
                <w:szCs w:val="22"/>
                <w:lang w:val="en-GB" w:eastAsia="en-US"/>
              </w:rPr>
              <w:t>liable parent</w:t>
            </w:r>
            <w:r>
              <w:rPr>
                <w:sz w:val="20"/>
                <w:szCs w:val="22"/>
                <w:lang w:val="en-GB" w:eastAsia="en-US"/>
              </w:rPr>
              <w:t>s are expected to decrease as payment arrangements are made and interactions with Inland Revenue decrease.</w:t>
            </w: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An increase in positive compliance behaviour is anticipated as a result of incentives to enter into payment arrangements.</w:t>
            </w:r>
          </w:p>
          <w:p w:rsidR="00575F1D" w:rsidRPr="002D68EA" w:rsidRDefault="00575F1D" w:rsidP="008A7A68">
            <w:pPr>
              <w:rPr>
                <w:sz w:val="20"/>
                <w:szCs w:val="22"/>
                <w:lang w:val="en-GB" w:eastAsia="en-US"/>
              </w:rPr>
            </w:pPr>
            <w:r>
              <w:rPr>
                <w:sz w:val="20"/>
                <w:szCs w:val="22"/>
                <w:lang w:val="en-GB"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575F1D" w:rsidRDefault="00575F1D" w:rsidP="008A7A68">
            <w:pPr>
              <w:rPr>
                <w:sz w:val="20"/>
                <w:szCs w:val="22"/>
                <w:lang w:val="en-GB" w:eastAsia="en-US"/>
              </w:rPr>
            </w:pPr>
          </w:p>
          <w:p w:rsidR="00575F1D" w:rsidRDefault="00575F1D" w:rsidP="008A7A68">
            <w:pPr>
              <w:rPr>
                <w:sz w:val="20"/>
                <w:szCs w:val="22"/>
                <w:lang w:val="en-GB" w:eastAsia="en-US"/>
              </w:rPr>
            </w:pPr>
          </w:p>
          <w:p w:rsidR="00575F1D" w:rsidRDefault="00575F1D" w:rsidP="00575F1D">
            <w:pPr>
              <w:rPr>
                <w:sz w:val="20"/>
                <w:szCs w:val="20"/>
              </w:rPr>
            </w:pPr>
            <w:r>
              <w:rPr>
                <w:sz w:val="20"/>
                <w:szCs w:val="20"/>
              </w:rPr>
              <w:t xml:space="preserve">Increases in positive compliance behaviour will have flow-on effects for </w:t>
            </w:r>
            <w:r w:rsidRPr="00575F1D">
              <w:rPr>
                <w:sz w:val="20"/>
                <w:szCs w:val="20"/>
              </w:rPr>
              <w:t>recei</w:t>
            </w:r>
            <w:r>
              <w:rPr>
                <w:sz w:val="20"/>
                <w:szCs w:val="20"/>
              </w:rPr>
              <w:t>ving carers and their chi</w:t>
            </w:r>
            <w:r w:rsidR="0036465F">
              <w:rPr>
                <w:sz w:val="20"/>
                <w:szCs w:val="20"/>
              </w:rPr>
              <w:t xml:space="preserve">ldren to the extent that payments are due to carers not the Crown.  </w:t>
            </w:r>
            <w:r w:rsidRPr="00575F1D">
              <w:rPr>
                <w:sz w:val="20"/>
                <w:szCs w:val="20"/>
              </w:rPr>
              <w:t xml:space="preserve"> </w:t>
            </w:r>
          </w:p>
          <w:p w:rsidR="00DC1CD8" w:rsidRDefault="00DC1CD8" w:rsidP="00575F1D">
            <w:pPr>
              <w:rPr>
                <w:sz w:val="20"/>
                <w:szCs w:val="20"/>
              </w:rPr>
            </w:pPr>
          </w:p>
          <w:p w:rsidR="00131E8C" w:rsidRPr="00575F1D" w:rsidRDefault="00131E8C" w:rsidP="00575F1D">
            <w:pPr>
              <w:rPr>
                <w:sz w:val="20"/>
                <w:szCs w:val="20"/>
                <w:lang w:val="en-GB" w:eastAsia="en-US"/>
              </w:rPr>
            </w:pPr>
            <w:r>
              <w:rPr>
                <w:sz w:val="20"/>
                <w:szCs w:val="20"/>
                <w:lang w:val="en-GB" w:eastAsia="en-US"/>
              </w:rPr>
              <w:t>Improved perception of Inland Revenue and the child support system through a less punitive penalty regime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sz w:val="20"/>
                <w:szCs w:val="22"/>
                <w:lang w:val="en-GB" w:eastAsia="en-US"/>
              </w:rPr>
            </w:pP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Debt may continue to escalate to unmanageable levels if incentives to negotiate and enter payment arrangements are insufficient.</w:t>
            </w:r>
          </w:p>
          <w:p w:rsidR="00575F1D" w:rsidRDefault="00575F1D" w:rsidP="008A7A68">
            <w:pPr>
              <w:rPr>
                <w:sz w:val="20"/>
                <w:szCs w:val="22"/>
                <w:lang w:val="en-GB" w:eastAsia="en-US"/>
              </w:rPr>
            </w:pPr>
          </w:p>
          <w:p w:rsidR="00575F1D" w:rsidRDefault="00131E8C" w:rsidP="008A7A68">
            <w:pPr>
              <w:rPr>
                <w:sz w:val="20"/>
                <w:szCs w:val="22"/>
                <w:lang w:val="en-GB" w:eastAsia="en-US"/>
              </w:rPr>
            </w:pPr>
            <w:r>
              <w:rPr>
                <w:sz w:val="20"/>
                <w:szCs w:val="22"/>
                <w:lang w:val="en-GB" w:eastAsia="en-US"/>
              </w:rPr>
              <w:t>Liable parent</w:t>
            </w:r>
            <w:r w:rsidR="00575F1D">
              <w:rPr>
                <w:sz w:val="20"/>
                <w:szCs w:val="22"/>
                <w:lang w:val="en-GB" w:eastAsia="en-US"/>
              </w:rPr>
              <w:t>s are discouraged from paying child support as a result of inflationary penalties over time.</w:t>
            </w:r>
          </w:p>
          <w:p w:rsidR="00254177" w:rsidRDefault="00254177" w:rsidP="008A7A68">
            <w:pPr>
              <w:rPr>
                <w:sz w:val="20"/>
                <w:szCs w:val="22"/>
                <w:lang w:val="en-GB" w:eastAsia="en-US"/>
              </w:rPr>
            </w:pPr>
          </w:p>
          <w:p w:rsidR="00254177" w:rsidRDefault="00254177" w:rsidP="008A7A68">
            <w:pPr>
              <w:rPr>
                <w:sz w:val="20"/>
                <w:szCs w:val="22"/>
                <w:lang w:val="en-GB" w:eastAsia="en-US"/>
              </w:rPr>
            </w:pPr>
            <w:r>
              <w:rPr>
                <w:sz w:val="20"/>
                <w:szCs w:val="22"/>
                <w:lang w:val="en-GB" w:eastAsia="en-US"/>
              </w:rPr>
              <w:t xml:space="preserve">Parents who have paid penalties may perceive inequity where other parents are relieved of penalties owed.  </w:t>
            </w: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Other demands on income prevent the repayment of child support debt resulting in less financial support for children.</w:t>
            </w: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Delays in the legislative process delay implementation of the reforms.</w:t>
            </w:r>
          </w:p>
          <w:p w:rsidR="00575F1D" w:rsidRPr="002D68EA" w:rsidRDefault="00575F1D" w:rsidP="008A7A68">
            <w:pPr>
              <w:rPr>
                <w:sz w:val="20"/>
                <w:szCs w:val="22"/>
                <w:lang w:val="en-GB"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8A7A68">
            <w:pPr>
              <w:rPr>
                <w:sz w:val="20"/>
                <w:szCs w:val="22"/>
                <w:lang w:val="en-GB" w:eastAsia="en-US"/>
              </w:rPr>
            </w:pPr>
          </w:p>
          <w:p w:rsidR="00575F1D" w:rsidRDefault="00575F1D" w:rsidP="008A7A68">
            <w:pPr>
              <w:rPr>
                <w:sz w:val="20"/>
                <w:szCs w:val="22"/>
                <w:lang w:val="en-GB" w:eastAsia="en-US"/>
              </w:rPr>
            </w:pPr>
          </w:p>
          <w:p w:rsidR="00575F1D" w:rsidRDefault="00575F1D" w:rsidP="008A7A68">
            <w:pPr>
              <w:rPr>
                <w:sz w:val="20"/>
                <w:szCs w:val="22"/>
                <w:lang w:val="en-GB" w:eastAsia="en-US"/>
              </w:rPr>
            </w:pPr>
            <w:r>
              <w:rPr>
                <w:sz w:val="20"/>
                <w:szCs w:val="22"/>
                <w:lang w:val="en-GB" w:eastAsia="en-US"/>
              </w:rPr>
              <w:t>Not recommended.</w:t>
            </w:r>
          </w:p>
          <w:p w:rsidR="00575F1D" w:rsidRDefault="00575F1D" w:rsidP="008A7A68">
            <w:pPr>
              <w:rPr>
                <w:sz w:val="20"/>
                <w:szCs w:val="22"/>
                <w:lang w:val="en-GB" w:eastAsia="en-US"/>
              </w:rPr>
            </w:pPr>
          </w:p>
          <w:p w:rsidR="00575F1D" w:rsidRDefault="00575F1D" w:rsidP="000D0D7A">
            <w:pPr>
              <w:rPr>
                <w:sz w:val="20"/>
                <w:szCs w:val="22"/>
                <w:lang w:val="en-GB" w:eastAsia="en-US"/>
              </w:rPr>
            </w:pPr>
            <w:r>
              <w:rPr>
                <w:sz w:val="20"/>
                <w:szCs w:val="22"/>
                <w:lang w:val="en-GB" w:eastAsia="en-US"/>
              </w:rPr>
              <w:t>This option addresses the problem definition but only partially meets the policy objectives.</w:t>
            </w:r>
          </w:p>
          <w:p w:rsidR="00575F1D" w:rsidRDefault="00575F1D" w:rsidP="000D0D7A">
            <w:pPr>
              <w:rPr>
                <w:sz w:val="20"/>
                <w:szCs w:val="22"/>
                <w:lang w:val="en-GB" w:eastAsia="en-US"/>
              </w:rPr>
            </w:pPr>
          </w:p>
          <w:p w:rsidR="00575F1D" w:rsidRPr="002D68EA" w:rsidRDefault="00575F1D" w:rsidP="000D0D7A">
            <w:pPr>
              <w:rPr>
                <w:sz w:val="20"/>
                <w:szCs w:val="22"/>
                <w:lang w:val="en-GB" w:eastAsia="en-US"/>
              </w:rPr>
            </w:pPr>
            <w:r>
              <w:rPr>
                <w:sz w:val="20"/>
                <w:szCs w:val="22"/>
                <w:lang w:val="en-GB" w:eastAsia="en-US"/>
              </w:rPr>
              <w:t>The risks to continued debt levels and non-payment of financial support are significant.</w:t>
            </w:r>
          </w:p>
        </w:tc>
      </w:tr>
      <w:tr w:rsidR="00575F1D" w:rsidRPr="00321A33" w:rsidTr="00DC1CD8">
        <w:trPr>
          <w:trHeight w:val="2272"/>
        </w:trPr>
        <w:tc>
          <w:tcPr>
            <w:tcW w:w="1116"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0D0D7A">
            <w:pPr>
              <w:rPr>
                <w:b/>
                <w:sz w:val="20"/>
                <w:szCs w:val="20"/>
                <w:lang w:val="en-GB"/>
              </w:rPr>
            </w:pPr>
            <w:r>
              <w:rPr>
                <w:b/>
                <w:sz w:val="20"/>
                <w:szCs w:val="20"/>
                <w:lang w:val="en-GB"/>
              </w:rPr>
              <w:lastRenderedPageBreak/>
              <w:t>Two</w:t>
            </w:r>
          </w:p>
          <w:p w:rsidR="00575F1D" w:rsidRDefault="00575F1D" w:rsidP="000D0D7A">
            <w:pPr>
              <w:rPr>
                <w:i/>
                <w:sz w:val="20"/>
                <w:szCs w:val="20"/>
                <w:lang w:val="en-GB"/>
              </w:rPr>
            </w:pPr>
          </w:p>
          <w:p w:rsidR="00575F1D" w:rsidRPr="00321A33" w:rsidRDefault="00575F1D" w:rsidP="000D0D7A">
            <w:pPr>
              <w:rPr>
                <w:b/>
                <w:sz w:val="20"/>
                <w:szCs w:val="20"/>
                <w:lang w:val="en-GB"/>
              </w:rPr>
            </w:pPr>
            <w:r>
              <w:rPr>
                <w:i/>
                <w:sz w:val="20"/>
                <w:szCs w:val="20"/>
                <w:lang w:val="en-GB"/>
              </w:rPr>
              <w:t>Addressing child support legacy debt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0D0D7A">
            <w:pPr>
              <w:rPr>
                <w:sz w:val="20"/>
                <w:szCs w:val="20"/>
                <w:lang w:val="en-GB"/>
              </w:rPr>
            </w:pPr>
          </w:p>
          <w:p w:rsidR="00575F1D" w:rsidRDefault="00575F1D" w:rsidP="000D0D7A">
            <w:pPr>
              <w:rPr>
                <w:sz w:val="20"/>
                <w:szCs w:val="20"/>
                <w:lang w:val="en-GB"/>
              </w:rPr>
            </w:pPr>
          </w:p>
          <w:p w:rsidR="00575F1D" w:rsidRPr="00321A33" w:rsidRDefault="00575F1D" w:rsidP="000D0D7A">
            <w:pPr>
              <w:rPr>
                <w:sz w:val="20"/>
                <w:szCs w:val="20"/>
                <w:lang w:val="en-GB"/>
              </w:rPr>
            </w:pPr>
            <w:r>
              <w:rPr>
                <w:sz w:val="20"/>
                <w:szCs w:val="20"/>
                <w:lang w:val="en-GB"/>
              </w:rPr>
              <w:t>A, B, C &amp; D</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724201">
            <w:pPr>
              <w:rPr>
                <w:sz w:val="20"/>
                <w:szCs w:val="22"/>
                <w:lang w:val="en-GB" w:eastAsia="en-US"/>
              </w:rPr>
            </w:pPr>
          </w:p>
          <w:p w:rsidR="00575F1D" w:rsidRDefault="00575F1D" w:rsidP="00724201">
            <w:pPr>
              <w:rPr>
                <w:sz w:val="20"/>
                <w:szCs w:val="22"/>
                <w:lang w:val="en-GB" w:eastAsia="en-US"/>
              </w:rPr>
            </w:pPr>
          </w:p>
          <w:p w:rsidR="00027D40" w:rsidRDefault="00056630" w:rsidP="00724201">
            <w:pPr>
              <w:rPr>
                <w:sz w:val="20"/>
                <w:szCs w:val="22"/>
                <w:lang w:val="en-GB" w:eastAsia="en-US"/>
              </w:rPr>
            </w:pPr>
            <w:r>
              <w:rPr>
                <w:sz w:val="20"/>
                <w:szCs w:val="22"/>
                <w:lang w:val="en-GB" w:eastAsia="en-US"/>
              </w:rPr>
              <w:t xml:space="preserve">Modelling shows a </w:t>
            </w:r>
            <w:r w:rsidR="00B43426">
              <w:rPr>
                <w:sz w:val="20"/>
                <w:szCs w:val="22"/>
                <w:lang w:val="en-GB" w:eastAsia="en-US"/>
              </w:rPr>
              <w:t>high</w:t>
            </w:r>
            <w:r w:rsidR="00926921">
              <w:rPr>
                <w:sz w:val="20"/>
                <w:szCs w:val="22"/>
                <w:lang w:val="en-GB" w:eastAsia="en-US"/>
              </w:rPr>
              <w:t xml:space="preserve"> </w:t>
            </w:r>
            <w:r>
              <w:rPr>
                <w:sz w:val="20"/>
                <w:szCs w:val="22"/>
                <w:lang w:val="en-GB" w:eastAsia="en-US"/>
              </w:rPr>
              <w:t>response to debt repayment incentives and approach to pen</w:t>
            </w:r>
            <w:r w:rsidR="00854613">
              <w:rPr>
                <w:sz w:val="20"/>
                <w:szCs w:val="22"/>
                <w:lang w:val="en-GB" w:eastAsia="en-US"/>
              </w:rPr>
              <w:t>alty write-off would result in</w:t>
            </w:r>
            <w:r>
              <w:rPr>
                <w:sz w:val="20"/>
                <w:szCs w:val="22"/>
                <w:lang w:val="en-GB" w:eastAsia="en-US"/>
              </w:rPr>
              <w:t xml:space="preserve"> net reduction</w:t>
            </w:r>
            <w:r w:rsidR="00854613">
              <w:rPr>
                <w:sz w:val="20"/>
                <w:szCs w:val="22"/>
                <w:lang w:val="en-GB" w:eastAsia="en-US"/>
              </w:rPr>
              <w:t>s</w:t>
            </w:r>
            <w:r>
              <w:rPr>
                <w:sz w:val="20"/>
                <w:szCs w:val="22"/>
                <w:lang w:val="en-GB" w:eastAsia="en-US"/>
              </w:rPr>
              <w:t xml:space="preserve"> to </w:t>
            </w:r>
            <w:r w:rsidR="00854613">
              <w:rPr>
                <w:sz w:val="20"/>
                <w:szCs w:val="22"/>
                <w:lang w:val="en-GB" w:eastAsia="en-US"/>
              </w:rPr>
              <w:t xml:space="preserve">the </w:t>
            </w:r>
            <w:r>
              <w:rPr>
                <w:sz w:val="20"/>
                <w:szCs w:val="22"/>
                <w:lang w:val="en-GB" w:eastAsia="en-US"/>
              </w:rPr>
              <w:t>Crown Operating Balance of $</w:t>
            </w:r>
            <w:r w:rsidR="00926921">
              <w:rPr>
                <w:sz w:val="20"/>
                <w:szCs w:val="22"/>
                <w:lang w:val="en-GB" w:eastAsia="en-US"/>
              </w:rPr>
              <w:t>1.2</w:t>
            </w:r>
            <w:r w:rsidR="00777D6A">
              <w:rPr>
                <w:sz w:val="20"/>
                <w:szCs w:val="22"/>
                <w:lang w:val="en-GB" w:eastAsia="en-US"/>
              </w:rPr>
              <w:t xml:space="preserve"> million in 2015/</w:t>
            </w:r>
            <w:r>
              <w:rPr>
                <w:sz w:val="20"/>
                <w:szCs w:val="22"/>
                <w:lang w:val="en-GB" w:eastAsia="en-US"/>
              </w:rPr>
              <w:t>16</w:t>
            </w:r>
            <w:r w:rsidR="00854613">
              <w:rPr>
                <w:sz w:val="20"/>
                <w:szCs w:val="22"/>
                <w:lang w:val="en-GB" w:eastAsia="en-US"/>
              </w:rPr>
              <w:t>, $</w:t>
            </w:r>
            <w:r w:rsidR="00926921">
              <w:rPr>
                <w:sz w:val="20"/>
                <w:szCs w:val="22"/>
                <w:lang w:val="en-GB" w:eastAsia="en-US"/>
              </w:rPr>
              <w:t>8.3</w:t>
            </w:r>
            <w:r w:rsidR="00777D6A">
              <w:rPr>
                <w:sz w:val="20"/>
                <w:szCs w:val="22"/>
                <w:lang w:val="en-GB" w:eastAsia="en-US"/>
              </w:rPr>
              <w:t xml:space="preserve"> million in 2016/</w:t>
            </w:r>
            <w:r w:rsidR="00854613">
              <w:rPr>
                <w:sz w:val="20"/>
                <w:szCs w:val="22"/>
                <w:lang w:val="en-GB" w:eastAsia="en-US"/>
              </w:rPr>
              <w:t>17, and $</w:t>
            </w:r>
            <w:r w:rsidR="00926921">
              <w:rPr>
                <w:sz w:val="20"/>
                <w:szCs w:val="22"/>
                <w:lang w:val="en-GB" w:eastAsia="en-US"/>
              </w:rPr>
              <w:t>14.9</w:t>
            </w:r>
            <w:r w:rsidR="00777D6A">
              <w:rPr>
                <w:sz w:val="20"/>
                <w:szCs w:val="22"/>
                <w:lang w:val="en-GB" w:eastAsia="en-US"/>
              </w:rPr>
              <w:t>m in 2017/</w:t>
            </w:r>
            <w:r w:rsidR="00854613">
              <w:rPr>
                <w:sz w:val="20"/>
                <w:szCs w:val="22"/>
                <w:lang w:val="en-GB" w:eastAsia="en-US"/>
              </w:rPr>
              <w:t xml:space="preserve">18, and </w:t>
            </w:r>
            <w:r w:rsidR="00777D6A">
              <w:rPr>
                <w:sz w:val="20"/>
                <w:szCs w:val="22"/>
                <w:lang w:val="en-GB" w:eastAsia="en-US"/>
              </w:rPr>
              <w:t>$22.7 million in 2018/</w:t>
            </w:r>
            <w:r w:rsidR="00926921">
              <w:rPr>
                <w:sz w:val="20"/>
                <w:szCs w:val="22"/>
                <w:lang w:val="en-GB" w:eastAsia="en-US"/>
              </w:rPr>
              <w:t>19</w:t>
            </w:r>
            <w:r w:rsidR="00854613">
              <w:rPr>
                <w:sz w:val="20"/>
                <w:szCs w:val="22"/>
                <w:lang w:val="en-GB" w:eastAsia="en-US"/>
              </w:rPr>
              <w:t>.</w:t>
            </w:r>
            <w:r>
              <w:rPr>
                <w:sz w:val="20"/>
                <w:szCs w:val="22"/>
                <w:lang w:val="en-GB" w:eastAsia="en-US"/>
              </w:rPr>
              <w:t xml:space="preserve"> </w:t>
            </w:r>
          </w:p>
          <w:p w:rsidR="002C5CFC" w:rsidRDefault="002C5CFC" w:rsidP="00724201">
            <w:pPr>
              <w:rPr>
                <w:sz w:val="20"/>
                <w:szCs w:val="22"/>
                <w:lang w:val="en-GB" w:eastAsia="en-US"/>
              </w:rPr>
            </w:pPr>
          </w:p>
          <w:p w:rsidR="00027D40" w:rsidRDefault="00027D40" w:rsidP="00724201">
            <w:pPr>
              <w:rPr>
                <w:sz w:val="20"/>
                <w:szCs w:val="22"/>
                <w:lang w:val="en-GB" w:eastAsia="en-US"/>
              </w:rPr>
            </w:pPr>
            <w:r>
              <w:rPr>
                <w:sz w:val="20"/>
                <w:szCs w:val="22"/>
                <w:lang w:val="en-GB" w:eastAsia="en-US"/>
              </w:rPr>
              <w:t xml:space="preserve">The positive fiscal impact of the changes as a result of increased child support </w:t>
            </w:r>
            <w:r w:rsidR="00D8766C">
              <w:rPr>
                <w:sz w:val="20"/>
                <w:szCs w:val="22"/>
                <w:lang w:val="en-GB" w:eastAsia="en-US"/>
              </w:rPr>
              <w:t>paid to the Crown is estimated at</w:t>
            </w:r>
            <w:r>
              <w:rPr>
                <w:sz w:val="20"/>
                <w:szCs w:val="22"/>
                <w:lang w:val="en-GB" w:eastAsia="en-US"/>
              </w:rPr>
              <w:t xml:space="preserve"> $</w:t>
            </w:r>
            <w:r w:rsidR="00926921">
              <w:rPr>
                <w:sz w:val="20"/>
                <w:szCs w:val="22"/>
                <w:lang w:val="en-GB" w:eastAsia="en-US"/>
              </w:rPr>
              <w:t>0.9</w:t>
            </w:r>
            <w:r w:rsidR="00777D6A">
              <w:rPr>
                <w:sz w:val="20"/>
                <w:szCs w:val="22"/>
                <w:lang w:val="en-GB" w:eastAsia="en-US"/>
              </w:rPr>
              <w:t xml:space="preserve"> million for the 2015/</w:t>
            </w:r>
            <w:r>
              <w:rPr>
                <w:sz w:val="20"/>
                <w:szCs w:val="22"/>
                <w:lang w:val="en-GB" w:eastAsia="en-US"/>
              </w:rPr>
              <w:t xml:space="preserve">16 year </w:t>
            </w:r>
            <w:r w:rsidR="00D8766C">
              <w:rPr>
                <w:sz w:val="20"/>
                <w:szCs w:val="22"/>
                <w:lang w:val="en-GB" w:eastAsia="en-US"/>
              </w:rPr>
              <w:t xml:space="preserve">which increases </w:t>
            </w:r>
            <w:r>
              <w:rPr>
                <w:sz w:val="20"/>
                <w:szCs w:val="22"/>
                <w:lang w:val="en-GB" w:eastAsia="en-US"/>
              </w:rPr>
              <w:t>to $</w:t>
            </w:r>
            <w:r w:rsidR="00926921">
              <w:rPr>
                <w:sz w:val="20"/>
                <w:szCs w:val="22"/>
                <w:lang w:val="en-GB" w:eastAsia="en-US"/>
              </w:rPr>
              <w:t>1.8</w:t>
            </w:r>
            <w:r w:rsidR="00777D6A">
              <w:rPr>
                <w:sz w:val="20"/>
                <w:szCs w:val="22"/>
                <w:lang w:val="en-GB" w:eastAsia="en-US"/>
              </w:rPr>
              <w:t xml:space="preserve"> million in the 2017/</w:t>
            </w:r>
            <w:r w:rsidR="00D8766C">
              <w:rPr>
                <w:sz w:val="20"/>
                <w:szCs w:val="22"/>
                <w:lang w:val="en-GB" w:eastAsia="en-US"/>
              </w:rPr>
              <w:t>18</w:t>
            </w:r>
            <w:r>
              <w:rPr>
                <w:sz w:val="20"/>
                <w:szCs w:val="22"/>
                <w:lang w:val="en-GB" w:eastAsia="en-US"/>
              </w:rPr>
              <w:t xml:space="preserve"> year. </w:t>
            </w:r>
          </w:p>
          <w:p w:rsidR="00575F1D" w:rsidRDefault="00575F1D" w:rsidP="00724201">
            <w:pPr>
              <w:rPr>
                <w:sz w:val="20"/>
                <w:szCs w:val="22"/>
                <w:lang w:val="en-GB" w:eastAsia="en-US"/>
              </w:rPr>
            </w:pPr>
          </w:p>
          <w:p w:rsidR="002C5CFC" w:rsidRDefault="002C5CFC" w:rsidP="002C5CFC">
            <w:pPr>
              <w:rPr>
                <w:sz w:val="20"/>
                <w:szCs w:val="22"/>
                <w:lang w:val="en-GB" w:eastAsia="en-US"/>
              </w:rPr>
            </w:pPr>
            <w:r>
              <w:rPr>
                <w:sz w:val="20"/>
                <w:szCs w:val="22"/>
                <w:lang w:val="en-GB" w:eastAsia="en-US"/>
              </w:rPr>
              <w:t>The changes are expected to cost $500,000 which will be funded internally by Inland Revenue.</w:t>
            </w:r>
          </w:p>
          <w:p w:rsidR="002C5CFC" w:rsidRPr="002D68EA" w:rsidRDefault="002C5CFC" w:rsidP="00724201">
            <w:pPr>
              <w:rPr>
                <w:sz w:val="20"/>
                <w:szCs w:val="22"/>
                <w:lang w:val="en-GB"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001C3B">
            <w:pPr>
              <w:rPr>
                <w:sz w:val="20"/>
                <w:szCs w:val="22"/>
                <w:lang w:val="en-GB" w:eastAsia="en-US"/>
              </w:rPr>
            </w:pPr>
          </w:p>
          <w:p w:rsidR="00575F1D" w:rsidRDefault="00575F1D" w:rsidP="00001C3B">
            <w:pPr>
              <w:rPr>
                <w:sz w:val="20"/>
                <w:szCs w:val="22"/>
                <w:lang w:val="en-GB" w:eastAsia="en-US"/>
              </w:rPr>
            </w:pPr>
          </w:p>
          <w:p w:rsidR="00DC1CD8" w:rsidRDefault="00575F1D" w:rsidP="00001C3B">
            <w:pPr>
              <w:rPr>
                <w:sz w:val="20"/>
                <w:szCs w:val="22"/>
                <w:lang w:val="en-GB" w:eastAsia="en-US"/>
              </w:rPr>
            </w:pPr>
            <w:r>
              <w:rPr>
                <w:sz w:val="20"/>
                <w:szCs w:val="22"/>
                <w:lang w:val="en-GB" w:eastAsia="en-US"/>
              </w:rPr>
              <w:t>Administratively, this option closely aligns with the wider child support reform programme.</w:t>
            </w:r>
          </w:p>
          <w:p w:rsidR="00926921" w:rsidRDefault="00926921" w:rsidP="00001C3B">
            <w:pPr>
              <w:rPr>
                <w:sz w:val="20"/>
                <w:szCs w:val="22"/>
                <w:lang w:val="en-GB" w:eastAsia="en-US"/>
              </w:rPr>
            </w:pPr>
          </w:p>
          <w:p w:rsidR="00575F1D" w:rsidRDefault="00575F1D" w:rsidP="00001C3B">
            <w:pPr>
              <w:rPr>
                <w:sz w:val="20"/>
                <w:szCs w:val="22"/>
                <w:lang w:val="en-GB" w:eastAsia="en-US"/>
              </w:rPr>
            </w:pPr>
            <w:r>
              <w:rPr>
                <w:sz w:val="20"/>
                <w:szCs w:val="22"/>
                <w:lang w:val="en-GB" w:eastAsia="en-US"/>
              </w:rPr>
              <w:t>In addition t</w:t>
            </w:r>
            <w:r w:rsidR="00DC1CD8">
              <w:rPr>
                <w:sz w:val="20"/>
                <w:szCs w:val="22"/>
                <w:lang w:val="en-GB" w:eastAsia="en-US"/>
              </w:rPr>
              <w:t>o option 1</w:t>
            </w:r>
            <w:r>
              <w:rPr>
                <w:sz w:val="20"/>
                <w:szCs w:val="22"/>
                <w:lang w:val="en-GB" w:eastAsia="en-US"/>
              </w:rPr>
              <w:t>,</w:t>
            </w:r>
            <w:r w:rsidR="00DC1CD8">
              <w:rPr>
                <w:sz w:val="20"/>
                <w:szCs w:val="22"/>
                <w:lang w:val="en-GB" w:eastAsia="en-US"/>
              </w:rPr>
              <w:t xml:space="preserve"> </w:t>
            </w:r>
            <w:r>
              <w:rPr>
                <w:sz w:val="20"/>
                <w:szCs w:val="22"/>
                <w:lang w:val="en-GB" w:eastAsia="en-US"/>
              </w:rPr>
              <w:t xml:space="preserve">a minor increase in administration cost is anticipated relating to training, </w:t>
            </w:r>
            <w:r w:rsidR="00041F5D">
              <w:rPr>
                <w:sz w:val="20"/>
                <w:szCs w:val="22"/>
                <w:lang w:val="en-GB" w:eastAsia="en-US"/>
              </w:rPr>
              <w:t xml:space="preserve">operational processes </w:t>
            </w:r>
            <w:r>
              <w:rPr>
                <w:sz w:val="20"/>
                <w:szCs w:val="22"/>
                <w:lang w:val="en-GB" w:eastAsia="en-US"/>
              </w:rPr>
              <w:t>and communications.</w:t>
            </w:r>
          </w:p>
          <w:p w:rsidR="00041F5D" w:rsidRDefault="00041F5D" w:rsidP="00001C3B">
            <w:pPr>
              <w:rPr>
                <w:sz w:val="20"/>
                <w:szCs w:val="22"/>
                <w:lang w:val="en-GB" w:eastAsia="en-US"/>
              </w:rPr>
            </w:pPr>
          </w:p>
          <w:p w:rsidR="00041F5D" w:rsidRDefault="00041F5D" w:rsidP="00001C3B">
            <w:pPr>
              <w:rPr>
                <w:sz w:val="20"/>
                <w:szCs w:val="22"/>
                <w:lang w:val="en-GB" w:eastAsia="en-US"/>
              </w:rPr>
            </w:pPr>
            <w:r>
              <w:rPr>
                <w:sz w:val="20"/>
                <w:szCs w:val="22"/>
                <w:lang w:val="en-GB" w:eastAsia="en-US"/>
              </w:rPr>
              <w:t>Partial offset of administration cost from shorter term payment arrangements as fewer penalties charges and collected.</w:t>
            </w:r>
          </w:p>
          <w:p w:rsidR="00041F5D" w:rsidRDefault="00041F5D" w:rsidP="00001C3B">
            <w:pPr>
              <w:rPr>
                <w:sz w:val="20"/>
                <w:szCs w:val="22"/>
                <w:lang w:val="en-GB" w:eastAsia="en-US"/>
              </w:rPr>
            </w:pPr>
          </w:p>
          <w:p w:rsidR="00041F5D" w:rsidRDefault="00041F5D" w:rsidP="00001C3B">
            <w:pPr>
              <w:rPr>
                <w:sz w:val="20"/>
                <w:szCs w:val="22"/>
                <w:lang w:val="en-GB" w:eastAsia="en-US"/>
              </w:rPr>
            </w:pPr>
            <w:r>
              <w:rPr>
                <w:sz w:val="20"/>
                <w:szCs w:val="22"/>
                <w:lang w:val="en-GB" w:eastAsia="en-US"/>
              </w:rPr>
              <w:t>Increased capacity for Inland Revenue to achieve greater coverage across the debt book.</w:t>
            </w:r>
          </w:p>
          <w:p w:rsidR="00041F5D" w:rsidRDefault="00041F5D" w:rsidP="00001C3B">
            <w:pPr>
              <w:rPr>
                <w:sz w:val="20"/>
                <w:szCs w:val="22"/>
                <w:lang w:val="en-GB" w:eastAsia="en-US"/>
              </w:rPr>
            </w:pPr>
          </w:p>
          <w:p w:rsidR="00041F5D" w:rsidRPr="002D68EA" w:rsidRDefault="00041F5D" w:rsidP="00001C3B">
            <w:pPr>
              <w:rPr>
                <w:sz w:val="20"/>
                <w:szCs w:val="22"/>
                <w:lang w:val="en-GB" w:eastAsia="en-US"/>
              </w:rPr>
            </w:pPr>
          </w:p>
        </w:tc>
        <w:tc>
          <w:tcPr>
            <w:tcW w:w="2268" w:type="dxa"/>
            <w:tcBorders>
              <w:top w:val="single" w:sz="4" w:space="0" w:color="auto"/>
              <w:left w:val="single" w:sz="4" w:space="0" w:color="auto"/>
              <w:bottom w:val="single" w:sz="4" w:space="0" w:color="auto"/>
              <w:right w:val="single" w:sz="4" w:space="0" w:color="auto"/>
            </w:tcBorders>
          </w:tcPr>
          <w:p w:rsidR="00575F1D" w:rsidRDefault="00575F1D" w:rsidP="00A501C3">
            <w:pPr>
              <w:rPr>
                <w:sz w:val="20"/>
                <w:szCs w:val="22"/>
                <w:lang w:val="en-GB" w:eastAsia="en-US"/>
              </w:rPr>
            </w:pP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 xml:space="preserve">Compliance costs for </w:t>
            </w:r>
            <w:r w:rsidR="00131E8C">
              <w:rPr>
                <w:sz w:val="20"/>
                <w:szCs w:val="22"/>
                <w:lang w:val="en-GB" w:eastAsia="en-US"/>
              </w:rPr>
              <w:t>liable parent</w:t>
            </w:r>
            <w:r>
              <w:rPr>
                <w:sz w:val="20"/>
                <w:szCs w:val="22"/>
                <w:lang w:val="en-GB" w:eastAsia="en-US"/>
              </w:rPr>
              <w:t>s are expected to decrease as payment arrangements are made and interactions with Inland Revenue decrease.</w:t>
            </w: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An increase in positive compliance behaviour is anticipated as a result of incentives to enter into payment arrangements.</w:t>
            </w: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The expected decrease in compliance cost and increase in positive compliance behaviour are anticipat</w:t>
            </w:r>
            <w:r w:rsidR="00777D6A">
              <w:rPr>
                <w:sz w:val="20"/>
                <w:szCs w:val="22"/>
                <w:lang w:val="en-GB" w:eastAsia="en-US"/>
              </w:rPr>
              <w:t>ed to be greater than option 1</w:t>
            </w:r>
            <w:r>
              <w:rPr>
                <w:sz w:val="20"/>
                <w:szCs w:val="22"/>
                <w:lang w:val="en-GB" w:eastAsia="en-US"/>
              </w:rPr>
              <w:t xml:space="preserve"> as a result of stronger incentives to repay debt.</w:t>
            </w:r>
          </w:p>
          <w:p w:rsidR="00575F1D" w:rsidRDefault="00575F1D" w:rsidP="00E96D83">
            <w:pPr>
              <w:rPr>
                <w:sz w:val="20"/>
                <w:szCs w:val="22"/>
                <w:lang w:val="en-GB" w:eastAsia="en-US"/>
              </w:rPr>
            </w:pPr>
          </w:p>
          <w:p w:rsidR="00575F1D" w:rsidRDefault="00575F1D" w:rsidP="00A501C3">
            <w:pPr>
              <w:rPr>
                <w:sz w:val="20"/>
                <w:szCs w:val="22"/>
                <w:lang w:val="en-GB" w:eastAsia="en-US"/>
              </w:rPr>
            </w:pPr>
          </w:p>
        </w:tc>
        <w:tc>
          <w:tcPr>
            <w:tcW w:w="2268" w:type="dxa"/>
            <w:tcBorders>
              <w:top w:val="single" w:sz="4" w:space="0" w:color="auto"/>
              <w:left w:val="single" w:sz="4" w:space="0" w:color="auto"/>
              <w:bottom w:val="single" w:sz="4" w:space="0" w:color="auto"/>
              <w:right w:val="single" w:sz="4" w:space="0" w:color="auto"/>
            </w:tcBorders>
          </w:tcPr>
          <w:p w:rsidR="00575F1D" w:rsidRDefault="00575F1D" w:rsidP="00F6043E">
            <w:pPr>
              <w:rPr>
                <w:sz w:val="20"/>
                <w:szCs w:val="22"/>
                <w:lang w:val="en-GB" w:eastAsia="en-US"/>
              </w:rPr>
            </w:pPr>
          </w:p>
          <w:p w:rsidR="0036465F" w:rsidRDefault="0036465F" w:rsidP="00F6043E">
            <w:pPr>
              <w:rPr>
                <w:sz w:val="20"/>
                <w:szCs w:val="22"/>
                <w:lang w:val="en-GB" w:eastAsia="en-US"/>
              </w:rPr>
            </w:pPr>
          </w:p>
          <w:p w:rsidR="00DC1CD8" w:rsidRDefault="0036465F" w:rsidP="0036465F">
            <w:pPr>
              <w:rPr>
                <w:sz w:val="20"/>
                <w:szCs w:val="20"/>
              </w:rPr>
            </w:pPr>
            <w:r>
              <w:rPr>
                <w:sz w:val="20"/>
                <w:szCs w:val="20"/>
              </w:rPr>
              <w:t xml:space="preserve">Greater increases in positive compliance behaviour (than under option 1) will have flow-on effects for </w:t>
            </w:r>
            <w:r w:rsidRPr="00575F1D">
              <w:rPr>
                <w:sz w:val="20"/>
                <w:szCs w:val="20"/>
              </w:rPr>
              <w:t>recei</w:t>
            </w:r>
            <w:r>
              <w:rPr>
                <w:sz w:val="20"/>
                <w:szCs w:val="20"/>
              </w:rPr>
              <w:t>ving carers and th</w:t>
            </w:r>
            <w:r w:rsidR="006E6C33">
              <w:rPr>
                <w:sz w:val="20"/>
                <w:szCs w:val="20"/>
              </w:rPr>
              <w:t xml:space="preserve">eir children to the extent that </w:t>
            </w:r>
            <w:r>
              <w:rPr>
                <w:sz w:val="20"/>
                <w:szCs w:val="20"/>
              </w:rPr>
              <w:t>payments are due to carers not the Crown.</w:t>
            </w:r>
          </w:p>
          <w:p w:rsidR="00DC1CD8" w:rsidRDefault="00DC1CD8" w:rsidP="0036465F">
            <w:pPr>
              <w:rPr>
                <w:sz w:val="20"/>
                <w:szCs w:val="20"/>
              </w:rPr>
            </w:pPr>
          </w:p>
          <w:p w:rsidR="0036465F" w:rsidRDefault="00131E8C" w:rsidP="0036465F">
            <w:pPr>
              <w:rPr>
                <w:sz w:val="20"/>
                <w:szCs w:val="22"/>
                <w:lang w:val="en-GB" w:eastAsia="en-US"/>
              </w:rPr>
            </w:pPr>
            <w:r>
              <w:rPr>
                <w:sz w:val="20"/>
                <w:szCs w:val="20"/>
                <w:lang w:val="en-GB" w:eastAsia="en-US"/>
              </w:rPr>
              <w:t>Greater improved perception of Inland Revenue and the child support system through a less punitive penalty regime than under option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F6043E">
            <w:pPr>
              <w:rPr>
                <w:sz w:val="20"/>
                <w:szCs w:val="22"/>
                <w:lang w:val="en-GB" w:eastAsia="en-US"/>
              </w:rPr>
            </w:pPr>
          </w:p>
          <w:p w:rsidR="00575F1D" w:rsidRDefault="00575F1D" w:rsidP="00F6043E">
            <w:pPr>
              <w:rPr>
                <w:sz w:val="20"/>
                <w:szCs w:val="22"/>
                <w:lang w:val="en-GB" w:eastAsia="en-US"/>
              </w:rPr>
            </w:pPr>
          </w:p>
          <w:p w:rsidR="00575F1D" w:rsidRDefault="00575F1D" w:rsidP="00F6043E">
            <w:pPr>
              <w:rPr>
                <w:sz w:val="20"/>
                <w:szCs w:val="22"/>
                <w:lang w:val="en-GB" w:eastAsia="en-US"/>
              </w:rPr>
            </w:pPr>
            <w:r>
              <w:rPr>
                <w:sz w:val="20"/>
                <w:szCs w:val="22"/>
                <w:lang w:val="en-GB" w:eastAsia="en-US"/>
              </w:rPr>
              <w:t>Debt may continue to escalate to unmanageable levels if incentives to negotiate and enter payment arrangements are insufficient.</w:t>
            </w:r>
          </w:p>
          <w:p w:rsidR="00575F1D" w:rsidRDefault="00575F1D" w:rsidP="00F6043E">
            <w:pPr>
              <w:rPr>
                <w:sz w:val="20"/>
                <w:szCs w:val="22"/>
                <w:lang w:val="en-GB" w:eastAsia="en-US"/>
              </w:rPr>
            </w:pPr>
          </w:p>
          <w:p w:rsidR="00254177" w:rsidRDefault="00254177" w:rsidP="00254177">
            <w:pPr>
              <w:rPr>
                <w:sz w:val="20"/>
                <w:szCs w:val="22"/>
                <w:lang w:val="en-GB" w:eastAsia="en-US"/>
              </w:rPr>
            </w:pPr>
            <w:r>
              <w:rPr>
                <w:sz w:val="20"/>
                <w:szCs w:val="22"/>
                <w:lang w:val="en-GB" w:eastAsia="en-US"/>
              </w:rPr>
              <w:t xml:space="preserve">Parents who have paid penalties may perceive inequity where other parents are relieved of penalties owed.  </w:t>
            </w:r>
          </w:p>
          <w:p w:rsidR="00DC1CD8" w:rsidRDefault="00DC1CD8"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Other demands on income prevent the repayment of child support debt resulting in less financial support for children.</w:t>
            </w: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Delays in the legislative process delay implementation of the reforms.</w:t>
            </w:r>
          </w:p>
          <w:p w:rsidR="00575F1D" w:rsidRPr="002D68EA" w:rsidRDefault="00575F1D" w:rsidP="00F6043E">
            <w:pPr>
              <w:rPr>
                <w:sz w:val="20"/>
                <w:szCs w:val="22"/>
                <w:lang w:val="en-GB" w:eastAsia="en-US"/>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rsidR="00575F1D" w:rsidRDefault="00575F1D" w:rsidP="00001C3B">
            <w:pPr>
              <w:rPr>
                <w:sz w:val="20"/>
                <w:szCs w:val="22"/>
                <w:lang w:val="en-GB" w:eastAsia="en-US"/>
              </w:rPr>
            </w:pP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Recommended.</w:t>
            </w:r>
          </w:p>
          <w:p w:rsidR="00575F1D" w:rsidRDefault="00575F1D"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This option addresses the problem definition and meets the policy objectives.</w:t>
            </w:r>
          </w:p>
          <w:p w:rsidR="00DC1CD8" w:rsidRDefault="00DC1CD8" w:rsidP="00E96D83">
            <w:pPr>
              <w:rPr>
                <w:sz w:val="20"/>
                <w:szCs w:val="22"/>
                <w:lang w:val="en-GB" w:eastAsia="en-US"/>
              </w:rPr>
            </w:pPr>
          </w:p>
          <w:p w:rsidR="00575F1D" w:rsidRDefault="00575F1D" w:rsidP="00E96D83">
            <w:pPr>
              <w:rPr>
                <w:sz w:val="20"/>
                <w:szCs w:val="22"/>
                <w:lang w:val="en-GB" w:eastAsia="en-US"/>
              </w:rPr>
            </w:pPr>
            <w:r>
              <w:rPr>
                <w:sz w:val="20"/>
                <w:szCs w:val="22"/>
                <w:lang w:val="en-GB" w:eastAsia="en-US"/>
              </w:rPr>
              <w:t>In addition to promoting positive compliance behaviour for legacy debt, this option is expected to have positive impacts on future compliance behaviour as debt becomes more manageable.</w:t>
            </w:r>
          </w:p>
          <w:p w:rsidR="00575F1D" w:rsidRDefault="00575F1D" w:rsidP="00E96D83">
            <w:pPr>
              <w:rPr>
                <w:sz w:val="20"/>
                <w:szCs w:val="22"/>
                <w:lang w:val="en-GB" w:eastAsia="en-US"/>
              </w:rPr>
            </w:pPr>
          </w:p>
          <w:p w:rsidR="00575F1D" w:rsidRPr="002D68EA" w:rsidRDefault="00575F1D" w:rsidP="00001C3B">
            <w:pPr>
              <w:rPr>
                <w:sz w:val="20"/>
                <w:szCs w:val="22"/>
                <w:lang w:val="en-GB" w:eastAsia="en-US"/>
              </w:rPr>
            </w:pPr>
          </w:p>
        </w:tc>
      </w:tr>
    </w:tbl>
    <w:p w:rsidR="00B37611" w:rsidRPr="004C2818" w:rsidRDefault="00B37611" w:rsidP="00B37611"/>
    <w:p w:rsidR="00B37611" w:rsidRPr="004C2818" w:rsidRDefault="00B37611" w:rsidP="00B37611">
      <w:pPr>
        <w:tabs>
          <w:tab w:val="left" w:pos="540"/>
        </w:tabs>
        <w:jc w:val="both"/>
        <w:sectPr w:rsidR="00B37611" w:rsidRPr="004C2818" w:rsidSect="00343460">
          <w:pgSz w:w="16838" w:h="11906" w:orient="landscape" w:code="9"/>
          <w:pgMar w:top="720" w:right="720" w:bottom="720" w:left="720" w:header="709" w:footer="709" w:gutter="0"/>
          <w:cols w:space="708"/>
          <w:docGrid w:linePitch="360"/>
        </w:sectPr>
      </w:pPr>
    </w:p>
    <w:p w:rsidR="0054622E" w:rsidRPr="00ED71DE" w:rsidRDefault="0054622E" w:rsidP="0054622E">
      <w:pPr>
        <w:jc w:val="both"/>
        <w:rPr>
          <w:b/>
          <w:i/>
        </w:rPr>
      </w:pPr>
      <w:r w:rsidRPr="00ED71DE">
        <w:rPr>
          <w:b/>
          <w:i/>
        </w:rPr>
        <w:lastRenderedPageBreak/>
        <w:t>Economic/Revenue impacts</w:t>
      </w:r>
    </w:p>
    <w:p w:rsidR="0054622E" w:rsidRDefault="0054622E" w:rsidP="0054622E">
      <w:pPr>
        <w:jc w:val="both"/>
      </w:pPr>
    </w:p>
    <w:p w:rsidR="0054622E" w:rsidRDefault="0054622E" w:rsidP="0054622E">
      <w:pPr>
        <w:pStyle w:val="Numberparagraph"/>
        <w:numPr>
          <w:ilvl w:val="0"/>
          <w:numId w:val="0"/>
        </w:numPr>
      </w:pPr>
      <w:r>
        <w:fldChar w:fldCharType="begin"/>
      </w:r>
      <w:r>
        <w:instrText xml:space="preserve"> AUTONUM  </w:instrText>
      </w:r>
      <w:r>
        <w:fldChar w:fldCharType="end"/>
      </w:r>
      <w:r>
        <w:tab/>
      </w:r>
      <w:r w:rsidRPr="002C5CFC">
        <w:t>The financial implications of additional measures to address child support legacy debt would depend on debt repayment levels by liable parents and the timing of any penalty relief granted.</w:t>
      </w:r>
      <w:r>
        <w:t xml:space="preserve">  </w:t>
      </w:r>
    </w:p>
    <w:p w:rsidR="0054622E" w:rsidRDefault="0054622E" w:rsidP="0054622E">
      <w:pPr>
        <w:pStyle w:val="TRNormal"/>
        <w:tabs>
          <w:tab w:val="left" w:pos="567"/>
        </w:tabs>
        <w:spacing w:line="240" w:lineRule="auto"/>
      </w:pPr>
    </w:p>
    <w:p w:rsidR="0054622E" w:rsidRDefault="0054622E" w:rsidP="0054622E">
      <w:pPr>
        <w:pStyle w:val="Numberparagraph"/>
        <w:numPr>
          <w:ilvl w:val="0"/>
          <w:numId w:val="0"/>
        </w:numPr>
      </w:pPr>
      <w:r w:rsidRPr="00424265">
        <w:fldChar w:fldCharType="begin"/>
      </w:r>
      <w:r w:rsidRPr="00424265">
        <w:instrText xml:space="preserve"> AUTONUM  </w:instrText>
      </w:r>
      <w:r w:rsidRPr="00424265">
        <w:fldChar w:fldCharType="end"/>
      </w:r>
      <w:r w:rsidRPr="00424265">
        <w:tab/>
      </w:r>
      <w:r w:rsidRPr="00B6571B">
        <w:t>The proposed Commissioner discretions are expected to result in higher repayments of core assessment debt by liable parents.  The ability to relieve penalties will encourage some parents to repay their assessment debt when previously they would not have.  The higher repayment of assessment debt will be to both the Crown (where the custodial parent in on a benefit) and directly to custodial parents to help support the children.</w:t>
      </w:r>
    </w:p>
    <w:p w:rsidR="0054622E" w:rsidRDefault="0054622E" w:rsidP="0054622E">
      <w:pPr>
        <w:jc w:val="both"/>
      </w:pPr>
    </w:p>
    <w:p w:rsidR="0054622E" w:rsidRDefault="0054622E" w:rsidP="0054622E">
      <w:pPr>
        <w:pStyle w:val="Numberparagraph"/>
        <w:numPr>
          <w:ilvl w:val="0"/>
          <w:numId w:val="0"/>
        </w:numPr>
      </w:pPr>
      <w:r w:rsidRPr="00424265">
        <w:fldChar w:fldCharType="begin"/>
      </w:r>
      <w:r w:rsidRPr="00424265">
        <w:instrText xml:space="preserve"> AUTONUM  </w:instrText>
      </w:r>
      <w:r w:rsidRPr="00424265">
        <w:fldChar w:fldCharType="end"/>
      </w:r>
      <w:r w:rsidRPr="00424265">
        <w:tab/>
      </w:r>
      <w:r w:rsidRPr="00E51D7C">
        <w:t>A</w:t>
      </w:r>
      <w:r>
        <w:t xml:space="preserve"> high write-off</w:t>
      </w:r>
      <w:r w:rsidRPr="00E51D7C">
        <w:t xml:space="preserve"> estimate puts the additional core assessment paid</w:t>
      </w:r>
      <w:r>
        <w:t xml:space="preserve"> (payable to the Crown and receiving carers)</w:t>
      </w:r>
      <w:r w:rsidRPr="00E51D7C">
        <w:t xml:space="preserve"> as a result of these proposals at $1.</w:t>
      </w:r>
      <w:r>
        <w:t>5</w:t>
      </w:r>
      <w:r w:rsidRPr="00E51D7C">
        <w:t xml:space="preserve"> million in the 2015/16 year increasing to $</w:t>
      </w:r>
      <w:r>
        <w:t>2</w:t>
      </w:r>
      <w:r w:rsidRPr="00E51D7C">
        <w:t>.</w:t>
      </w:r>
      <w:r>
        <w:t>9</w:t>
      </w:r>
      <w:r w:rsidRPr="00E51D7C">
        <w:t xml:space="preserve"> million by 2018/19.  An additional benefit of the proposals is the ability of the Commissioner to address situations where the penalties faced by liable parents are clearly disproportionate to their original assessment.  In addition to the repayment of assessment debt the changes would enable administrative efficiencies for Inland Revenue enabling stronger focus on further collection of assessment debt.</w:t>
      </w:r>
    </w:p>
    <w:p w:rsidR="0054622E" w:rsidRDefault="0054622E" w:rsidP="0054622E">
      <w:pPr>
        <w:pStyle w:val="TRNormal"/>
        <w:tabs>
          <w:tab w:val="left" w:pos="567"/>
        </w:tabs>
        <w:spacing w:line="240" w:lineRule="auto"/>
      </w:pPr>
    </w:p>
    <w:p w:rsidR="0054622E" w:rsidRPr="00B6571B" w:rsidRDefault="0054622E" w:rsidP="0054622E">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Table 3</w:t>
      </w:r>
      <w:r w:rsidRPr="00B6571B">
        <w:t xml:space="preserve"> below shows the expected increase in repayments of Crown assessment debt and repayments directly from the liable parent to the custodial parent.  </w:t>
      </w:r>
    </w:p>
    <w:p w:rsidR="0054622E" w:rsidRPr="00B6571B" w:rsidRDefault="0054622E" w:rsidP="0054622E"/>
    <w:p w:rsidR="0054622E" w:rsidRPr="00B6571B" w:rsidRDefault="0054622E" w:rsidP="0054622E">
      <w:pPr>
        <w:rPr>
          <w:b/>
        </w:rPr>
      </w:pPr>
      <w:r>
        <w:rPr>
          <w:b/>
          <w:bCs/>
        </w:rPr>
        <w:t>Table 3:</w:t>
      </w:r>
      <w:r w:rsidRPr="00B6571B">
        <w:rPr>
          <w:b/>
          <w:bCs/>
        </w:rPr>
        <w:t xml:space="preserve"> </w:t>
      </w:r>
      <w:r w:rsidRPr="00B6571B">
        <w:rPr>
          <w:b/>
        </w:rPr>
        <w:t xml:space="preserve">Increase in repayments of assessment debt by liable parents </w:t>
      </w:r>
    </w:p>
    <w:p w:rsidR="0054622E" w:rsidRPr="00B6571B" w:rsidRDefault="0054622E" w:rsidP="0054622E">
      <w:pPr>
        <w:rPr>
          <w:b/>
          <w:color w:val="1F497D"/>
        </w:rPr>
      </w:pPr>
    </w:p>
    <w:tbl>
      <w:tblPr>
        <w:tblW w:w="9345" w:type="dxa"/>
        <w:tblInd w:w="-23" w:type="dxa"/>
        <w:tblCellMar>
          <w:left w:w="0" w:type="dxa"/>
          <w:right w:w="0" w:type="dxa"/>
        </w:tblCellMar>
        <w:tblLook w:val="04A0" w:firstRow="1" w:lastRow="0" w:firstColumn="1" w:lastColumn="0" w:noHBand="0" w:noVBand="1"/>
      </w:tblPr>
      <w:tblGrid>
        <w:gridCol w:w="2116"/>
        <w:gridCol w:w="2268"/>
        <w:gridCol w:w="3118"/>
        <w:gridCol w:w="1843"/>
      </w:tblGrid>
      <w:tr w:rsidR="0054622E" w:rsidRPr="00B6571B" w:rsidTr="00777D6A">
        <w:trPr>
          <w:trHeight w:val="330"/>
        </w:trPr>
        <w:tc>
          <w:tcPr>
            <w:tcW w:w="21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54622E" w:rsidRPr="00B6571B" w:rsidRDefault="0054622E" w:rsidP="00777D6A">
            <w:pPr>
              <w:rPr>
                <w:b/>
                <w:color w:val="000000"/>
              </w:rPr>
            </w:pPr>
            <w:r>
              <w:rPr>
                <w:b/>
                <w:color w:val="000000"/>
              </w:rPr>
              <w:t>Financial y</w:t>
            </w:r>
            <w:r w:rsidRPr="00B6571B">
              <w:rPr>
                <w:b/>
                <w:color w:val="000000"/>
              </w:rPr>
              <w:t>ear</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4622E" w:rsidRPr="00B6571B" w:rsidRDefault="0054622E" w:rsidP="00777D6A">
            <w:pPr>
              <w:jc w:val="center"/>
              <w:rPr>
                <w:b/>
                <w:color w:val="000000"/>
              </w:rPr>
            </w:pPr>
            <w:r w:rsidRPr="00B6571B">
              <w:rPr>
                <w:b/>
                <w:color w:val="000000"/>
              </w:rPr>
              <w:t>Increase in Crown assessment debt</w:t>
            </w:r>
          </w:p>
          <w:p w:rsidR="0054622E" w:rsidRPr="00B6571B" w:rsidRDefault="0054622E" w:rsidP="00777D6A">
            <w:pPr>
              <w:jc w:val="center"/>
              <w:rPr>
                <w:b/>
                <w:color w:val="000000"/>
              </w:rPr>
            </w:pPr>
            <w:r w:rsidRPr="00B6571B">
              <w:rPr>
                <w:b/>
                <w:color w:val="000000"/>
              </w:rPr>
              <w:t>$m</w:t>
            </w:r>
          </w:p>
        </w:tc>
        <w:tc>
          <w:tcPr>
            <w:tcW w:w="3118" w:type="dxa"/>
            <w:tcBorders>
              <w:top w:val="single" w:sz="8" w:space="0" w:color="auto"/>
              <w:left w:val="nil"/>
              <w:bottom w:val="single" w:sz="8" w:space="0" w:color="auto"/>
              <w:right w:val="single" w:sz="8" w:space="0" w:color="auto"/>
            </w:tcBorders>
            <w:vAlign w:val="center"/>
          </w:tcPr>
          <w:p w:rsidR="0054622E" w:rsidRPr="00B6571B" w:rsidRDefault="0054622E" w:rsidP="00777D6A">
            <w:pPr>
              <w:jc w:val="center"/>
              <w:rPr>
                <w:b/>
              </w:rPr>
            </w:pPr>
            <w:r w:rsidRPr="00B6571B">
              <w:rPr>
                <w:b/>
              </w:rPr>
              <w:t>Increase in assessment debt direct to custodial parent</w:t>
            </w:r>
          </w:p>
          <w:p w:rsidR="0054622E" w:rsidRPr="00B6571B" w:rsidRDefault="0054622E" w:rsidP="00777D6A">
            <w:pPr>
              <w:jc w:val="center"/>
              <w:rPr>
                <w:b/>
                <w:color w:val="000000"/>
              </w:rPr>
            </w:pPr>
            <w:r w:rsidRPr="00B6571B">
              <w:rPr>
                <w:b/>
              </w:rPr>
              <w:t>$m</w:t>
            </w:r>
          </w:p>
        </w:tc>
        <w:tc>
          <w:tcPr>
            <w:tcW w:w="1843" w:type="dxa"/>
            <w:tcBorders>
              <w:top w:val="single" w:sz="8" w:space="0" w:color="auto"/>
              <w:left w:val="nil"/>
              <w:bottom w:val="single" w:sz="8" w:space="0" w:color="auto"/>
              <w:right w:val="single" w:sz="8" w:space="0" w:color="auto"/>
            </w:tcBorders>
            <w:vAlign w:val="center"/>
          </w:tcPr>
          <w:p w:rsidR="0054622E" w:rsidRPr="00B6571B" w:rsidRDefault="0054622E" w:rsidP="00777D6A">
            <w:pPr>
              <w:jc w:val="center"/>
              <w:rPr>
                <w:b/>
              </w:rPr>
            </w:pPr>
          </w:p>
          <w:p w:rsidR="0054622E" w:rsidRPr="00B6571B" w:rsidRDefault="0054622E" w:rsidP="00777D6A">
            <w:pPr>
              <w:jc w:val="center"/>
              <w:rPr>
                <w:b/>
              </w:rPr>
            </w:pPr>
            <w:r w:rsidRPr="00B6571B">
              <w:rPr>
                <w:b/>
              </w:rPr>
              <w:t>Total</w:t>
            </w:r>
          </w:p>
          <w:p w:rsidR="0054622E" w:rsidRPr="00B6571B" w:rsidRDefault="0054622E" w:rsidP="00777D6A">
            <w:pPr>
              <w:jc w:val="center"/>
              <w:rPr>
                <w:b/>
              </w:rPr>
            </w:pPr>
            <w:r w:rsidRPr="00B6571B">
              <w:rPr>
                <w:b/>
              </w:rPr>
              <w:t>$m</w:t>
            </w:r>
          </w:p>
        </w:tc>
      </w:tr>
      <w:tr w:rsidR="0054622E" w:rsidRPr="00B6571B" w:rsidTr="00777D6A">
        <w:trPr>
          <w:trHeight w:val="330"/>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22E" w:rsidRPr="005D628F" w:rsidRDefault="0054622E" w:rsidP="00777D6A">
            <w:pPr>
              <w:rPr>
                <w:rFonts w:eastAsiaTheme="minorHAnsi"/>
                <w:color w:val="000000"/>
              </w:rPr>
            </w:pPr>
            <w:r w:rsidRPr="005D628F">
              <w:rPr>
                <w:color w:val="000000"/>
              </w:rPr>
              <w:t>2014/15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622E" w:rsidRPr="00B6571B" w:rsidRDefault="0054622E" w:rsidP="00777D6A">
            <w:pPr>
              <w:jc w:val="center"/>
              <w:rPr>
                <w:rFonts w:eastAsiaTheme="minorHAnsi"/>
                <w:color w:val="000000"/>
              </w:rPr>
            </w:pPr>
            <w:r w:rsidRPr="00B6571B">
              <w:rPr>
                <w:color w:val="000000"/>
              </w:rPr>
              <w:t>-</w:t>
            </w:r>
          </w:p>
        </w:tc>
        <w:tc>
          <w:tcPr>
            <w:tcW w:w="3118"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sidRPr="00B6571B">
              <w:rPr>
                <w:color w:val="000000"/>
              </w:rPr>
              <w:t>-</w:t>
            </w:r>
          </w:p>
        </w:tc>
        <w:tc>
          <w:tcPr>
            <w:tcW w:w="1843"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sidRPr="00B6571B">
              <w:rPr>
                <w:color w:val="000000"/>
              </w:rPr>
              <w:t>-</w:t>
            </w:r>
          </w:p>
        </w:tc>
      </w:tr>
      <w:tr w:rsidR="0054622E" w:rsidRPr="00B6571B" w:rsidTr="00777D6A">
        <w:trPr>
          <w:trHeight w:val="315"/>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22E" w:rsidRPr="005D628F" w:rsidRDefault="0054622E" w:rsidP="00777D6A">
            <w:pPr>
              <w:rPr>
                <w:rFonts w:eastAsiaTheme="minorHAnsi"/>
                <w:color w:val="000000"/>
              </w:rPr>
            </w:pPr>
            <w:r w:rsidRPr="005D628F">
              <w:rPr>
                <w:color w:val="000000"/>
              </w:rPr>
              <w:t>2015/16</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622E" w:rsidRPr="00B6571B" w:rsidRDefault="0054622E" w:rsidP="00777D6A">
            <w:pPr>
              <w:jc w:val="center"/>
              <w:rPr>
                <w:rFonts w:eastAsiaTheme="minorHAnsi"/>
                <w:color w:val="000000"/>
              </w:rPr>
            </w:pPr>
            <w:r>
              <w:rPr>
                <w:color w:val="000000"/>
              </w:rPr>
              <w:t>0.9</w:t>
            </w:r>
          </w:p>
        </w:tc>
        <w:tc>
          <w:tcPr>
            <w:tcW w:w="3118"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0.6</w:t>
            </w:r>
          </w:p>
        </w:tc>
        <w:tc>
          <w:tcPr>
            <w:tcW w:w="1843"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1.5</w:t>
            </w:r>
          </w:p>
        </w:tc>
      </w:tr>
      <w:tr w:rsidR="0054622E" w:rsidRPr="00B6571B" w:rsidTr="00777D6A">
        <w:trPr>
          <w:trHeight w:val="315"/>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22E" w:rsidRPr="005D628F" w:rsidRDefault="0054622E" w:rsidP="00777D6A">
            <w:pPr>
              <w:rPr>
                <w:rFonts w:eastAsiaTheme="minorHAnsi"/>
                <w:color w:val="000000"/>
              </w:rPr>
            </w:pPr>
            <w:r w:rsidRPr="005D628F">
              <w:rPr>
                <w:color w:val="000000"/>
              </w:rPr>
              <w:t>2016/17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622E" w:rsidRPr="00B6571B" w:rsidRDefault="0054622E" w:rsidP="00777D6A">
            <w:pPr>
              <w:jc w:val="center"/>
              <w:rPr>
                <w:rFonts w:eastAsiaTheme="minorHAnsi"/>
                <w:color w:val="000000"/>
              </w:rPr>
            </w:pPr>
            <w:r>
              <w:rPr>
                <w:color w:val="000000"/>
              </w:rPr>
              <w:t>1.5</w:t>
            </w:r>
          </w:p>
        </w:tc>
        <w:tc>
          <w:tcPr>
            <w:tcW w:w="3118"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0.9</w:t>
            </w:r>
          </w:p>
        </w:tc>
        <w:tc>
          <w:tcPr>
            <w:tcW w:w="1843"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2.4</w:t>
            </w:r>
          </w:p>
        </w:tc>
      </w:tr>
      <w:tr w:rsidR="0054622E" w:rsidRPr="00B6571B" w:rsidTr="00777D6A">
        <w:trPr>
          <w:trHeight w:val="315"/>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22E" w:rsidRPr="005D628F" w:rsidRDefault="0054622E" w:rsidP="00777D6A">
            <w:pPr>
              <w:rPr>
                <w:rFonts w:eastAsiaTheme="minorHAnsi"/>
                <w:color w:val="000000"/>
              </w:rPr>
            </w:pPr>
            <w:r w:rsidRPr="005D628F">
              <w:rPr>
                <w:color w:val="000000"/>
              </w:rPr>
              <w:t>2017/18</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622E" w:rsidRPr="00B6571B" w:rsidRDefault="0054622E" w:rsidP="00777D6A">
            <w:pPr>
              <w:jc w:val="center"/>
              <w:rPr>
                <w:rFonts w:eastAsiaTheme="minorHAnsi"/>
                <w:color w:val="000000"/>
              </w:rPr>
            </w:pPr>
            <w:r>
              <w:rPr>
                <w:color w:val="000000"/>
              </w:rPr>
              <w:t>1.8</w:t>
            </w:r>
          </w:p>
        </w:tc>
        <w:tc>
          <w:tcPr>
            <w:tcW w:w="3118"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1.1</w:t>
            </w:r>
          </w:p>
        </w:tc>
        <w:tc>
          <w:tcPr>
            <w:tcW w:w="1843"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2.9</w:t>
            </w:r>
          </w:p>
        </w:tc>
      </w:tr>
      <w:tr w:rsidR="0054622E" w:rsidRPr="00B6571B" w:rsidTr="00777D6A">
        <w:trPr>
          <w:trHeight w:val="315"/>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622E" w:rsidRPr="005D628F" w:rsidRDefault="0054622E" w:rsidP="00777D6A">
            <w:pPr>
              <w:rPr>
                <w:rFonts w:eastAsiaTheme="minorHAnsi"/>
                <w:color w:val="000000"/>
              </w:rPr>
            </w:pPr>
            <w:r w:rsidRPr="005D628F">
              <w:rPr>
                <w:color w:val="000000"/>
              </w:rPr>
              <w:t>2018/19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4622E" w:rsidRPr="00B6571B" w:rsidRDefault="0054622E" w:rsidP="00777D6A">
            <w:pPr>
              <w:jc w:val="center"/>
              <w:rPr>
                <w:rFonts w:eastAsiaTheme="minorHAnsi"/>
                <w:color w:val="000000"/>
              </w:rPr>
            </w:pPr>
            <w:r>
              <w:rPr>
                <w:color w:val="000000"/>
              </w:rPr>
              <w:t>1.8</w:t>
            </w:r>
          </w:p>
        </w:tc>
        <w:tc>
          <w:tcPr>
            <w:tcW w:w="3118"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1.1</w:t>
            </w:r>
          </w:p>
        </w:tc>
        <w:tc>
          <w:tcPr>
            <w:tcW w:w="1843" w:type="dxa"/>
            <w:tcBorders>
              <w:top w:val="nil"/>
              <w:left w:val="nil"/>
              <w:bottom w:val="single" w:sz="8" w:space="0" w:color="auto"/>
              <w:right w:val="single" w:sz="8" w:space="0" w:color="auto"/>
            </w:tcBorders>
            <w:vAlign w:val="bottom"/>
          </w:tcPr>
          <w:p w:rsidR="0054622E" w:rsidRPr="00B6571B" w:rsidRDefault="0054622E" w:rsidP="00777D6A">
            <w:pPr>
              <w:jc w:val="center"/>
              <w:rPr>
                <w:rFonts w:eastAsiaTheme="minorHAnsi"/>
                <w:color w:val="000000"/>
              </w:rPr>
            </w:pPr>
            <w:r>
              <w:rPr>
                <w:color w:val="000000"/>
              </w:rPr>
              <w:t>2.9</w:t>
            </w:r>
          </w:p>
        </w:tc>
      </w:tr>
    </w:tbl>
    <w:p w:rsidR="0054622E" w:rsidRDefault="0054622E" w:rsidP="0054622E">
      <w:pPr>
        <w:pStyle w:val="TRNormal"/>
        <w:tabs>
          <w:tab w:val="left" w:pos="567"/>
        </w:tabs>
        <w:spacing w:line="240" w:lineRule="auto"/>
      </w:pPr>
    </w:p>
    <w:p w:rsidR="005F722E" w:rsidRDefault="00390E16" w:rsidP="005D628F">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rsidRPr="00B6571B">
        <w:t xml:space="preserve">In the Crown accounts the imposition of child support penalties is recognised as revenue when imposed.  Any unpaid penalties are treated as a receivable i.e. an asset.  From an accounting perspective Inland Revenue is required to impair this receivable.  Based on historical information we impair this receivable at 97%, reflecting the low collectability of penalties.  </w:t>
      </w:r>
    </w:p>
    <w:p w:rsidR="005F722E" w:rsidRDefault="005F722E" w:rsidP="005D628F">
      <w:pPr>
        <w:pStyle w:val="TRNormal"/>
        <w:tabs>
          <w:tab w:val="left" w:pos="567"/>
        </w:tabs>
        <w:spacing w:line="240" w:lineRule="auto"/>
      </w:pPr>
    </w:p>
    <w:p w:rsidR="00390E16" w:rsidRDefault="005F722E" w:rsidP="005D628F">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rsidR="00390E16" w:rsidRPr="00B6571B">
        <w:t>Any reversal or relief from child support penalties is treated as a reduction in revenue i.e. a reduction in the Crown operating balance.  When a penalty is written off, revenue will decrease and impairment expense will decrease by 97% of the revenue reduction.  This results in a net reduction to the Crown operating balance of 3% of the write-off amount.</w:t>
      </w:r>
    </w:p>
    <w:p w:rsidR="00CB3916" w:rsidRDefault="00CB3916" w:rsidP="005D628F">
      <w:pPr>
        <w:pStyle w:val="TRNormal"/>
        <w:tabs>
          <w:tab w:val="left" w:pos="567"/>
        </w:tabs>
        <w:spacing w:line="240" w:lineRule="auto"/>
      </w:pPr>
    </w:p>
    <w:p w:rsidR="00B57E49" w:rsidRPr="007C0FE1" w:rsidRDefault="00B57E49" w:rsidP="00B57E49">
      <w:pPr>
        <w:pStyle w:val="Numberparagraph"/>
        <w:numPr>
          <w:ilvl w:val="0"/>
          <w:numId w:val="0"/>
        </w:numPr>
        <w:rPr>
          <w:highlight w:val="yellow"/>
        </w:rPr>
      </w:pPr>
      <w:r w:rsidRPr="00424265">
        <w:fldChar w:fldCharType="begin"/>
      </w:r>
      <w:r w:rsidRPr="00424265">
        <w:instrText xml:space="preserve"> AUTONUM  </w:instrText>
      </w:r>
      <w:r w:rsidRPr="00424265">
        <w:fldChar w:fldCharType="end"/>
      </w:r>
      <w:r w:rsidRPr="00424265">
        <w:tab/>
      </w:r>
      <w:r w:rsidRPr="00B6571B">
        <w:t xml:space="preserve">A reduction in administrative costs is anticipated due to payment arrangements being set for lower values and subsequently, shorter durations. Further administrative efficiencies would be achieved if the CIR had ability to take a fair and reasonable approach to penalty </w:t>
      </w:r>
      <w:r w:rsidR="0018251E">
        <w:br/>
      </w:r>
      <w:r w:rsidR="0018251E">
        <w:br/>
      </w:r>
      <w:r w:rsidRPr="00B6571B">
        <w:lastRenderedPageBreak/>
        <w:t>only debt. Where liable parents qualify, their debts could be written off and their case exited from the scheme, reducing on-going administration and compliance costs.</w:t>
      </w:r>
      <w:r w:rsidRPr="007C0FE1">
        <w:rPr>
          <w:highlight w:val="yellow"/>
        </w:rPr>
        <w:t xml:space="preserve"> </w:t>
      </w:r>
    </w:p>
    <w:p w:rsidR="00B57E49" w:rsidRPr="007C0FE1" w:rsidRDefault="00B57E49" w:rsidP="00B57E49">
      <w:pPr>
        <w:pStyle w:val="Numberparagraph"/>
        <w:numPr>
          <w:ilvl w:val="0"/>
          <w:numId w:val="0"/>
        </w:numPr>
        <w:rPr>
          <w:highlight w:val="yellow"/>
        </w:rPr>
      </w:pPr>
      <w:r w:rsidRPr="00424265">
        <w:tab/>
      </w:r>
    </w:p>
    <w:p w:rsidR="00E15638" w:rsidRDefault="00B57E49" w:rsidP="005D628F">
      <w:pPr>
        <w:pStyle w:val="Numberparagraph"/>
        <w:numPr>
          <w:ilvl w:val="0"/>
          <w:numId w:val="0"/>
        </w:numPr>
      </w:pPr>
      <w:r w:rsidRPr="00424265">
        <w:fldChar w:fldCharType="begin"/>
      </w:r>
      <w:r w:rsidRPr="00424265">
        <w:instrText xml:space="preserve"> AUTONUM  </w:instrText>
      </w:r>
      <w:r w:rsidRPr="00424265">
        <w:fldChar w:fldCharType="end"/>
      </w:r>
      <w:r w:rsidRPr="00424265">
        <w:tab/>
      </w:r>
      <w:r>
        <w:t>T</w:t>
      </w:r>
      <w:r w:rsidR="00E15638" w:rsidRPr="00E15638">
        <w:t>able</w:t>
      </w:r>
      <w:r w:rsidR="00883925">
        <w:t xml:space="preserve"> </w:t>
      </w:r>
      <w:r w:rsidR="009C3F85">
        <w:t>4</w:t>
      </w:r>
      <w:r w:rsidR="00E15638" w:rsidRPr="00E15638">
        <w:t xml:space="preserve"> </w:t>
      </w:r>
      <w:r w:rsidR="00E15638">
        <w:t>below</w:t>
      </w:r>
      <w:r w:rsidR="00E15638" w:rsidRPr="00E15638">
        <w:t xml:space="preserve"> shows the impact on the Crown operating balance of </w:t>
      </w:r>
      <w:r w:rsidR="009C3F85">
        <w:t>the</w:t>
      </w:r>
      <w:r w:rsidR="00E15638" w:rsidRPr="00E15638">
        <w:t xml:space="preserve"> proposals </w:t>
      </w:r>
      <w:r w:rsidR="00E15638">
        <w:t>assuming a</w:t>
      </w:r>
      <w:r w:rsidR="00B43426">
        <w:t xml:space="preserve"> high</w:t>
      </w:r>
      <w:r w:rsidR="00E15638">
        <w:t xml:space="preserve"> response to debt repayment incentives and approach to penalty write-off.  These impacts are in addition to the status quo as the proposals are designed to complement the already agreed child support reforms.</w:t>
      </w:r>
    </w:p>
    <w:p w:rsidR="002E6D79" w:rsidRDefault="002E6D79" w:rsidP="002E6D79"/>
    <w:p w:rsidR="002F633B" w:rsidRPr="002E6D79" w:rsidRDefault="002F633B" w:rsidP="002E6D79">
      <w:r>
        <w:rPr>
          <w:b/>
        </w:rPr>
        <w:t xml:space="preserve">Table </w:t>
      </w:r>
      <w:r w:rsidR="00CB3916">
        <w:rPr>
          <w:b/>
        </w:rPr>
        <w:t>4</w:t>
      </w:r>
      <w:r>
        <w:rPr>
          <w:b/>
        </w:rPr>
        <w:t>: Net impact on Crown Operating Balance</w:t>
      </w:r>
    </w:p>
    <w:p w:rsidR="00E15638" w:rsidRPr="00E15638" w:rsidRDefault="00E15638" w:rsidP="00E15638">
      <w:pPr>
        <w:pStyle w:val="Numberparagraph"/>
        <w:numPr>
          <w:ilvl w:val="0"/>
          <w:numId w:val="0"/>
        </w:numPr>
      </w:pPr>
    </w:p>
    <w:tbl>
      <w:tblPr>
        <w:tblW w:w="9214" w:type="dxa"/>
        <w:tblInd w:w="108" w:type="dxa"/>
        <w:tblLayout w:type="fixed"/>
        <w:tblLook w:val="04A0" w:firstRow="1" w:lastRow="0" w:firstColumn="1" w:lastColumn="0" w:noHBand="0" w:noVBand="1"/>
      </w:tblPr>
      <w:tblGrid>
        <w:gridCol w:w="2740"/>
        <w:gridCol w:w="1229"/>
        <w:gridCol w:w="1276"/>
        <w:gridCol w:w="1276"/>
        <w:gridCol w:w="1276"/>
        <w:gridCol w:w="1417"/>
      </w:tblGrid>
      <w:tr w:rsidR="00E15638" w:rsidRPr="00E15638" w:rsidTr="005D628F">
        <w:trPr>
          <w:trHeight w:val="255"/>
        </w:trPr>
        <w:tc>
          <w:tcPr>
            <w:tcW w:w="2740" w:type="dxa"/>
            <w:tcBorders>
              <w:top w:val="nil"/>
              <w:left w:val="nil"/>
              <w:bottom w:val="nil"/>
              <w:right w:val="nil"/>
            </w:tcBorders>
            <w:shd w:val="clear" w:color="auto" w:fill="auto"/>
            <w:vAlign w:val="center"/>
            <w:hideMark/>
          </w:tcPr>
          <w:p w:rsidR="00E15638" w:rsidRPr="00E15638" w:rsidRDefault="00E15638" w:rsidP="00CA50C2">
            <w:pPr>
              <w:tabs>
                <w:tab w:val="left" w:pos="567"/>
              </w:tabs>
            </w:pPr>
          </w:p>
        </w:tc>
        <w:tc>
          <w:tcPr>
            <w:tcW w:w="6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15638" w:rsidRPr="00E15638" w:rsidRDefault="00E15638" w:rsidP="00CA50C2">
            <w:pPr>
              <w:tabs>
                <w:tab w:val="left" w:pos="567"/>
              </w:tabs>
              <w:jc w:val="center"/>
            </w:pPr>
            <w:r w:rsidRPr="00E15638">
              <w:t>$m increase/(decrease)</w:t>
            </w:r>
          </w:p>
        </w:tc>
      </w:tr>
      <w:tr w:rsidR="00E15638" w:rsidRPr="00E15638" w:rsidTr="005D628F">
        <w:trPr>
          <w:trHeight w:val="25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638" w:rsidRPr="00E15638" w:rsidRDefault="00883925" w:rsidP="00CA50C2">
            <w:pPr>
              <w:tabs>
                <w:tab w:val="left" w:pos="567"/>
              </w:tabs>
              <w:rPr>
                <w:b/>
                <w:bCs/>
              </w:rPr>
            </w:pPr>
            <w:r>
              <w:rPr>
                <w:b/>
                <w:bCs/>
              </w:rPr>
              <w:t>Vote Revenue</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rPr>
                <w:b/>
                <w:bCs/>
              </w:rPr>
            </w:pPr>
            <w:r w:rsidRPr="00E15638">
              <w:rPr>
                <w:b/>
                <w:bCs/>
              </w:rPr>
              <w:t>2014/15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rPr>
                <w:b/>
                <w:bCs/>
              </w:rPr>
            </w:pPr>
            <w:r w:rsidRPr="00E15638">
              <w:rPr>
                <w:b/>
                <w:bCs/>
              </w:rPr>
              <w:t>2015/16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rPr>
                <w:b/>
                <w:bCs/>
              </w:rPr>
            </w:pPr>
            <w:r w:rsidRPr="00E15638">
              <w:rPr>
                <w:b/>
                <w:bCs/>
              </w:rPr>
              <w:t>2016/17</w:t>
            </w:r>
          </w:p>
        </w:tc>
        <w:tc>
          <w:tcPr>
            <w:tcW w:w="1276" w:type="dxa"/>
            <w:vMerge w:val="restart"/>
            <w:tcBorders>
              <w:top w:val="nil"/>
              <w:left w:val="single" w:sz="4" w:space="0" w:color="auto"/>
              <w:bottom w:val="single" w:sz="4" w:space="0" w:color="auto"/>
              <w:right w:val="nil"/>
            </w:tcBorders>
            <w:shd w:val="clear" w:color="auto" w:fill="auto"/>
            <w:vAlign w:val="center"/>
            <w:hideMark/>
          </w:tcPr>
          <w:p w:rsidR="00E15638" w:rsidRPr="00E15638" w:rsidRDefault="00E15638" w:rsidP="00CA50C2">
            <w:pPr>
              <w:tabs>
                <w:tab w:val="left" w:pos="567"/>
              </w:tabs>
              <w:jc w:val="center"/>
              <w:rPr>
                <w:b/>
                <w:bCs/>
              </w:rPr>
            </w:pPr>
            <w:r w:rsidRPr="00E15638">
              <w:rPr>
                <w:b/>
                <w:bCs/>
              </w:rPr>
              <w:t>2017/18</w:t>
            </w:r>
          </w:p>
        </w:tc>
        <w:tc>
          <w:tcPr>
            <w:tcW w:w="1417" w:type="dxa"/>
            <w:tcBorders>
              <w:top w:val="nil"/>
              <w:left w:val="single" w:sz="4" w:space="0" w:color="auto"/>
              <w:bottom w:val="nil"/>
              <w:right w:val="single" w:sz="4" w:space="0" w:color="auto"/>
            </w:tcBorders>
            <w:shd w:val="clear" w:color="auto" w:fill="auto"/>
            <w:vAlign w:val="center"/>
            <w:hideMark/>
          </w:tcPr>
          <w:p w:rsidR="00DE10C2" w:rsidRDefault="00DE10C2" w:rsidP="009C3F85">
            <w:pPr>
              <w:tabs>
                <w:tab w:val="left" w:pos="567"/>
              </w:tabs>
              <w:jc w:val="center"/>
              <w:rPr>
                <w:b/>
                <w:bCs/>
              </w:rPr>
            </w:pPr>
          </w:p>
          <w:p w:rsidR="00E15638" w:rsidRPr="00E15638" w:rsidRDefault="00E15638" w:rsidP="009C3F85">
            <w:pPr>
              <w:tabs>
                <w:tab w:val="left" w:pos="567"/>
              </w:tabs>
              <w:jc w:val="center"/>
              <w:rPr>
                <w:b/>
                <w:bCs/>
              </w:rPr>
            </w:pPr>
            <w:r w:rsidRPr="00E15638">
              <w:rPr>
                <w:b/>
                <w:bCs/>
              </w:rPr>
              <w:t>2018/19</w:t>
            </w:r>
          </w:p>
        </w:tc>
      </w:tr>
      <w:tr w:rsidR="00E15638" w:rsidRPr="00E15638" w:rsidTr="005D628F">
        <w:trPr>
          <w:trHeight w:val="25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E15638" w:rsidRPr="00E15638" w:rsidRDefault="00E15638" w:rsidP="00CA50C2">
            <w:pPr>
              <w:tabs>
                <w:tab w:val="left" w:pos="567"/>
              </w:tabs>
              <w:rPr>
                <w:b/>
                <w:bCs/>
              </w:rPr>
            </w:pPr>
          </w:p>
        </w:tc>
        <w:tc>
          <w:tcPr>
            <w:tcW w:w="1229" w:type="dxa"/>
            <w:vMerge/>
            <w:tcBorders>
              <w:top w:val="nil"/>
              <w:left w:val="single" w:sz="4" w:space="0" w:color="auto"/>
              <w:bottom w:val="single" w:sz="4" w:space="0" w:color="auto"/>
              <w:right w:val="single" w:sz="4" w:space="0" w:color="auto"/>
            </w:tcBorders>
            <w:vAlign w:val="center"/>
            <w:hideMark/>
          </w:tcPr>
          <w:p w:rsidR="00E15638" w:rsidRPr="00E15638" w:rsidRDefault="00E15638" w:rsidP="00CA50C2">
            <w:pPr>
              <w:tabs>
                <w:tab w:val="left" w:pos="567"/>
              </w:tabs>
              <w:jc w:val="center"/>
              <w:rPr>
                <w:b/>
                <w:bCs/>
              </w:rPr>
            </w:pPr>
          </w:p>
        </w:tc>
        <w:tc>
          <w:tcPr>
            <w:tcW w:w="1276" w:type="dxa"/>
            <w:vMerge/>
            <w:tcBorders>
              <w:top w:val="nil"/>
              <w:left w:val="single" w:sz="4" w:space="0" w:color="auto"/>
              <w:bottom w:val="single" w:sz="4" w:space="0" w:color="auto"/>
              <w:right w:val="single" w:sz="4" w:space="0" w:color="auto"/>
            </w:tcBorders>
            <w:vAlign w:val="center"/>
            <w:hideMark/>
          </w:tcPr>
          <w:p w:rsidR="00E15638" w:rsidRPr="00E15638" w:rsidRDefault="00E15638" w:rsidP="00CA50C2">
            <w:pPr>
              <w:tabs>
                <w:tab w:val="left" w:pos="567"/>
              </w:tabs>
              <w:jc w:val="center"/>
              <w:rPr>
                <w:b/>
                <w:bCs/>
              </w:rPr>
            </w:pPr>
          </w:p>
        </w:tc>
        <w:tc>
          <w:tcPr>
            <w:tcW w:w="1276" w:type="dxa"/>
            <w:vMerge/>
            <w:tcBorders>
              <w:top w:val="nil"/>
              <w:left w:val="single" w:sz="4" w:space="0" w:color="auto"/>
              <w:bottom w:val="single" w:sz="4" w:space="0" w:color="auto"/>
              <w:right w:val="single" w:sz="4" w:space="0" w:color="auto"/>
            </w:tcBorders>
            <w:vAlign w:val="center"/>
            <w:hideMark/>
          </w:tcPr>
          <w:p w:rsidR="00E15638" w:rsidRPr="00E15638" w:rsidRDefault="00E15638" w:rsidP="00CA50C2">
            <w:pPr>
              <w:tabs>
                <w:tab w:val="left" w:pos="567"/>
              </w:tabs>
              <w:jc w:val="center"/>
              <w:rPr>
                <w:b/>
                <w:bCs/>
              </w:rPr>
            </w:pPr>
          </w:p>
        </w:tc>
        <w:tc>
          <w:tcPr>
            <w:tcW w:w="1276" w:type="dxa"/>
            <w:vMerge/>
            <w:tcBorders>
              <w:top w:val="nil"/>
              <w:left w:val="single" w:sz="4" w:space="0" w:color="auto"/>
              <w:bottom w:val="single" w:sz="4" w:space="0" w:color="auto"/>
              <w:right w:val="nil"/>
            </w:tcBorders>
            <w:vAlign w:val="center"/>
            <w:hideMark/>
          </w:tcPr>
          <w:p w:rsidR="00E15638" w:rsidRPr="00E15638" w:rsidRDefault="00E15638" w:rsidP="00CA50C2">
            <w:pPr>
              <w:tabs>
                <w:tab w:val="left" w:pos="567"/>
              </w:tabs>
              <w:jc w:val="center"/>
              <w:rPr>
                <w:b/>
                <w:bCs/>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rPr>
                <w:b/>
                <w:bCs/>
              </w:rPr>
            </w:pPr>
          </w:p>
        </w:tc>
      </w:tr>
      <w:tr w:rsidR="00E15638" w:rsidRPr="00E15638" w:rsidTr="005D628F">
        <w:trPr>
          <w:trHeight w:val="255"/>
        </w:trPr>
        <w:tc>
          <w:tcPr>
            <w:tcW w:w="2740" w:type="dxa"/>
            <w:tcBorders>
              <w:top w:val="single" w:sz="4" w:space="0" w:color="auto"/>
              <w:left w:val="single" w:sz="4" w:space="0" w:color="auto"/>
              <w:bottom w:val="nil"/>
              <w:right w:val="single" w:sz="4" w:space="0" w:color="auto"/>
            </w:tcBorders>
            <w:shd w:val="clear" w:color="auto" w:fill="auto"/>
            <w:vAlign w:val="center"/>
            <w:hideMark/>
          </w:tcPr>
          <w:p w:rsidR="005A26A5" w:rsidRPr="005D628F" w:rsidRDefault="005A26A5" w:rsidP="00CA50C2">
            <w:pPr>
              <w:tabs>
                <w:tab w:val="left" w:pos="567"/>
              </w:tabs>
              <w:rPr>
                <w:b/>
              </w:rPr>
            </w:pPr>
            <w:r w:rsidRPr="005D628F">
              <w:rPr>
                <w:b/>
              </w:rPr>
              <w:t>Non- Tax Revenue:</w:t>
            </w:r>
          </w:p>
          <w:p w:rsidR="00E15638" w:rsidRPr="00E15638" w:rsidRDefault="005A26A5">
            <w:pPr>
              <w:tabs>
                <w:tab w:val="left" w:pos="567"/>
              </w:tabs>
            </w:pPr>
            <w:r>
              <w:t xml:space="preserve">Child Support Collections </w:t>
            </w:r>
          </w:p>
        </w:tc>
        <w:tc>
          <w:tcPr>
            <w:tcW w:w="1229" w:type="dxa"/>
            <w:tcBorders>
              <w:top w:val="single" w:sz="4" w:space="0" w:color="auto"/>
              <w:left w:val="nil"/>
              <w:bottom w:val="nil"/>
              <w:right w:val="single" w:sz="4" w:space="0" w:color="auto"/>
            </w:tcBorders>
            <w:shd w:val="clear" w:color="auto" w:fill="auto"/>
            <w:vAlign w:val="center"/>
            <w:hideMark/>
          </w:tcPr>
          <w:p w:rsidR="00E15638" w:rsidRPr="00E15638" w:rsidRDefault="00E15638" w:rsidP="00CA50C2">
            <w:pPr>
              <w:tabs>
                <w:tab w:val="left" w:pos="567"/>
              </w:tabs>
              <w:jc w:val="center"/>
            </w:pPr>
            <w:r w:rsidRPr="00E15638">
              <w:t>-</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9C3F85" w:rsidP="00CA50C2">
            <w:pPr>
              <w:tabs>
                <w:tab w:val="left" w:pos="567"/>
              </w:tabs>
              <w:jc w:val="center"/>
            </w:pPr>
            <w:r>
              <w:t>(67.7)</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9C3F85" w:rsidP="00CA50C2">
            <w:pPr>
              <w:tabs>
                <w:tab w:val="left" w:pos="567"/>
              </w:tabs>
              <w:jc w:val="center"/>
            </w:pPr>
            <w:r>
              <w:t>(326.0)</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9C3F85" w:rsidP="00CA50C2">
            <w:pPr>
              <w:tabs>
                <w:tab w:val="left" w:pos="567"/>
              </w:tabs>
              <w:jc w:val="center"/>
            </w:pPr>
            <w:r>
              <w:t>(553.8)</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9C3F85" w:rsidP="00CA50C2">
            <w:pPr>
              <w:tabs>
                <w:tab w:val="left" w:pos="567"/>
              </w:tabs>
              <w:jc w:val="center"/>
            </w:pPr>
            <w:r>
              <w:t>(816.8)</w:t>
            </w:r>
          </w:p>
        </w:tc>
      </w:tr>
      <w:tr w:rsidR="00E15638" w:rsidRPr="00E15638" w:rsidTr="005D628F">
        <w:tc>
          <w:tcPr>
            <w:tcW w:w="2740"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E15638" w:rsidP="00CA50C2">
            <w:pPr>
              <w:tabs>
                <w:tab w:val="left" w:pos="567"/>
              </w:tabs>
            </w:pPr>
          </w:p>
        </w:tc>
        <w:tc>
          <w:tcPr>
            <w:tcW w:w="1229" w:type="dxa"/>
            <w:tcBorders>
              <w:top w:val="single" w:sz="4" w:space="0" w:color="auto"/>
              <w:left w:val="nil"/>
              <w:bottom w:val="nil"/>
              <w:right w:val="single" w:sz="4" w:space="0" w:color="auto"/>
            </w:tcBorders>
            <w:shd w:val="clear" w:color="auto" w:fill="auto"/>
            <w:vAlign w:val="center"/>
            <w:hideMark/>
          </w:tcPr>
          <w:p w:rsidR="00E15638" w:rsidRPr="00E15638" w:rsidRDefault="00E15638" w:rsidP="00CA50C2">
            <w:pPr>
              <w:tabs>
                <w:tab w:val="left" w:pos="567"/>
              </w:tabs>
              <w:jc w:val="center"/>
            </w:pP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E15638" w:rsidP="00CA50C2">
            <w:pPr>
              <w:tabs>
                <w:tab w:val="left" w:pos="567"/>
              </w:tabs>
              <w:jc w:val="center"/>
            </w:pP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E15638" w:rsidP="00CA50C2">
            <w:pPr>
              <w:tabs>
                <w:tab w:val="left" w:pos="567"/>
              </w:tabs>
              <w:jc w:val="center"/>
            </w:pP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E15638" w:rsidP="00CA50C2">
            <w:pPr>
              <w:tabs>
                <w:tab w:val="left" w:pos="567"/>
              </w:tabs>
              <w:jc w:val="center"/>
            </w:pP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15638" w:rsidRPr="00E15638" w:rsidRDefault="00E15638" w:rsidP="00CA50C2">
            <w:pPr>
              <w:tabs>
                <w:tab w:val="left" w:pos="567"/>
              </w:tabs>
              <w:jc w:val="center"/>
            </w:pPr>
          </w:p>
        </w:tc>
      </w:tr>
      <w:tr w:rsidR="00E15638" w:rsidRPr="00E15638" w:rsidTr="005D628F">
        <w:tc>
          <w:tcPr>
            <w:tcW w:w="2740" w:type="dxa"/>
            <w:tcBorders>
              <w:top w:val="nil"/>
              <w:left w:val="single" w:sz="4" w:space="0" w:color="auto"/>
              <w:bottom w:val="single" w:sz="4" w:space="0" w:color="auto"/>
              <w:right w:val="single" w:sz="4" w:space="0" w:color="auto"/>
            </w:tcBorders>
            <w:shd w:val="clear" w:color="auto" w:fill="auto"/>
            <w:vAlign w:val="center"/>
            <w:hideMark/>
          </w:tcPr>
          <w:p w:rsidR="005A26A5" w:rsidRPr="005D628F" w:rsidRDefault="005A26A5" w:rsidP="00CA50C2">
            <w:pPr>
              <w:tabs>
                <w:tab w:val="left" w:pos="567"/>
              </w:tabs>
              <w:rPr>
                <w:b/>
              </w:rPr>
            </w:pPr>
            <w:r w:rsidRPr="005D628F">
              <w:rPr>
                <w:b/>
              </w:rPr>
              <w:t>Non-Departmental Other Expenses:</w:t>
            </w:r>
          </w:p>
          <w:p w:rsidR="00E15638" w:rsidRPr="00E15638" w:rsidRDefault="00E15638" w:rsidP="00CA50C2">
            <w:pPr>
              <w:tabs>
                <w:tab w:val="left" w:pos="567"/>
              </w:tabs>
            </w:pPr>
            <w:r w:rsidRPr="00E15638">
              <w:t>Impairment of Debt Relating to Child Support</w:t>
            </w:r>
          </w:p>
        </w:tc>
        <w:tc>
          <w:tcPr>
            <w:tcW w:w="1229" w:type="dxa"/>
            <w:tcBorders>
              <w:top w:val="nil"/>
              <w:left w:val="nil"/>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pPr>
            <w:r w:rsidRPr="00E15638">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pPr>
            <w:r>
              <w:t>65.6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pPr>
            <w:r>
              <w:t>316.2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pPr>
            <w:r>
              <w:t>537.1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pPr>
            <w:r>
              <w:t>792.3</w:t>
            </w:r>
          </w:p>
        </w:tc>
      </w:tr>
      <w:tr w:rsidR="009C3F85" w:rsidRPr="00E15638" w:rsidTr="005D628F">
        <w:tc>
          <w:tcPr>
            <w:tcW w:w="2740" w:type="dxa"/>
            <w:tcBorders>
              <w:top w:val="nil"/>
              <w:left w:val="single" w:sz="4" w:space="0" w:color="auto"/>
              <w:bottom w:val="single" w:sz="4" w:space="0" w:color="auto"/>
              <w:right w:val="single" w:sz="4" w:space="0" w:color="auto"/>
            </w:tcBorders>
            <w:shd w:val="clear" w:color="auto" w:fill="auto"/>
            <w:vAlign w:val="center"/>
          </w:tcPr>
          <w:p w:rsidR="009C3F85" w:rsidRPr="00DE10C2" w:rsidRDefault="009C3F85" w:rsidP="00CA50C2">
            <w:pPr>
              <w:tabs>
                <w:tab w:val="left" w:pos="567"/>
              </w:tabs>
            </w:pPr>
            <w:r w:rsidRPr="00DE10C2">
              <w:t>Increase in Revenue from child support assessment receipts to the Crown</w:t>
            </w:r>
          </w:p>
        </w:tc>
        <w:tc>
          <w:tcPr>
            <w:tcW w:w="1229" w:type="dxa"/>
            <w:tcBorders>
              <w:top w:val="nil"/>
              <w:left w:val="nil"/>
              <w:bottom w:val="single" w:sz="4" w:space="0" w:color="auto"/>
              <w:right w:val="single" w:sz="4" w:space="0" w:color="auto"/>
            </w:tcBorders>
            <w:shd w:val="clear" w:color="auto" w:fill="auto"/>
            <w:vAlign w:val="center"/>
          </w:tcPr>
          <w:p w:rsidR="009C3F85" w:rsidRPr="00E15638" w:rsidRDefault="009C3F85" w:rsidP="00CA50C2">
            <w:pPr>
              <w:tabs>
                <w:tab w:val="left" w:pos="567"/>
              </w:tabs>
              <w:jc w:val="center"/>
            </w:pPr>
            <w: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C3F85" w:rsidRPr="00E15638" w:rsidRDefault="009C3F85" w:rsidP="00CA50C2">
            <w:pPr>
              <w:tabs>
                <w:tab w:val="left" w:pos="567"/>
              </w:tabs>
              <w:jc w:val="center"/>
            </w:pPr>
            <w:r>
              <w:t>0.9</w:t>
            </w:r>
          </w:p>
        </w:tc>
        <w:tc>
          <w:tcPr>
            <w:tcW w:w="1276" w:type="dxa"/>
            <w:tcBorders>
              <w:top w:val="nil"/>
              <w:left w:val="single" w:sz="4" w:space="0" w:color="auto"/>
              <w:bottom w:val="single" w:sz="4" w:space="0" w:color="auto"/>
              <w:right w:val="single" w:sz="4" w:space="0" w:color="auto"/>
            </w:tcBorders>
            <w:shd w:val="clear" w:color="auto" w:fill="auto"/>
            <w:vAlign w:val="center"/>
          </w:tcPr>
          <w:p w:rsidR="009C3F85" w:rsidRPr="00E15638" w:rsidRDefault="009C3F85" w:rsidP="00CA50C2">
            <w:pPr>
              <w:tabs>
                <w:tab w:val="left" w:pos="567"/>
              </w:tabs>
              <w:jc w:val="center"/>
            </w:pPr>
            <w:r>
              <w:t>1.5</w:t>
            </w:r>
          </w:p>
        </w:tc>
        <w:tc>
          <w:tcPr>
            <w:tcW w:w="1276" w:type="dxa"/>
            <w:tcBorders>
              <w:top w:val="nil"/>
              <w:left w:val="single" w:sz="4" w:space="0" w:color="auto"/>
              <w:bottom w:val="single" w:sz="4" w:space="0" w:color="auto"/>
              <w:right w:val="single" w:sz="4" w:space="0" w:color="auto"/>
            </w:tcBorders>
            <w:shd w:val="clear" w:color="auto" w:fill="auto"/>
            <w:vAlign w:val="center"/>
          </w:tcPr>
          <w:p w:rsidR="009C3F85" w:rsidRPr="00E15638" w:rsidRDefault="009C3F85" w:rsidP="00CA50C2">
            <w:pPr>
              <w:tabs>
                <w:tab w:val="left" w:pos="567"/>
              </w:tabs>
              <w:jc w:val="center"/>
            </w:pPr>
            <w:r>
              <w:t>1.8</w:t>
            </w:r>
          </w:p>
        </w:tc>
        <w:tc>
          <w:tcPr>
            <w:tcW w:w="1417" w:type="dxa"/>
            <w:tcBorders>
              <w:top w:val="nil"/>
              <w:left w:val="single" w:sz="4" w:space="0" w:color="auto"/>
              <w:bottom w:val="single" w:sz="4" w:space="0" w:color="auto"/>
              <w:right w:val="single" w:sz="4" w:space="0" w:color="auto"/>
            </w:tcBorders>
            <w:shd w:val="clear" w:color="auto" w:fill="auto"/>
            <w:vAlign w:val="center"/>
          </w:tcPr>
          <w:p w:rsidR="009C3F85" w:rsidRPr="00E15638" w:rsidRDefault="009C3F85" w:rsidP="00CA50C2">
            <w:pPr>
              <w:tabs>
                <w:tab w:val="left" w:pos="567"/>
              </w:tabs>
              <w:jc w:val="center"/>
            </w:pPr>
            <w:r>
              <w:t>1.8</w:t>
            </w:r>
          </w:p>
        </w:tc>
      </w:tr>
      <w:tr w:rsidR="00E15638" w:rsidRPr="00BF215D" w:rsidTr="005D628F">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638" w:rsidRPr="00E15638" w:rsidRDefault="00E15638" w:rsidP="00E15638">
            <w:pPr>
              <w:tabs>
                <w:tab w:val="left" w:pos="567"/>
              </w:tabs>
              <w:rPr>
                <w:b/>
                <w:bCs/>
              </w:rPr>
            </w:pPr>
            <w:r>
              <w:rPr>
                <w:b/>
                <w:bCs/>
              </w:rPr>
              <w:t>Net impact on Crown O</w:t>
            </w:r>
            <w:r w:rsidRPr="00E15638">
              <w:rPr>
                <w:b/>
                <w:bCs/>
              </w:rPr>
              <w:t xml:space="preserve">perating </w:t>
            </w:r>
            <w:r>
              <w:rPr>
                <w:b/>
                <w:bCs/>
              </w:rPr>
              <w:t>Balance</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E15638" w:rsidRPr="00E15638" w:rsidRDefault="00E15638" w:rsidP="00CA50C2">
            <w:pPr>
              <w:tabs>
                <w:tab w:val="left" w:pos="567"/>
              </w:tabs>
              <w:jc w:val="center"/>
              <w:rPr>
                <w:bCs/>
              </w:rPr>
            </w:pPr>
            <w:r w:rsidRPr="00E15638">
              <w:rPr>
                <w:bC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rPr>
                <w:b/>
                <w:bCs/>
              </w:rPr>
            </w:pPr>
            <w:r>
              <w:rPr>
                <w:b/>
                <w:bCs/>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rPr>
                <w:b/>
                <w:bCs/>
              </w:rPr>
            </w:pPr>
            <w:r>
              <w:rPr>
                <w:b/>
                <w:bCs/>
              </w:rPr>
              <w:t>(8.3)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rPr>
                <w:b/>
                <w:bCs/>
              </w:rPr>
            </w:pPr>
            <w:r>
              <w:rPr>
                <w:b/>
                <w:bCs/>
              </w:rPr>
              <w:t>(14.9)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5638" w:rsidRPr="00E15638" w:rsidRDefault="009C3F85" w:rsidP="00CA50C2">
            <w:pPr>
              <w:tabs>
                <w:tab w:val="left" w:pos="567"/>
              </w:tabs>
              <w:jc w:val="center"/>
              <w:rPr>
                <w:b/>
                <w:bCs/>
              </w:rPr>
            </w:pPr>
            <w:r>
              <w:rPr>
                <w:b/>
                <w:bCs/>
              </w:rPr>
              <w:t>(22.7)</w:t>
            </w:r>
          </w:p>
        </w:tc>
      </w:tr>
    </w:tbl>
    <w:p w:rsidR="002C5CFC" w:rsidRDefault="002C5CFC" w:rsidP="002C5CFC">
      <w:pPr>
        <w:jc w:val="both"/>
      </w:pPr>
    </w:p>
    <w:p w:rsidR="00067850" w:rsidRDefault="002C5CFC" w:rsidP="00067850">
      <w:pPr>
        <w:jc w:val="both"/>
      </w:pPr>
      <w:r>
        <w:fldChar w:fldCharType="begin"/>
      </w:r>
      <w:r>
        <w:instrText xml:space="preserve"> AUTONUM  </w:instrText>
      </w:r>
      <w:r>
        <w:fldChar w:fldCharType="end"/>
      </w:r>
      <w:r>
        <w:tab/>
        <w:t>To imp</w:t>
      </w:r>
      <w:r w:rsidR="00E74CF5">
        <w:t>lement these measures some</w:t>
      </w:r>
      <w:r>
        <w:t xml:space="preserve"> changes will be requi</w:t>
      </w:r>
      <w:r w:rsidR="00FC4601">
        <w:t>red to Inland Revenue’s</w:t>
      </w:r>
      <w:r>
        <w:t xml:space="preserve"> operational processes which will also be supported by internal communication, guidelines and training.  The changes are expected to cost around $500,000 which would be funded internally by Inland Revenue.</w:t>
      </w:r>
    </w:p>
    <w:p w:rsidR="00CA50C2" w:rsidRDefault="00CA50C2" w:rsidP="00067850">
      <w:pPr>
        <w:jc w:val="both"/>
      </w:pPr>
    </w:p>
    <w:p w:rsidR="00067850" w:rsidRPr="00CB3916" w:rsidRDefault="00067850" w:rsidP="00CB3916">
      <w:pPr>
        <w:rPr>
          <w:b/>
          <w:i/>
          <w:szCs w:val="20"/>
          <w:lang w:eastAsia="en-AU"/>
        </w:rPr>
      </w:pPr>
      <w:r w:rsidRPr="00ED71DE">
        <w:rPr>
          <w:b/>
          <w:i/>
        </w:rPr>
        <w:t>Administrative impacts</w:t>
      </w:r>
    </w:p>
    <w:p w:rsidR="00067850" w:rsidRDefault="00067850" w:rsidP="00067850">
      <w:pPr>
        <w:pStyle w:val="TRNormal"/>
        <w:tabs>
          <w:tab w:val="left" w:pos="567"/>
        </w:tabs>
        <w:spacing w:line="240" w:lineRule="auto"/>
        <w:rPr>
          <w:i/>
        </w:rPr>
      </w:pPr>
    </w:p>
    <w:p w:rsidR="00604D24" w:rsidRDefault="00067850" w:rsidP="00067850">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Both options have comparable staff and associated administrative costs required for implementation.  As phase two of the child support reforms is in the development stage and the timing of some of the penalty and debt changes is anticipated for later in 2015, the administrative impact</w:t>
      </w:r>
      <w:r w:rsidR="000D0D98">
        <w:t>s to move from option 1 to option 2</w:t>
      </w:r>
      <w:r>
        <w:t xml:space="preserve"> would be relatively minor.</w:t>
      </w:r>
    </w:p>
    <w:p w:rsidR="00067850" w:rsidRDefault="00067850" w:rsidP="00067850">
      <w:pPr>
        <w:pStyle w:val="TRNormal"/>
        <w:tabs>
          <w:tab w:val="left" w:pos="567"/>
        </w:tabs>
        <w:spacing w:line="240" w:lineRule="auto"/>
      </w:pPr>
    </w:p>
    <w:p w:rsidR="00604D24" w:rsidRDefault="00067850" w:rsidP="00067850">
      <w:pPr>
        <w:pStyle w:val="TRNormal"/>
        <w:tabs>
          <w:tab w:val="left" w:pos="567"/>
        </w:tabs>
        <w:spacing w:line="240" w:lineRule="auto"/>
      </w:pPr>
      <w:r w:rsidRPr="002C5CFC">
        <w:fldChar w:fldCharType="begin"/>
      </w:r>
      <w:r w:rsidRPr="00604D24">
        <w:instrText xml:space="preserve"> AUTONUM  </w:instrText>
      </w:r>
      <w:r w:rsidRPr="002C5CFC">
        <w:fldChar w:fldCharType="end"/>
      </w:r>
      <w:r w:rsidRPr="00424265">
        <w:tab/>
      </w:r>
      <w:r>
        <w:t>An increase in administrative costs is anticipated for the development and implementation of internal interpretation guidelines for amende</w:t>
      </w:r>
      <w:r w:rsidR="00FC4601">
        <w:t>d penalty rules under option 2</w:t>
      </w:r>
      <w:r>
        <w:t xml:space="preserve"> but these costs are expected to be mitigated by more efficient use of Inland Revenue resources resulting from the new rules.</w:t>
      </w:r>
    </w:p>
    <w:p w:rsidR="00604D24" w:rsidRDefault="00604D24" w:rsidP="00067850">
      <w:pPr>
        <w:pStyle w:val="TRNormal"/>
        <w:tabs>
          <w:tab w:val="left" w:pos="567"/>
        </w:tabs>
        <w:spacing w:line="240" w:lineRule="auto"/>
      </w:pPr>
    </w:p>
    <w:p w:rsidR="00604D24" w:rsidRDefault="00604D24" w:rsidP="00604D24">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A reduction in administrative costs is anticipated due to payment arrangements being set for lower values and subsequently, shorter durations. This is due to penalties accumulating at a slower rate (through child support reforms changes), the proposal for the Commissioner to have greater flexibility to write off penalty debt where it is “fair and reasonable” (rather than pursuin</w:t>
      </w:r>
      <w:r w:rsidR="00DE10C2">
        <w:t>g collection), and all eligible</w:t>
      </w:r>
      <w:r>
        <w:t xml:space="preserve"> liable parents who enter into a payment arrangement qualifying for incremental penalty write off whether the arrangement is agreed to or otherwise made.</w:t>
      </w:r>
    </w:p>
    <w:p w:rsidR="00604D24" w:rsidRDefault="00604D24" w:rsidP="00604D24">
      <w:pPr>
        <w:pStyle w:val="TRNormal"/>
        <w:tabs>
          <w:tab w:val="left" w:pos="567"/>
        </w:tabs>
        <w:spacing w:line="240" w:lineRule="auto"/>
      </w:pPr>
      <w:r w:rsidRPr="00424265">
        <w:lastRenderedPageBreak/>
        <w:fldChar w:fldCharType="begin"/>
      </w:r>
      <w:r w:rsidRPr="00424265">
        <w:instrText xml:space="preserve"> AUTONUM  </w:instrText>
      </w:r>
      <w:r w:rsidRPr="00424265">
        <w:fldChar w:fldCharType="end"/>
      </w:r>
      <w:r w:rsidRPr="00424265">
        <w:tab/>
      </w:r>
      <w:r>
        <w:t>Further administrative efficiencies would be achieved if the CIR had ability to take a fair and reasonable approach to penalty only debt. Where liable parents qualify, their debts could be written off and their case exited from the scheme, reducing on-going administration and compliance costs.</w:t>
      </w:r>
    </w:p>
    <w:p w:rsidR="00604D24" w:rsidRDefault="00604D24" w:rsidP="00604D24">
      <w:pPr>
        <w:pStyle w:val="TRNormal"/>
        <w:tabs>
          <w:tab w:val="left" w:pos="567"/>
        </w:tabs>
        <w:spacing w:line="240" w:lineRule="auto"/>
      </w:pPr>
    </w:p>
    <w:p w:rsidR="00604D24" w:rsidRDefault="00604D24" w:rsidP="00604D24">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Under both options, admini</w:t>
      </w:r>
      <w:r w:rsidR="000E0784">
        <w:t>strative efficiencies gained could</w:t>
      </w:r>
      <w:r>
        <w:t xml:space="preserve"> be reinvested to pursue the collection of more liable parent assessment debt, increasing payments to receiving carers and enabling them to financially support the children in their care.</w:t>
      </w:r>
    </w:p>
    <w:p w:rsidR="00067850" w:rsidRDefault="00067850" w:rsidP="00067850">
      <w:pPr>
        <w:pStyle w:val="TRNormal"/>
        <w:tabs>
          <w:tab w:val="left" w:pos="567"/>
        </w:tabs>
        <w:spacing w:line="240" w:lineRule="auto"/>
        <w:rPr>
          <w:i/>
        </w:rPr>
      </w:pPr>
    </w:p>
    <w:p w:rsidR="00067850" w:rsidRPr="00ED71DE" w:rsidRDefault="00067850" w:rsidP="00067850">
      <w:pPr>
        <w:pStyle w:val="TRNormal"/>
        <w:tabs>
          <w:tab w:val="left" w:pos="567"/>
        </w:tabs>
        <w:spacing w:line="240" w:lineRule="auto"/>
        <w:rPr>
          <w:b/>
          <w:i/>
        </w:rPr>
      </w:pPr>
      <w:r w:rsidRPr="00ED71DE">
        <w:rPr>
          <w:b/>
          <w:i/>
        </w:rPr>
        <w:t>Compliance impacts</w:t>
      </w:r>
    </w:p>
    <w:p w:rsidR="00067850" w:rsidRDefault="00067850" w:rsidP="00067850">
      <w:pPr>
        <w:pStyle w:val="TRNormal"/>
        <w:tabs>
          <w:tab w:val="left" w:pos="567"/>
        </w:tabs>
        <w:spacing w:line="240" w:lineRule="auto"/>
        <w:rPr>
          <w:i/>
        </w:rPr>
      </w:pPr>
    </w:p>
    <w:p w:rsidR="00067850" w:rsidRDefault="00067850" w:rsidP="00067850">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 xml:space="preserve">Both options are designed to encourage payment arrangements, support </w:t>
      </w:r>
      <w:r w:rsidR="00131E8C">
        <w:t>liable parent</w:t>
      </w:r>
      <w:r>
        <w:t xml:space="preserve">s to get their child support debt under control and meet their child support obligations. </w:t>
      </w:r>
    </w:p>
    <w:p w:rsidR="00067850" w:rsidRDefault="00067850" w:rsidP="00067850">
      <w:pPr>
        <w:pStyle w:val="TRNormal"/>
        <w:tabs>
          <w:tab w:val="left" w:pos="567"/>
        </w:tabs>
        <w:spacing w:line="240" w:lineRule="auto"/>
      </w:pPr>
    </w:p>
    <w:p w:rsidR="00067850" w:rsidRDefault="00067850" w:rsidP="00067850">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 xml:space="preserve">Under both options it is anticipated that compliance costs would decrease for </w:t>
      </w:r>
      <w:r w:rsidR="00131E8C">
        <w:t>liable parent</w:t>
      </w:r>
      <w:r>
        <w:t>s as payment arrangements were made and the number of and need for interactions with Inland Revenue would decline.  Based on greater flexibility to negotiate arrangements and determine penalty levels under option 2, compliance costs are expected to be less than option 1.</w:t>
      </w:r>
    </w:p>
    <w:p w:rsidR="00067850" w:rsidRDefault="00067850" w:rsidP="00067850">
      <w:pPr>
        <w:pStyle w:val="TRNormal"/>
        <w:tabs>
          <w:tab w:val="left" w:pos="567"/>
        </w:tabs>
        <w:spacing w:line="240" w:lineRule="auto"/>
      </w:pPr>
    </w:p>
    <w:p w:rsidR="00067850" w:rsidRDefault="00067850" w:rsidP="00067850">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 xml:space="preserve">Positive compliance behaviour is expected to result from both options 1 and 2 but is anticipated to be greater under option 2 given greater incentives for </w:t>
      </w:r>
      <w:r w:rsidR="00131E8C">
        <w:t>liable parent</w:t>
      </w:r>
      <w:r>
        <w:t>s to repay debt.</w:t>
      </w:r>
    </w:p>
    <w:p w:rsidR="00E43D40" w:rsidRDefault="00E43D40" w:rsidP="001D1CCF">
      <w:pPr>
        <w:pStyle w:val="TRNormal"/>
        <w:tabs>
          <w:tab w:val="left" w:pos="567"/>
        </w:tabs>
        <w:spacing w:line="240" w:lineRule="auto"/>
      </w:pPr>
    </w:p>
    <w:p w:rsidR="005E00E3" w:rsidRPr="00ED71DE" w:rsidRDefault="005E00E3" w:rsidP="005E00E3">
      <w:pPr>
        <w:pStyle w:val="TRNormal"/>
        <w:tabs>
          <w:tab w:val="left" w:pos="567"/>
        </w:tabs>
        <w:spacing w:line="240" w:lineRule="auto"/>
        <w:rPr>
          <w:b/>
          <w:i/>
        </w:rPr>
      </w:pPr>
      <w:r w:rsidRPr="00ED71DE">
        <w:rPr>
          <w:b/>
          <w:i/>
        </w:rPr>
        <w:t>Social, environmental or cultural impacts</w:t>
      </w:r>
    </w:p>
    <w:p w:rsidR="005E00E3" w:rsidRDefault="005E00E3" w:rsidP="005E00E3">
      <w:pPr>
        <w:pStyle w:val="TRNormal"/>
        <w:tabs>
          <w:tab w:val="left" w:pos="567"/>
        </w:tabs>
        <w:spacing w:line="240" w:lineRule="auto"/>
        <w:rPr>
          <w:b/>
        </w:rPr>
      </w:pPr>
    </w:p>
    <w:p w:rsidR="0028122E" w:rsidRDefault="005E00E3" w:rsidP="002F633B">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There are no environmental or cultura</w:t>
      </w:r>
      <w:r w:rsidR="00B074AC">
        <w:t>l impacts associated with</w:t>
      </w:r>
      <w:r>
        <w:t xml:space="preserve"> the options considered above.  There are social impacts from the options as they</w:t>
      </w:r>
      <w:r w:rsidR="00B074AC">
        <w:t xml:space="preserve"> are anticipated to</w:t>
      </w:r>
      <w:r>
        <w:t xml:space="preserve"> impact on the levels of financial support available to families with children, the timeliness of pa</w:t>
      </w:r>
      <w:r w:rsidR="00B074AC">
        <w:t>yments, and the level of debt.</w:t>
      </w:r>
    </w:p>
    <w:p w:rsidR="00DE10C2" w:rsidRDefault="00DE10C2" w:rsidP="002F633B">
      <w:pPr>
        <w:pStyle w:val="TRNormal"/>
        <w:tabs>
          <w:tab w:val="left" w:pos="567"/>
        </w:tabs>
        <w:spacing w:line="240" w:lineRule="auto"/>
      </w:pPr>
    </w:p>
    <w:p w:rsidR="006E6C33" w:rsidRPr="00E15638" w:rsidRDefault="006E6C33" w:rsidP="006E6C33">
      <w:r w:rsidRPr="00424265">
        <w:fldChar w:fldCharType="begin"/>
      </w:r>
      <w:r w:rsidRPr="00424265">
        <w:instrText xml:space="preserve"> AUTONUM  </w:instrText>
      </w:r>
      <w:r w:rsidRPr="00424265">
        <w:fldChar w:fldCharType="end"/>
      </w:r>
      <w:r w:rsidRPr="00424265">
        <w:tab/>
      </w:r>
      <w:r>
        <w:t>Under option 2, there will be greater</w:t>
      </w:r>
      <w:r w:rsidRPr="00E15638">
        <w:t xml:space="preserve"> increases in positive compliance behaviour </w:t>
      </w:r>
      <w:r>
        <w:t>with</w:t>
      </w:r>
      <w:r w:rsidRPr="00E15638">
        <w:t xml:space="preserve"> flow-on effects for receiving carers and their children to the extent that payments </w:t>
      </w:r>
      <w:r w:rsidRPr="006E6C33">
        <w:t>are due to carers not the Crown</w:t>
      </w:r>
      <w:r>
        <w:t>, than under option 1.</w:t>
      </w:r>
    </w:p>
    <w:p w:rsidR="006E6C33" w:rsidRPr="00E15638" w:rsidRDefault="006E6C33" w:rsidP="006E6C33"/>
    <w:p w:rsidR="006E6C33" w:rsidRPr="006E6C33" w:rsidRDefault="006E6C33" w:rsidP="006E6C33">
      <w:pPr>
        <w:jc w:val="both"/>
      </w:pPr>
      <w:r w:rsidRPr="00424265">
        <w:fldChar w:fldCharType="begin"/>
      </w:r>
      <w:r w:rsidRPr="00424265">
        <w:instrText xml:space="preserve"> AUTONUM  </w:instrText>
      </w:r>
      <w:r w:rsidRPr="00424265">
        <w:fldChar w:fldCharType="end"/>
      </w:r>
      <w:r w:rsidRPr="00424265">
        <w:tab/>
      </w:r>
      <w:r>
        <w:t xml:space="preserve">Option 2 presents a </w:t>
      </w:r>
      <w:r>
        <w:rPr>
          <w:lang w:val="en-GB" w:eastAsia="en-US"/>
        </w:rPr>
        <w:t>g</w:t>
      </w:r>
      <w:r w:rsidRPr="00E15638">
        <w:rPr>
          <w:lang w:val="en-GB" w:eastAsia="en-US"/>
        </w:rPr>
        <w:t xml:space="preserve">reater </w:t>
      </w:r>
      <w:r>
        <w:rPr>
          <w:lang w:val="en-GB" w:eastAsia="en-US"/>
        </w:rPr>
        <w:t xml:space="preserve">opportunity for </w:t>
      </w:r>
      <w:r w:rsidRPr="00E15638">
        <w:rPr>
          <w:lang w:val="en-GB" w:eastAsia="en-US"/>
        </w:rPr>
        <w:t>improved perception of Inland Revenue and the child support system through a less punitive penalty regime</w:t>
      </w:r>
      <w:r w:rsidRPr="006E6C33">
        <w:rPr>
          <w:lang w:val="en-GB" w:eastAsia="en-US"/>
        </w:rPr>
        <w:t xml:space="preserve"> than</w:t>
      </w:r>
      <w:r w:rsidRPr="00E15638">
        <w:rPr>
          <w:lang w:val="en-GB" w:eastAsia="en-US"/>
        </w:rPr>
        <w:t xml:space="preserve"> option 1.</w:t>
      </w:r>
    </w:p>
    <w:p w:rsidR="00032570" w:rsidRDefault="00032570" w:rsidP="001D1CCF">
      <w:pPr>
        <w:pStyle w:val="TRNormal"/>
        <w:tabs>
          <w:tab w:val="left" w:pos="567"/>
        </w:tabs>
        <w:spacing w:line="240" w:lineRule="auto"/>
      </w:pPr>
    </w:p>
    <w:p w:rsidR="001569F1" w:rsidRPr="00ED71DE" w:rsidRDefault="001569F1" w:rsidP="001569F1">
      <w:pPr>
        <w:pStyle w:val="TRNormal"/>
        <w:tabs>
          <w:tab w:val="left" w:pos="567"/>
        </w:tabs>
        <w:spacing w:line="240" w:lineRule="auto"/>
        <w:rPr>
          <w:b/>
          <w:i/>
        </w:rPr>
      </w:pPr>
      <w:r w:rsidRPr="00ED71DE">
        <w:rPr>
          <w:b/>
          <w:i/>
        </w:rPr>
        <w:t>Other risks</w:t>
      </w:r>
    </w:p>
    <w:p w:rsidR="001569F1" w:rsidRDefault="001569F1" w:rsidP="001D1CCF">
      <w:pPr>
        <w:pStyle w:val="TRNormal"/>
        <w:tabs>
          <w:tab w:val="left" w:pos="567"/>
        </w:tabs>
        <w:spacing w:line="240" w:lineRule="auto"/>
      </w:pPr>
    </w:p>
    <w:p w:rsidR="009474B3" w:rsidRDefault="001569F1" w:rsidP="001D1CCF">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rsidR="00866D62">
        <w:t>There is a risk around the timing</w:t>
      </w:r>
      <w:r w:rsidR="00011F13">
        <w:t xml:space="preserve"> with respect to </w:t>
      </w:r>
      <w:r w:rsidR="00866D62">
        <w:t>both</w:t>
      </w:r>
      <w:r w:rsidR="00011F13">
        <w:t xml:space="preserve"> option</w:t>
      </w:r>
      <w:r w:rsidR="00866D62">
        <w:t>s</w:t>
      </w:r>
      <w:r w:rsidR="00011F13">
        <w:t xml:space="preserve"> as the</w:t>
      </w:r>
      <w:r w:rsidR="00866D62">
        <w:t>y are</w:t>
      </w:r>
      <w:r w:rsidR="00011F13">
        <w:t xml:space="preserve"> designed to support the child support reforms scheduled for amendment through the Taxation (Annual Rates for 2015-16, Research and Development, and Remedial Matters) Bill (the Bill) introduc</w:t>
      </w:r>
      <w:r w:rsidR="00AD26B5">
        <w:t>ed</w:t>
      </w:r>
      <w:r w:rsidR="00DE10C2">
        <w:t xml:space="preserve"> </w:t>
      </w:r>
      <w:r w:rsidR="00AD26B5">
        <w:t>on 26</w:t>
      </w:r>
      <w:r w:rsidR="00011F13">
        <w:t xml:space="preserve"> February 2015.  The ability for Inland Revenue to deliver </w:t>
      </w:r>
      <w:r w:rsidR="00866D62">
        <w:t xml:space="preserve">either </w:t>
      </w:r>
      <w:r w:rsidR="00011F13">
        <w:t>option relies on the option being reflected in the Bill and the scope, timing and drafting of the option remaining unchanged throughout the legislative process.</w:t>
      </w:r>
    </w:p>
    <w:p w:rsidR="00866D62" w:rsidRDefault="00866D62" w:rsidP="001D1CCF">
      <w:pPr>
        <w:pStyle w:val="TRNormal"/>
        <w:tabs>
          <w:tab w:val="left" w:pos="567"/>
        </w:tabs>
        <w:spacing w:line="240" w:lineRule="auto"/>
      </w:pPr>
    </w:p>
    <w:p w:rsidR="009474B3" w:rsidRDefault="009474B3" w:rsidP="001D1CCF">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rsidR="00866D62">
        <w:t xml:space="preserve">Option 1 </w:t>
      </w:r>
      <w:r>
        <w:t xml:space="preserve">will </w:t>
      </w:r>
      <w:r w:rsidR="00866D62">
        <w:t xml:space="preserve">continue to limit incentives for parents to pay debt and Inland Revenue’s ability to manage the debt book, </w:t>
      </w:r>
      <w:r>
        <w:t xml:space="preserve">meaning debt will continue to climb. </w:t>
      </w:r>
      <w:r w:rsidR="008250E6">
        <w:t xml:space="preserve"> </w:t>
      </w:r>
      <w:r>
        <w:t xml:space="preserve">Experience indicates that compliance levels fall as debt accumulates and ages, especially when penalty debt begins </w:t>
      </w:r>
      <w:r>
        <w:lastRenderedPageBreak/>
        <w:t>to exceed the core assessment.</w:t>
      </w:r>
      <w:r w:rsidR="008250E6">
        <w:t xml:space="preserve"> </w:t>
      </w:r>
      <w:r>
        <w:t xml:space="preserve"> This is a risk that debt becomes unmanageable, impacting on perceptions of the </w:t>
      </w:r>
      <w:r w:rsidR="00866D62">
        <w:t xml:space="preserve">child support </w:t>
      </w:r>
      <w:r>
        <w:t xml:space="preserve">scheme and ultimately the welfare of </w:t>
      </w:r>
      <w:r w:rsidR="00866D62">
        <w:t xml:space="preserve">associated </w:t>
      </w:r>
      <w:r>
        <w:t>children.</w:t>
      </w:r>
    </w:p>
    <w:p w:rsidR="00866D62" w:rsidRDefault="00866D62" w:rsidP="001D1CCF">
      <w:pPr>
        <w:pStyle w:val="TRNormal"/>
        <w:tabs>
          <w:tab w:val="left" w:pos="567"/>
        </w:tabs>
        <w:spacing w:line="240" w:lineRule="auto"/>
      </w:pPr>
    </w:p>
    <w:p w:rsidR="00256ADC" w:rsidRDefault="00866D62" w:rsidP="00256ADC">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 xml:space="preserve">Under both options, but more particularly option 2 with greater payment incentives, there is a risk that receiving carers perceive the changes as </w:t>
      </w:r>
      <w:r w:rsidR="00254177">
        <w:t>inequitable</w:t>
      </w:r>
      <w:r>
        <w:t>.  This perception would be related to any penalty write-off for parents who had not been meeting their child support obligations.  However, if penalties have been written off this should be as a result of positive compliance behaviour and increased payments of child suppor</w:t>
      </w:r>
      <w:r w:rsidR="00256ADC">
        <w:t>t.  In all cases, receiving carers do not receive penalty payments as these are payable to the Crown under the child support scheme.</w:t>
      </w:r>
    </w:p>
    <w:p w:rsidR="000E0784" w:rsidRDefault="000E0784" w:rsidP="00256ADC">
      <w:pPr>
        <w:pStyle w:val="TRNormal"/>
        <w:tabs>
          <w:tab w:val="left" w:pos="567"/>
        </w:tabs>
        <w:spacing w:line="240" w:lineRule="auto"/>
      </w:pPr>
    </w:p>
    <w:p w:rsidR="000E0784" w:rsidRDefault="000E0784" w:rsidP="00256ADC">
      <w:pPr>
        <w:pStyle w:val="TRNormal"/>
        <w:tabs>
          <w:tab w:val="left" w:pos="567"/>
        </w:tabs>
        <w:spacing w:line="240" w:lineRule="auto"/>
      </w:pPr>
      <w:r w:rsidRPr="00424265">
        <w:fldChar w:fldCharType="begin"/>
      </w:r>
      <w:r w:rsidRPr="00424265">
        <w:instrText xml:space="preserve"> AUTONUM  </w:instrText>
      </w:r>
      <w:r w:rsidRPr="00424265">
        <w:fldChar w:fldCharType="end"/>
      </w:r>
      <w:r w:rsidRPr="00424265">
        <w:tab/>
      </w:r>
      <w:r>
        <w:t>Under both options, but greater under option 2 with wider penalty relief, there is a risk that liable parents who have paid penalties in the past perceive that new w</w:t>
      </w:r>
      <w:r w:rsidR="002F633B">
        <w:t>rite off provisions are unfair.</w:t>
      </w:r>
    </w:p>
    <w:p w:rsidR="00256ADC" w:rsidRDefault="00256ADC" w:rsidP="00256ADC">
      <w:pPr>
        <w:pStyle w:val="TRNormal"/>
        <w:tabs>
          <w:tab w:val="left" w:pos="567"/>
        </w:tabs>
        <w:spacing w:line="240" w:lineRule="auto"/>
      </w:pPr>
    </w:p>
    <w:p w:rsidR="00256ADC" w:rsidRDefault="00256ADC" w:rsidP="00256ADC">
      <w:pPr>
        <w:pStyle w:val="TRNormal"/>
        <w:tabs>
          <w:tab w:val="left" w:pos="567"/>
        </w:tabs>
        <w:spacing w:line="240" w:lineRule="auto"/>
      </w:pPr>
    </w:p>
    <w:p w:rsidR="00AB7312" w:rsidRPr="004C2818" w:rsidRDefault="00AB7312" w:rsidP="00256ADC">
      <w:pPr>
        <w:pStyle w:val="TRNormal"/>
        <w:tabs>
          <w:tab w:val="left" w:pos="567"/>
        </w:tabs>
        <w:spacing w:line="240" w:lineRule="auto"/>
        <w:rPr>
          <w:b/>
          <w:caps/>
        </w:rPr>
      </w:pPr>
      <w:r w:rsidRPr="004C2818">
        <w:rPr>
          <w:b/>
          <w:caps/>
        </w:rPr>
        <w:t>Consultation</w:t>
      </w:r>
    </w:p>
    <w:p w:rsidR="00AB7312" w:rsidRPr="004C2818" w:rsidRDefault="00AB7312" w:rsidP="00672439">
      <w:pPr>
        <w:pStyle w:val="TRBodyText"/>
        <w:spacing w:line="240" w:lineRule="auto"/>
      </w:pPr>
    </w:p>
    <w:p w:rsidR="00AB7312" w:rsidRDefault="00AB7312" w:rsidP="00C6657E">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504146">
        <w:t>A</w:t>
      </w:r>
      <w:r w:rsidRPr="004C2818">
        <w:t xml:space="preserve"> significant level of public consultation </w:t>
      </w:r>
      <w:r w:rsidR="00DD273F">
        <w:t>was</w:t>
      </w:r>
      <w:r w:rsidR="006D11E7" w:rsidRPr="004C2818">
        <w:t xml:space="preserve"> undertaken </w:t>
      </w:r>
      <w:r w:rsidRPr="004C2818">
        <w:t xml:space="preserve">on the </w:t>
      </w:r>
      <w:r w:rsidR="00C6657E">
        <w:t xml:space="preserve">original </w:t>
      </w:r>
      <w:r w:rsidRPr="004C2818">
        <w:t>options for p</w:t>
      </w:r>
      <w:r w:rsidR="004C2818">
        <w:t>otential child support reform.</w:t>
      </w:r>
      <w:r w:rsidR="00C6657E">
        <w:t xml:space="preserve">  </w:t>
      </w:r>
      <w:r w:rsidR="004A2DC1" w:rsidRPr="004C2818">
        <w:t>There ha</w:t>
      </w:r>
      <w:r w:rsidR="00C6657E">
        <w:t>d</w:t>
      </w:r>
      <w:r w:rsidR="004A2DC1" w:rsidRPr="004C2818">
        <w:t xml:space="preserve"> </w:t>
      </w:r>
      <w:r w:rsidR="00DE0D9B" w:rsidRPr="004C2818">
        <w:t xml:space="preserve">also </w:t>
      </w:r>
      <w:r w:rsidR="004A2DC1" w:rsidRPr="004C2818">
        <w:t>been c</w:t>
      </w:r>
      <w:r w:rsidRPr="004C2818">
        <w:t xml:space="preserve">onsultation with a range of Government agencies </w:t>
      </w:r>
      <w:r w:rsidR="004A2DC1" w:rsidRPr="004C2818">
        <w:t xml:space="preserve">on child support issues over </w:t>
      </w:r>
      <w:r w:rsidR="00504146">
        <w:t>several years</w:t>
      </w:r>
      <w:r w:rsidR="004A2DC1" w:rsidRPr="004C2818">
        <w:t xml:space="preserve">. </w:t>
      </w:r>
      <w:r w:rsidRPr="004C2818">
        <w:t>Feedback from these agencies ha</w:t>
      </w:r>
      <w:r w:rsidR="00C6657E">
        <w:t>d</w:t>
      </w:r>
      <w:r w:rsidRPr="004C2818">
        <w:t xml:space="preserve">, wherever possible, been incorporated into the formulation of the </w:t>
      </w:r>
      <w:r w:rsidR="00504146">
        <w:t xml:space="preserve">original </w:t>
      </w:r>
      <w:r w:rsidRPr="004C2818">
        <w:t xml:space="preserve">policy options </w:t>
      </w:r>
      <w:r w:rsidR="00504146">
        <w:t>and subsequent legislation</w:t>
      </w:r>
      <w:r w:rsidRPr="004C2818">
        <w:t>.</w:t>
      </w:r>
      <w:r w:rsidR="00EB782B" w:rsidRPr="004C2818">
        <w:t xml:space="preserve"> </w:t>
      </w:r>
      <w:r w:rsidR="00B93ECE">
        <w:t xml:space="preserve"> </w:t>
      </w:r>
      <w:r w:rsidR="00EB782B" w:rsidRPr="004C2818">
        <w:t xml:space="preserve">There </w:t>
      </w:r>
      <w:r w:rsidR="00504146">
        <w:t>wa</w:t>
      </w:r>
      <w:r w:rsidR="00EB782B" w:rsidRPr="004C2818">
        <w:t>s a general recognition</w:t>
      </w:r>
      <w:r w:rsidR="004A2DC1" w:rsidRPr="004C2818">
        <w:t xml:space="preserve"> from these agencies</w:t>
      </w:r>
      <w:r w:rsidR="00EB782B" w:rsidRPr="004C2818">
        <w:t xml:space="preserve"> that th</w:t>
      </w:r>
      <w:r w:rsidR="008967A1" w:rsidRPr="004C2818">
        <w:t>e various issues with the child support scheme need</w:t>
      </w:r>
      <w:r w:rsidR="00EB782B" w:rsidRPr="004C2818">
        <w:t xml:space="preserve"> to be addressed.</w:t>
      </w:r>
    </w:p>
    <w:p w:rsidR="00C6657E" w:rsidRDefault="00C6657E" w:rsidP="00C6657E">
      <w:pPr>
        <w:pStyle w:val="TRBodyText"/>
        <w:tabs>
          <w:tab w:val="left" w:pos="567"/>
        </w:tabs>
        <w:spacing w:line="240" w:lineRule="auto"/>
      </w:pPr>
    </w:p>
    <w:p w:rsidR="00C6657E" w:rsidRPr="004C2818" w:rsidRDefault="00504146" w:rsidP="00C6657E">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C6657E">
        <w:t xml:space="preserve">There was less opportunity to consult on the options </w:t>
      </w:r>
      <w:r w:rsidR="00256ADC">
        <w:t xml:space="preserve">in the June 2014 </w:t>
      </w:r>
      <w:r w:rsidR="00727B22">
        <w:t xml:space="preserve">RIS </w:t>
      </w:r>
      <w:r w:rsidR="00256ADC">
        <w:t xml:space="preserve">and this RIS </w:t>
      </w:r>
      <w:r w:rsidR="00C6657E">
        <w:t xml:space="preserve">given </w:t>
      </w:r>
      <w:r w:rsidR="00BE66D6">
        <w:t xml:space="preserve">the timing constraints on decision-making and the </w:t>
      </w:r>
      <w:r>
        <w:t>sensitivity of the changes.</w:t>
      </w:r>
      <w:r w:rsidR="004C30B8">
        <w:t xml:space="preserve"> </w:t>
      </w:r>
      <w:r w:rsidR="00B93ECE">
        <w:t xml:space="preserve"> </w:t>
      </w:r>
      <w:r w:rsidR="00C6657E">
        <w:t>Treasury</w:t>
      </w:r>
      <w:r w:rsidR="00256ADC">
        <w:t xml:space="preserve"> were consulted and t</w:t>
      </w:r>
      <w:r w:rsidR="004C30B8">
        <w:t>heir feedback is incorporated in the options considered.</w:t>
      </w:r>
    </w:p>
    <w:p w:rsidR="00AB7312" w:rsidRPr="004C2818" w:rsidRDefault="00AB7312" w:rsidP="00672439">
      <w:pPr>
        <w:pStyle w:val="TRBodyText"/>
        <w:tabs>
          <w:tab w:val="left" w:pos="540"/>
        </w:tabs>
        <w:spacing w:line="240" w:lineRule="auto"/>
        <w:rPr>
          <w:szCs w:val="24"/>
        </w:rPr>
      </w:pPr>
    </w:p>
    <w:p w:rsidR="005D628F" w:rsidRDefault="005D628F">
      <w:pPr>
        <w:rPr>
          <w:b/>
          <w:caps/>
        </w:rPr>
      </w:pPr>
    </w:p>
    <w:p w:rsidR="00AB7312" w:rsidRPr="004C2818" w:rsidRDefault="00AB7312" w:rsidP="00672439">
      <w:pPr>
        <w:tabs>
          <w:tab w:val="left" w:pos="540"/>
        </w:tabs>
        <w:jc w:val="both"/>
        <w:rPr>
          <w:b/>
          <w:caps/>
        </w:rPr>
      </w:pPr>
      <w:r w:rsidRPr="004C2818">
        <w:rPr>
          <w:b/>
          <w:caps/>
        </w:rPr>
        <w:t>Conclusions and recommendations</w:t>
      </w:r>
    </w:p>
    <w:p w:rsidR="00D400BC" w:rsidRPr="004C2818" w:rsidRDefault="00D400BC" w:rsidP="00672439">
      <w:pPr>
        <w:tabs>
          <w:tab w:val="left" w:pos="540"/>
        </w:tabs>
        <w:jc w:val="both"/>
        <w:rPr>
          <w:b/>
          <w:caps/>
        </w:rPr>
      </w:pPr>
    </w:p>
    <w:p w:rsidR="00715D68" w:rsidRPr="00E15638" w:rsidRDefault="00D400BC" w:rsidP="00E15638">
      <w:pPr>
        <w:rPr>
          <w:lang w:val="en-GB" w:eastAsia="en-US"/>
        </w:rPr>
      </w:pPr>
      <w:r w:rsidRPr="004C2818">
        <w:fldChar w:fldCharType="begin"/>
      </w:r>
      <w:r w:rsidRPr="004C2818">
        <w:instrText xml:space="preserve"> AUTONUM  </w:instrText>
      </w:r>
      <w:r w:rsidRPr="004C2818">
        <w:fldChar w:fldCharType="end"/>
      </w:r>
      <w:r w:rsidRPr="004C2818">
        <w:tab/>
        <w:t>I</w:t>
      </w:r>
      <w:r w:rsidR="00D718EF">
        <w:t>nland Revenue</w:t>
      </w:r>
      <w:r w:rsidRPr="004C2818">
        <w:t xml:space="preserve"> </w:t>
      </w:r>
      <w:r w:rsidR="00256ADC">
        <w:t xml:space="preserve">supports option 2.  This option </w:t>
      </w:r>
      <w:r w:rsidR="00715D68">
        <w:t>will</w:t>
      </w:r>
      <w:r w:rsidR="00715D68" w:rsidRPr="004C2818">
        <w:t xml:space="preserve"> encourage and facilitate parents to make timely child support payments for the benefit of their children</w:t>
      </w:r>
      <w:r w:rsidR="00715D68">
        <w:t>, and to reduce debt</w:t>
      </w:r>
      <w:r w:rsidR="00715D68" w:rsidRPr="004C2818">
        <w:t>.</w:t>
      </w:r>
      <w:r w:rsidR="00715D68">
        <w:t xml:space="preserve"> </w:t>
      </w:r>
      <w:r w:rsidR="00EB4E54">
        <w:t xml:space="preserve"> </w:t>
      </w:r>
      <w:r w:rsidR="00256ADC">
        <w:t>While this option has</w:t>
      </w:r>
      <w:r w:rsidR="00715D68">
        <w:t xml:space="preserve"> an implementation cost, </w:t>
      </w:r>
      <w:r w:rsidR="000E0784">
        <w:t xml:space="preserve">the cost is expected to be </w:t>
      </w:r>
      <w:r w:rsidR="000E0784">
        <w:rPr>
          <w:lang w:val="en-GB" w:eastAsia="en-US"/>
        </w:rPr>
        <w:t>p</w:t>
      </w:r>
      <w:r w:rsidR="000E0784" w:rsidRPr="00E15638">
        <w:rPr>
          <w:lang w:val="en-GB" w:eastAsia="en-US"/>
        </w:rPr>
        <w:t>artial</w:t>
      </w:r>
      <w:r w:rsidR="000E0784">
        <w:rPr>
          <w:lang w:val="en-GB" w:eastAsia="en-US"/>
        </w:rPr>
        <w:t>ly</w:t>
      </w:r>
      <w:r w:rsidR="000E0784" w:rsidRPr="00E15638">
        <w:rPr>
          <w:lang w:val="en-GB" w:eastAsia="en-US"/>
        </w:rPr>
        <w:t xml:space="preserve"> offset </w:t>
      </w:r>
      <w:r w:rsidR="000E0784">
        <w:rPr>
          <w:lang w:val="en-GB" w:eastAsia="en-US"/>
        </w:rPr>
        <w:t xml:space="preserve">by </w:t>
      </w:r>
      <w:r w:rsidR="000E0784" w:rsidRPr="00E15638">
        <w:rPr>
          <w:lang w:val="en-GB" w:eastAsia="en-US"/>
        </w:rPr>
        <w:t>shorter term payment arrangements as fewer penalties charges and collected</w:t>
      </w:r>
      <w:r w:rsidR="005623E1">
        <w:rPr>
          <w:lang w:val="en-GB" w:eastAsia="en-US"/>
        </w:rPr>
        <w:t xml:space="preserve"> and i</w:t>
      </w:r>
      <w:r w:rsidR="000E0784" w:rsidRPr="00E15638">
        <w:rPr>
          <w:lang w:val="en-GB" w:eastAsia="en-US"/>
        </w:rPr>
        <w:t xml:space="preserve">ncreased capacity for Inland Revenue to </w:t>
      </w:r>
      <w:r w:rsidR="005623E1">
        <w:rPr>
          <w:lang w:val="en-GB" w:eastAsia="en-US"/>
        </w:rPr>
        <w:t>focus on collectible debt.</w:t>
      </w:r>
    </w:p>
    <w:p w:rsidR="00715D68" w:rsidRDefault="00715D68" w:rsidP="00672439">
      <w:pPr>
        <w:pStyle w:val="TRBodyText"/>
        <w:tabs>
          <w:tab w:val="left" w:pos="567"/>
        </w:tabs>
        <w:spacing w:line="240" w:lineRule="auto"/>
      </w:pPr>
    </w:p>
    <w:p w:rsidR="00C6657E" w:rsidRDefault="00715D68" w:rsidP="00672439">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F624B6">
        <w:t>The</w:t>
      </w:r>
      <w:r w:rsidR="00D718EF">
        <w:t xml:space="preserve"> </w:t>
      </w:r>
      <w:r w:rsidR="00256ADC">
        <w:t xml:space="preserve">pragmatic approach for penalty consideration based on “fair and reasonable” enables more flexible negotiation with </w:t>
      </w:r>
      <w:r w:rsidR="00131E8C">
        <w:t>liable parent</w:t>
      </w:r>
      <w:r w:rsidR="00256ADC">
        <w:t xml:space="preserve">s, opportunity for </w:t>
      </w:r>
      <w:r w:rsidR="00131E8C">
        <w:t>liable parent</w:t>
      </w:r>
      <w:r w:rsidR="00256ADC">
        <w:t xml:space="preserve">s to get debt under control, the </w:t>
      </w:r>
      <w:r w:rsidR="00777D6A">
        <w:t>CIR</w:t>
      </w:r>
      <w:r w:rsidR="00256ADC">
        <w:t xml:space="preserve"> to better focus resources on collecting outstanding financial support rather than penalties that are unlikely to be collected and are 97% impaired</w:t>
      </w:r>
      <w:r w:rsidR="00FC6357">
        <w:t>.</w:t>
      </w:r>
    </w:p>
    <w:p w:rsidR="002C3BE4" w:rsidRDefault="002C3BE4" w:rsidP="00672439">
      <w:pPr>
        <w:pStyle w:val="TRBodyText"/>
        <w:tabs>
          <w:tab w:val="left" w:pos="567"/>
        </w:tabs>
        <w:spacing w:line="240" w:lineRule="auto"/>
      </w:pPr>
    </w:p>
    <w:p w:rsidR="00D718EF" w:rsidRDefault="002C3BE4" w:rsidP="005D628F">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FC6357">
        <w:t>Overall, option 2</w:t>
      </w:r>
      <w:r>
        <w:t xml:space="preserve"> </w:t>
      </w:r>
      <w:r w:rsidR="00996899">
        <w:t>is</w:t>
      </w:r>
      <w:r>
        <w:t xml:space="preserve"> recommended </w:t>
      </w:r>
      <w:r w:rsidR="00996899">
        <w:t xml:space="preserve">as it </w:t>
      </w:r>
      <w:r w:rsidR="00FC6357">
        <w:t xml:space="preserve">strengthens </w:t>
      </w:r>
      <w:r>
        <w:t xml:space="preserve">the expected benefits to be delivered by the </w:t>
      </w:r>
      <w:r w:rsidR="005623E1">
        <w:t xml:space="preserve">child support </w:t>
      </w:r>
      <w:r>
        <w:t>reforms</w:t>
      </w:r>
      <w:r w:rsidR="005623E1">
        <w:t xml:space="preserve">.  The benefits of option 2 are anticipated to address the older legacy debt through strong incentives for liable parents to repay debt and providing the </w:t>
      </w:r>
      <w:r w:rsidR="00777D6A">
        <w:t>CIR</w:t>
      </w:r>
      <w:r w:rsidR="005623E1">
        <w:t xml:space="preserve"> with additional ne</w:t>
      </w:r>
      <w:r w:rsidR="002F633B">
        <w:t xml:space="preserve">gotiation levers for making </w:t>
      </w:r>
      <w:r w:rsidR="005623E1">
        <w:t>payment arrangements and ability to pragmatically manage the child support debt book.</w:t>
      </w:r>
    </w:p>
    <w:p w:rsidR="002F633B" w:rsidRPr="004C2818" w:rsidRDefault="002F633B" w:rsidP="00D718EF">
      <w:pPr>
        <w:pStyle w:val="TRBodyText"/>
        <w:tabs>
          <w:tab w:val="left" w:pos="567"/>
        </w:tabs>
        <w:spacing w:line="240" w:lineRule="auto"/>
        <w:ind w:left="720"/>
      </w:pPr>
    </w:p>
    <w:p w:rsidR="00F673FF" w:rsidRDefault="00F673FF">
      <w:pPr>
        <w:rPr>
          <w:b/>
          <w:caps/>
          <w:lang w:val="en-AU" w:eastAsia="en-US"/>
        </w:rPr>
      </w:pPr>
      <w:r>
        <w:rPr>
          <w:b/>
          <w:caps/>
        </w:rPr>
        <w:br w:type="page"/>
      </w:r>
    </w:p>
    <w:p w:rsidR="00AB7312" w:rsidRPr="005D628F" w:rsidRDefault="00AB7312" w:rsidP="005D628F">
      <w:pPr>
        <w:pStyle w:val="Bullet-list"/>
        <w:numPr>
          <w:ilvl w:val="0"/>
          <w:numId w:val="0"/>
        </w:numPr>
        <w:spacing w:after="0" w:line="240" w:lineRule="auto"/>
        <w:rPr>
          <w:rFonts w:ascii="Times New Roman" w:hAnsi="Times New Roman"/>
          <w:b/>
          <w:caps/>
          <w:sz w:val="24"/>
          <w:szCs w:val="24"/>
        </w:rPr>
      </w:pPr>
      <w:r w:rsidRPr="005D628F">
        <w:rPr>
          <w:rFonts w:ascii="Times New Roman" w:hAnsi="Times New Roman"/>
          <w:b/>
          <w:caps/>
          <w:sz w:val="24"/>
          <w:szCs w:val="24"/>
        </w:rPr>
        <w:lastRenderedPageBreak/>
        <w:t>Implementation</w:t>
      </w:r>
    </w:p>
    <w:p w:rsidR="00AB7312" w:rsidRPr="004C2818" w:rsidRDefault="00AB7312" w:rsidP="00672439">
      <w:pPr>
        <w:tabs>
          <w:tab w:val="left" w:pos="540"/>
        </w:tabs>
        <w:jc w:val="both"/>
      </w:pPr>
    </w:p>
    <w:p w:rsidR="007E0A60" w:rsidRDefault="00AB7312" w:rsidP="00393428">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F92916">
        <w:t xml:space="preserve">To enable appropriate </w:t>
      </w:r>
      <w:r w:rsidR="00AD26B5">
        <w:t xml:space="preserve">processes </w:t>
      </w:r>
      <w:r w:rsidR="00F92916">
        <w:t>to be in place and required administrative measures to take place before external communications with child support parents can commence the</w:t>
      </w:r>
      <w:r w:rsidR="007E0A60">
        <w:t xml:space="preserve"> legislative amendments </w:t>
      </w:r>
      <w:r w:rsidR="00F92916">
        <w:t>would need to</w:t>
      </w:r>
      <w:r w:rsidR="007E0A60">
        <w:t xml:space="preserve"> be</w:t>
      </w:r>
      <w:r w:rsidR="00AD26B5">
        <w:t xml:space="preserve"> considered </w:t>
      </w:r>
      <w:r w:rsidR="007E0A60">
        <w:t xml:space="preserve">as </w:t>
      </w:r>
      <w:r w:rsidR="00F92916">
        <w:t xml:space="preserve">part of the </w:t>
      </w:r>
      <w:r w:rsidR="00AD26B5">
        <w:t>Bill that was</w:t>
      </w:r>
      <w:r w:rsidR="00F92916">
        <w:t xml:space="preserve"> introduc</w:t>
      </w:r>
      <w:r w:rsidR="00AD26B5">
        <w:t>ed</w:t>
      </w:r>
      <w:r w:rsidR="00DE10C2">
        <w:t xml:space="preserve"> </w:t>
      </w:r>
      <w:r w:rsidR="00AD26B5">
        <w:t>on 26</w:t>
      </w:r>
      <w:r w:rsidR="00F92916">
        <w:t xml:space="preserve"> February 2015.</w:t>
      </w:r>
    </w:p>
    <w:p w:rsidR="007F77CC" w:rsidRDefault="007F77CC" w:rsidP="00393428">
      <w:pPr>
        <w:pStyle w:val="TRBodyText"/>
        <w:tabs>
          <w:tab w:val="left" w:pos="567"/>
        </w:tabs>
        <w:spacing w:line="240" w:lineRule="auto"/>
      </w:pPr>
    </w:p>
    <w:p w:rsidR="007F77CC" w:rsidRDefault="007F77CC" w:rsidP="00393428">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7E0A60">
        <w:t>Once implemented, Inland Revenue will enforce the new legislation as part of its usual business operations.</w:t>
      </w:r>
    </w:p>
    <w:p w:rsidR="007F77CC" w:rsidRDefault="007F77CC" w:rsidP="00393428">
      <w:pPr>
        <w:pStyle w:val="TRBodyText"/>
        <w:tabs>
          <w:tab w:val="left" w:pos="567"/>
        </w:tabs>
        <w:spacing w:line="240" w:lineRule="auto"/>
      </w:pPr>
    </w:p>
    <w:p w:rsidR="007F77CC" w:rsidRDefault="007F77CC" w:rsidP="00393428">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7E0A60">
        <w:t>C</w:t>
      </w:r>
      <w:r>
        <w:t>ommunications will be prepared for child support families and key stakeholders</w:t>
      </w:r>
      <w:r w:rsidR="007E0A60">
        <w:t xml:space="preserve"> to ensure they understand the changes</w:t>
      </w:r>
      <w:r>
        <w:t>.</w:t>
      </w:r>
      <w:r w:rsidR="00F92916">
        <w:t xml:space="preserve"> </w:t>
      </w:r>
      <w:r w:rsidR="00B93ECE">
        <w:t xml:space="preserve"> </w:t>
      </w:r>
      <w:r>
        <w:t xml:space="preserve">Inland Revenue websites will be updated, and an article included in a </w:t>
      </w:r>
      <w:r w:rsidRPr="007F77CC">
        <w:rPr>
          <w:i/>
        </w:rPr>
        <w:t>Tax Information Bulletin</w:t>
      </w:r>
      <w:r>
        <w:t xml:space="preserve">. </w:t>
      </w:r>
    </w:p>
    <w:p w:rsidR="00AB7312" w:rsidRPr="004C2818" w:rsidRDefault="00AB7312" w:rsidP="00393428">
      <w:pPr>
        <w:tabs>
          <w:tab w:val="left" w:pos="567"/>
        </w:tabs>
        <w:jc w:val="both"/>
      </w:pPr>
    </w:p>
    <w:p w:rsidR="00376F90" w:rsidRPr="004C2818" w:rsidRDefault="00376F90" w:rsidP="00393428">
      <w:pPr>
        <w:tabs>
          <w:tab w:val="left" w:pos="567"/>
        </w:tabs>
        <w:jc w:val="both"/>
      </w:pPr>
    </w:p>
    <w:p w:rsidR="00AB7312" w:rsidRPr="004C2818" w:rsidRDefault="00AB7312" w:rsidP="00393428">
      <w:pPr>
        <w:tabs>
          <w:tab w:val="left" w:pos="567"/>
        </w:tabs>
        <w:jc w:val="both"/>
        <w:rPr>
          <w:b/>
          <w:caps/>
        </w:rPr>
      </w:pPr>
      <w:r w:rsidRPr="004C2818">
        <w:rPr>
          <w:b/>
          <w:caps/>
        </w:rPr>
        <w:t>Monitoring, evaluation and review</w:t>
      </w:r>
    </w:p>
    <w:p w:rsidR="00AB7312" w:rsidRPr="004C2818" w:rsidRDefault="00AB7312" w:rsidP="00393428">
      <w:pPr>
        <w:pStyle w:val="TRBodyText"/>
        <w:tabs>
          <w:tab w:val="left" w:pos="567"/>
        </w:tabs>
        <w:spacing w:line="240" w:lineRule="auto"/>
      </w:pPr>
    </w:p>
    <w:p w:rsidR="00EE5A49" w:rsidRDefault="00AB7312" w:rsidP="00376F90">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7E0A60">
        <w:t>A program</w:t>
      </w:r>
      <w:r w:rsidR="002D3B92">
        <w:t>me governance group will oversee the implementation of the changes to ensure the legislative changes are delivered correctly.</w:t>
      </w:r>
      <w:r w:rsidR="007F77CC">
        <w:t xml:space="preserve"> </w:t>
      </w:r>
      <w:r w:rsidR="00B93ECE">
        <w:t xml:space="preserve"> </w:t>
      </w:r>
      <w:r w:rsidR="002D3B92">
        <w:t xml:space="preserve">The changes, once implemented, will be monitored by senior managers to ensure they achieve the objectives. </w:t>
      </w:r>
      <w:r w:rsidR="00B93ECE">
        <w:t xml:space="preserve"> </w:t>
      </w:r>
      <w:r w:rsidR="007F77CC">
        <w:t>Any issues will be raised through Inland Revenue’s internal processes</w:t>
      </w:r>
      <w:r w:rsidR="002D3B92">
        <w:t>.</w:t>
      </w:r>
      <w:r w:rsidR="007F77CC">
        <w:t xml:space="preserve"> </w:t>
      </w:r>
      <w:r w:rsidR="00B93ECE">
        <w:t xml:space="preserve"> </w:t>
      </w:r>
      <w:r w:rsidR="00EE5A49">
        <w:t xml:space="preserve">Complaints and correspondence will also be analysed to identify any issues with the new legislation or the implementation. </w:t>
      </w:r>
    </w:p>
    <w:p w:rsidR="00EE5A49" w:rsidRDefault="00EE5A49" w:rsidP="00376F90">
      <w:pPr>
        <w:pStyle w:val="TRBodyText"/>
        <w:tabs>
          <w:tab w:val="left" w:pos="567"/>
        </w:tabs>
        <w:spacing w:line="240" w:lineRule="auto"/>
      </w:pPr>
    </w:p>
    <w:p w:rsidR="00AB7312" w:rsidRDefault="00EE5A49" w:rsidP="00376F90">
      <w:pPr>
        <w:pStyle w:val="TRBodyText"/>
        <w:tabs>
          <w:tab w:val="left" w:pos="567"/>
        </w:tabs>
        <w:spacing w:line="240" w:lineRule="auto"/>
      </w:pPr>
      <w:r w:rsidRPr="004C2818">
        <w:fldChar w:fldCharType="begin"/>
      </w:r>
      <w:r w:rsidRPr="004C2818">
        <w:instrText xml:space="preserve"> AUTONUM  </w:instrText>
      </w:r>
      <w:r w:rsidRPr="004C2818">
        <w:fldChar w:fldCharType="end"/>
      </w:r>
      <w:r w:rsidRPr="004C2818">
        <w:tab/>
      </w:r>
      <w:r w:rsidR="002D3B92">
        <w:t xml:space="preserve">In accordance with the </w:t>
      </w:r>
      <w:r w:rsidR="00627094">
        <w:t>Generic</w:t>
      </w:r>
      <w:r w:rsidR="002D3B92">
        <w:t xml:space="preserve"> Tax Policy Process</w:t>
      </w:r>
      <w:r w:rsidR="00E0417C">
        <w:t xml:space="preserve"> (GTTP)</w:t>
      </w:r>
      <w:r w:rsidR="002D3B92">
        <w:t xml:space="preserve">, the legislation will be reviewed </w:t>
      </w:r>
      <w:r w:rsidR="007F77CC">
        <w:t>and remedial changes may be included on a future tax policy work programme</w:t>
      </w:r>
      <w:r w:rsidR="002D3B92">
        <w:t>, subject to resources and priority</w:t>
      </w:r>
      <w:r w:rsidR="007F77CC">
        <w:t>.</w:t>
      </w:r>
    </w:p>
    <w:p w:rsidR="00376F90" w:rsidRDefault="00376F90" w:rsidP="008F341F">
      <w:pPr>
        <w:pStyle w:val="TRBodyText"/>
        <w:tabs>
          <w:tab w:val="left" w:pos="567"/>
        </w:tabs>
        <w:spacing w:line="240" w:lineRule="auto"/>
      </w:pPr>
    </w:p>
    <w:p w:rsidR="00E0417C" w:rsidRPr="00FB71E5" w:rsidRDefault="00E0417C" w:rsidP="00E0417C">
      <w:pPr>
        <w:jc w:val="both"/>
      </w:pPr>
      <w:r w:rsidRPr="00FB71E5">
        <w:fldChar w:fldCharType="begin"/>
      </w:r>
      <w:r w:rsidRPr="00FB71E5">
        <w:instrText xml:space="preserve"> AUTONUM  </w:instrText>
      </w:r>
      <w:r w:rsidRPr="00FB71E5">
        <w:fldChar w:fldCharType="end"/>
      </w:r>
      <w:r w:rsidRPr="00FB71E5">
        <w:tab/>
      </w:r>
      <w:r w:rsidRPr="007F3E41">
        <w:t>In general, Inland Revenue’s monitoring, evaluation and review of new legislation takes place under the GTPP</w:t>
      </w:r>
      <w:r>
        <w:t>:</w:t>
      </w:r>
      <w:r w:rsidRPr="007F3E41">
        <w:t xml:space="preserve"> a multi-stage tax policy process that has been used to design tax policy in New Zealand since 1995. </w:t>
      </w:r>
      <w:r w:rsidR="002C271E">
        <w:t xml:space="preserve"> </w:t>
      </w:r>
      <w:r w:rsidRPr="007F3E41">
        <w:t xml:space="preserve">The final stage in the GTPP </w:t>
      </w:r>
      <w:r>
        <w:t>contemplates</w:t>
      </w:r>
      <w:r w:rsidRPr="007F3E41">
        <w:t xml:space="preserve"> the implementation and review stage, which </w:t>
      </w:r>
      <w:r>
        <w:t xml:space="preserve">can </w:t>
      </w:r>
      <w:r w:rsidRPr="007F3E41">
        <w:t>involve post-implementation review of the legislation, and the identification of any remedial issues.</w:t>
      </w:r>
      <w:r w:rsidR="00B93ECE">
        <w:t xml:space="preserve"> </w:t>
      </w:r>
      <w:r w:rsidRPr="007F3E41">
        <w:t xml:space="preserve"> Opportunities for external consultation are also built into this stage. In practice, any changes identified as necessary for the new legislation to have its intended effect would generally be added to the Tax Policy Work Programme, and proposals would go through the GTPP.</w:t>
      </w:r>
    </w:p>
    <w:sectPr w:rsidR="00E0417C" w:rsidRPr="00FB71E5" w:rsidSect="0018251E">
      <w:pgSz w:w="11906" w:h="16838" w:code="9"/>
      <w:pgMar w:top="1418"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B7" w:rsidRDefault="00CA41B7" w:rsidP="003467AD">
      <w:r>
        <w:separator/>
      </w:r>
    </w:p>
  </w:endnote>
  <w:endnote w:type="continuationSeparator" w:id="0">
    <w:p w:rsidR="00CA41B7" w:rsidRDefault="00CA41B7" w:rsidP="0034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F5" w:rsidRPr="00B57CDE" w:rsidRDefault="00E74CF5" w:rsidP="00B57CDE">
    <w:pPr>
      <w:pStyle w:val="Footer"/>
      <w:jc w:val="center"/>
      <w:rPr>
        <w:sz w:val="20"/>
        <w:szCs w:val="20"/>
      </w:rPr>
    </w:pPr>
    <w:r w:rsidRPr="00B57CDE">
      <w:rPr>
        <w:rStyle w:val="PageNumber"/>
        <w:sz w:val="20"/>
        <w:szCs w:val="20"/>
      </w:rPr>
      <w:fldChar w:fldCharType="begin"/>
    </w:r>
    <w:r w:rsidRPr="00B57CDE">
      <w:rPr>
        <w:rStyle w:val="PageNumber"/>
        <w:sz w:val="20"/>
        <w:szCs w:val="20"/>
      </w:rPr>
      <w:instrText xml:space="preserve"> PAGE </w:instrText>
    </w:r>
    <w:r w:rsidRPr="00B57CDE">
      <w:rPr>
        <w:rStyle w:val="PageNumber"/>
        <w:sz w:val="20"/>
        <w:szCs w:val="20"/>
      </w:rPr>
      <w:fldChar w:fldCharType="separate"/>
    </w:r>
    <w:r w:rsidR="00193062">
      <w:rPr>
        <w:rStyle w:val="PageNumber"/>
        <w:noProof/>
        <w:sz w:val="20"/>
        <w:szCs w:val="20"/>
      </w:rPr>
      <w:t>1</w:t>
    </w:r>
    <w:r w:rsidRPr="00B57CD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B7" w:rsidRDefault="00CA41B7" w:rsidP="003467AD">
      <w:r>
        <w:separator/>
      </w:r>
    </w:p>
  </w:footnote>
  <w:footnote w:type="continuationSeparator" w:id="0">
    <w:p w:rsidR="00CA41B7" w:rsidRDefault="00CA41B7" w:rsidP="003467AD">
      <w:r>
        <w:continuationSeparator/>
      </w:r>
    </w:p>
  </w:footnote>
  <w:footnote w:id="1">
    <w:p w:rsidR="00E74CF5" w:rsidRDefault="00E74CF5">
      <w:pPr>
        <w:pStyle w:val="FootnoteText"/>
      </w:pPr>
      <w:r>
        <w:rPr>
          <w:rStyle w:val="FootnoteReference"/>
        </w:rPr>
        <w:footnoteRef/>
      </w:r>
      <w:r>
        <w:t xml:space="preserve"> C</w:t>
      </w:r>
      <w:r w:rsidRPr="00784E85">
        <w:t>hanges to liabilities for prisoner and long-term hospital patients came into effect on 1 April 2014.</w:t>
      </w:r>
      <w:r>
        <w:t xml:space="preserve"> These were small changes that required no system changes to implement.  There are also transitional provisions that came into effect from date of Royal assent.</w:t>
      </w:r>
    </w:p>
  </w:footnote>
  <w:footnote w:id="2">
    <w:p w:rsidR="00E74CF5" w:rsidRDefault="00E74CF5" w:rsidP="009D1283">
      <w:pPr>
        <w:pStyle w:val="FootnoteText"/>
      </w:pPr>
      <w:r>
        <w:rPr>
          <w:rStyle w:val="FootnoteReference"/>
        </w:rPr>
        <w:footnoteRef/>
      </w:r>
      <w:r>
        <w:t xml:space="preserve"> ‘Other International’ includes the collection of debts owed by liable parents residing in New Zealand for the Australian Department of Human Services.</w:t>
      </w:r>
    </w:p>
  </w:footnote>
  <w:footnote w:id="3">
    <w:p w:rsidR="00E74CF5" w:rsidRPr="0063019E" w:rsidRDefault="00E74CF5">
      <w:pPr>
        <w:pStyle w:val="FootnoteText"/>
        <w:rPr>
          <w:i/>
        </w:rPr>
      </w:pPr>
      <w:r>
        <w:rPr>
          <w:rStyle w:val="FootnoteReference"/>
        </w:rPr>
        <w:footnoteRef/>
      </w:r>
      <w:r>
        <w:t xml:space="preserve"> RIS – </w:t>
      </w:r>
      <w:r>
        <w:rPr>
          <w:i/>
        </w:rPr>
        <w:t>Child Support Scheme Reform, 26 July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D0"/>
    <w:multiLevelType w:val="hybridMultilevel"/>
    <w:tmpl w:val="975401A2"/>
    <w:lvl w:ilvl="0" w:tplc="00ECBE7E">
      <w:start w:val="1"/>
      <w:numFmt w:val="bullet"/>
      <w:pStyle w:val="Bullets"/>
      <w:lvlText w:val=""/>
      <w:lvlJc w:val="left"/>
      <w:pPr>
        <w:tabs>
          <w:tab w:val="num" w:pos="1211"/>
        </w:tabs>
        <w:ind w:left="1211" w:hanging="851"/>
      </w:pPr>
      <w:rPr>
        <w:rFonts w:ascii="Symbol" w:hAnsi="Symbol" w:hint="default"/>
      </w:rPr>
    </w:lvl>
    <w:lvl w:ilvl="1" w:tplc="FEEA1276">
      <w:start w:val="175"/>
      <w:numFmt w:val="bullet"/>
      <w:lvlText w:val="–"/>
      <w:lvlJc w:val="left"/>
      <w:pPr>
        <w:tabs>
          <w:tab w:val="num" w:pos="1800"/>
        </w:tabs>
        <w:ind w:left="1800" w:hanging="72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3F2E62"/>
    <w:multiLevelType w:val="multilevel"/>
    <w:tmpl w:val="2D7C6D3C"/>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2">
    <w:nsid w:val="04A54FDE"/>
    <w:multiLevelType w:val="hybridMultilevel"/>
    <w:tmpl w:val="41C6A8D0"/>
    <w:lvl w:ilvl="0" w:tplc="A4386B5C">
      <w:start w:val="1"/>
      <w:numFmt w:val="decimal"/>
      <w:lvlText w:val="2.%1"/>
      <w:lvlJc w:val="left"/>
      <w:pPr>
        <w:ind w:left="754" w:hanging="360"/>
      </w:pPr>
      <w:rPr>
        <w:rFonts w:hint="default"/>
      </w:rPr>
    </w:lvl>
    <w:lvl w:ilvl="1" w:tplc="14090019" w:tentative="1">
      <w:start w:val="1"/>
      <w:numFmt w:val="lowerLetter"/>
      <w:lvlText w:val="%2."/>
      <w:lvlJc w:val="left"/>
      <w:pPr>
        <w:ind w:left="1267" w:hanging="360"/>
      </w:pPr>
    </w:lvl>
    <w:lvl w:ilvl="2" w:tplc="1409001B" w:tentative="1">
      <w:start w:val="1"/>
      <w:numFmt w:val="lowerRoman"/>
      <w:lvlText w:val="%3."/>
      <w:lvlJc w:val="right"/>
      <w:pPr>
        <w:ind w:left="1987" w:hanging="180"/>
      </w:pPr>
    </w:lvl>
    <w:lvl w:ilvl="3" w:tplc="1409000F" w:tentative="1">
      <w:start w:val="1"/>
      <w:numFmt w:val="decimal"/>
      <w:lvlText w:val="%4."/>
      <w:lvlJc w:val="left"/>
      <w:pPr>
        <w:ind w:left="2707" w:hanging="360"/>
      </w:pPr>
    </w:lvl>
    <w:lvl w:ilvl="4" w:tplc="14090019" w:tentative="1">
      <w:start w:val="1"/>
      <w:numFmt w:val="lowerLetter"/>
      <w:lvlText w:val="%5."/>
      <w:lvlJc w:val="left"/>
      <w:pPr>
        <w:ind w:left="3427" w:hanging="360"/>
      </w:pPr>
    </w:lvl>
    <w:lvl w:ilvl="5" w:tplc="1409001B" w:tentative="1">
      <w:start w:val="1"/>
      <w:numFmt w:val="lowerRoman"/>
      <w:lvlText w:val="%6."/>
      <w:lvlJc w:val="right"/>
      <w:pPr>
        <w:ind w:left="4147" w:hanging="180"/>
      </w:pPr>
    </w:lvl>
    <w:lvl w:ilvl="6" w:tplc="1409000F" w:tentative="1">
      <w:start w:val="1"/>
      <w:numFmt w:val="decimal"/>
      <w:lvlText w:val="%7."/>
      <w:lvlJc w:val="left"/>
      <w:pPr>
        <w:ind w:left="4867" w:hanging="360"/>
      </w:pPr>
    </w:lvl>
    <w:lvl w:ilvl="7" w:tplc="14090019" w:tentative="1">
      <w:start w:val="1"/>
      <w:numFmt w:val="lowerLetter"/>
      <w:lvlText w:val="%8."/>
      <w:lvlJc w:val="left"/>
      <w:pPr>
        <w:ind w:left="5587" w:hanging="360"/>
      </w:pPr>
    </w:lvl>
    <w:lvl w:ilvl="8" w:tplc="1409001B" w:tentative="1">
      <w:start w:val="1"/>
      <w:numFmt w:val="lowerRoman"/>
      <w:lvlText w:val="%9."/>
      <w:lvlJc w:val="right"/>
      <w:pPr>
        <w:ind w:left="6307" w:hanging="180"/>
      </w:pPr>
    </w:lvl>
  </w:abstractNum>
  <w:abstractNum w:abstractNumId="3">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4">
    <w:nsid w:val="07E477BB"/>
    <w:multiLevelType w:val="hybridMultilevel"/>
    <w:tmpl w:val="3ABE07D4"/>
    <w:lvl w:ilvl="0" w:tplc="0FEAE01C">
      <w:start w:val="1"/>
      <w:numFmt w:val="decimal"/>
      <w:pStyle w:val="Chapter4"/>
      <w:lvlText w:val="4.%1"/>
      <w:lvlJc w:val="left"/>
      <w:pPr>
        <w:tabs>
          <w:tab w:val="num" w:pos="851"/>
        </w:tabs>
        <w:ind w:left="851" w:hanging="851"/>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nsid w:val="08CA60BA"/>
    <w:multiLevelType w:val="hybridMultilevel"/>
    <w:tmpl w:val="CA20C15C"/>
    <w:lvl w:ilvl="0" w:tplc="CA0232E2">
      <w:start w:val="2"/>
      <w:numFmt w:val="decimal"/>
      <w:lvlText w:val="%1."/>
      <w:lvlJc w:val="left"/>
      <w:pPr>
        <w:ind w:left="927" w:hanging="360"/>
      </w:pPr>
      <w:rPr>
        <w:rFonts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nsid w:val="0995551C"/>
    <w:multiLevelType w:val="hybridMultilevel"/>
    <w:tmpl w:val="97506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251711"/>
    <w:multiLevelType w:val="hybridMultilevel"/>
    <w:tmpl w:val="4184D798"/>
    <w:lvl w:ilvl="0" w:tplc="14090001">
      <w:start w:val="1"/>
      <w:numFmt w:val="bullet"/>
      <w:pStyle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16C372CB"/>
    <w:multiLevelType w:val="hybridMultilevel"/>
    <w:tmpl w:val="8724EE90"/>
    <w:lvl w:ilvl="0" w:tplc="0C090001">
      <w:start w:val="1"/>
      <w:numFmt w:val="decimal"/>
      <w:pStyle w:val="Chapter7"/>
      <w:lvlText w:val="7.%1"/>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nsid w:val="17251CBA"/>
    <w:multiLevelType w:val="hybridMultilevel"/>
    <w:tmpl w:val="44F6178C"/>
    <w:lvl w:ilvl="0" w:tplc="0C090001">
      <w:start w:val="1"/>
      <w:numFmt w:val="bullet"/>
      <w:pStyle w:val="IndentedQuotedotpoin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79611E4"/>
    <w:multiLevelType w:val="hybridMultilevel"/>
    <w:tmpl w:val="27B831DA"/>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1">
    <w:nsid w:val="19662572"/>
    <w:multiLevelType w:val="hybridMultilevel"/>
    <w:tmpl w:val="6D085018"/>
    <w:lvl w:ilvl="0" w:tplc="FFFFFFFF">
      <w:start w:val="1"/>
      <w:numFmt w:val="bullet"/>
      <w:pStyle w:val="Bullet-list"/>
      <w:lvlText w:val=""/>
      <w:lvlJc w:val="left"/>
      <w:pPr>
        <w:tabs>
          <w:tab w:val="num" w:pos="907"/>
        </w:tabs>
        <w:ind w:left="907" w:hanging="54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13">
    <w:nsid w:val="1DF45200"/>
    <w:multiLevelType w:val="hybridMultilevel"/>
    <w:tmpl w:val="FCE46506"/>
    <w:lvl w:ilvl="0" w:tplc="1D2C6B18">
      <w:start w:val="1"/>
      <w:numFmt w:val="decimal"/>
      <w:pStyle w:val="Chapter50"/>
      <w:lvlText w:val="5.%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nsid w:val="29112796"/>
    <w:multiLevelType w:val="hybridMultilevel"/>
    <w:tmpl w:val="AE580D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0F43657"/>
    <w:multiLevelType w:val="hybridMultilevel"/>
    <w:tmpl w:val="41C6A8D0"/>
    <w:lvl w:ilvl="0" w:tplc="A4386B5C">
      <w:start w:val="1"/>
      <w:numFmt w:val="decimal"/>
      <w:lvlText w:val="2.%1"/>
      <w:lvlJc w:val="left"/>
      <w:pPr>
        <w:ind w:left="754" w:hanging="360"/>
      </w:pPr>
      <w:rPr>
        <w:rFonts w:hint="default"/>
      </w:rPr>
    </w:lvl>
    <w:lvl w:ilvl="1" w:tplc="14090019" w:tentative="1">
      <w:start w:val="1"/>
      <w:numFmt w:val="lowerLetter"/>
      <w:lvlText w:val="%2."/>
      <w:lvlJc w:val="left"/>
      <w:pPr>
        <w:ind w:left="1267" w:hanging="360"/>
      </w:pPr>
    </w:lvl>
    <w:lvl w:ilvl="2" w:tplc="1409001B" w:tentative="1">
      <w:start w:val="1"/>
      <w:numFmt w:val="lowerRoman"/>
      <w:lvlText w:val="%3."/>
      <w:lvlJc w:val="right"/>
      <w:pPr>
        <w:ind w:left="1987" w:hanging="180"/>
      </w:pPr>
    </w:lvl>
    <w:lvl w:ilvl="3" w:tplc="1409000F" w:tentative="1">
      <w:start w:val="1"/>
      <w:numFmt w:val="decimal"/>
      <w:lvlText w:val="%4."/>
      <w:lvlJc w:val="left"/>
      <w:pPr>
        <w:ind w:left="2707" w:hanging="360"/>
      </w:pPr>
    </w:lvl>
    <w:lvl w:ilvl="4" w:tplc="14090019" w:tentative="1">
      <w:start w:val="1"/>
      <w:numFmt w:val="lowerLetter"/>
      <w:lvlText w:val="%5."/>
      <w:lvlJc w:val="left"/>
      <w:pPr>
        <w:ind w:left="3427" w:hanging="360"/>
      </w:pPr>
    </w:lvl>
    <w:lvl w:ilvl="5" w:tplc="1409001B" w:tentative="1">
      <w:start w:val="1"/>
      <w:numFmt w:val="lowerRoman"/>
      <w:lvlText w:val="%6."/>
      <w:lvlJc w:val="right"/>
      <w:pPr>
        <w:ind w:left="4147" w:hanging="180"/>
      </w:pPr>
    </w:lvl>
    <w:lvl w:ilvl="6" w:tplc="1409000F" w:tentative="1">
      <w:start w:val="1"/>
      <w:numFmt w:val="decimal"/>
      <w:lvlText w:val="%7."/>
      <w:lvlJc w:val="left"/>
      <w:pPr>
        <w:ind w:left="4867" w:hanging="360"/>
      </w:pPr>
    </w:lvl>
    <w:lvl w:ilvl="7" w:tplc="14090019" w:tentative="1">
      <w:start w:val="1"/>
      <w:numFmt w:val="lowerLetter"/>
      <w:lvlText w:val="%8."/>
      <w:lvlJc w:val="left"/>
      <w:pPr>
        <w:ind w:left="5587" w:hanging="360"/>
      </w:pPr>
    </w:lvl>
    <w:lvl w:ilvl="8" w:tplc="1409001B" w:tentative="1">
      <w:start w:val="1"/>
      <w:numFmt w:val="lowerRoman"/>
      <w:lvlText w:val="%9."/>
      <w:lvlJc w:val="right"/>
      <w:pPr>
        <w:ind w:left="6307" w:hanging="180"/>
      </w:pPr>
    </w:lvl>
  </w:abstractNum>
  <w:abstractNum w:abstractNumId="16">
    <w:nsid w:val="32924FF6"/>
    <w:multiLevelType w:val="hybridMultilevel"/>
    <w:tmpl w:val="B21A3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9292296"/>
    <w:multiLevelType w:val="hybridMultilevel"/>
    <w:tmpl w:val="41C6A8D0"/>
    <w:lvl w:ilvl="0" w:tplc="A4386B5C">
      <w:start w:val="1"/>
      <w:numFmt w:val="decimal"/>
      <w:lvlText w:val="2.%1"/>
      <w:lvlJc w:val="left"/>
      <w:pPr>
        <w:ind w:left="754" w:hanging="360"/>
      </w:pPr>
      <w:rPr>
        <w:rFonts w:hint="default"/>
      </w:rPr>
    </w:lvl>
    <w:lvl w:ilvl="1" w:tplc="14090019" w:tentative="1">
      <w:start w:val="1"/>
      <w:numFmt w:val="lowerLetter"/>
      <w:lvlText w:val="%2."/>
      <w:lvlJc w:val="left"/>
      <w:pPr>
        <w:ind w:left="1267" w:hanging="360"/>
      </w:pPr>
    </w:lvl>
    <w:lvl w:ilvl="2" w:tplc="1409001B" w:tentative="1">
      <w:start w:val="1"/>
      <w:numFmt w:val="lowerRoman"/>
      <w:lvlText w:val="%3."/>
      <w:lvlJc w:val="right"/>
      <w:pPr>
        <w:ind w:left="1987" w:hanging="180"/>
      </w:pPr>
    </w:lvl>
    <w:lvl w:ilvl="3" w:tplc="1409000F" w:tentative="1">
      <w:start w:val="1"/>
      <w:numFmt w:val="decimal"/>
      <w:lvlText w:val="%4."/>
      <w:lvlJc w:val="left"/>
      <w:pPr>
        <w:ind w:left="2707" w:hanging="360"/>
      </w:pPr>
    </w:lvl>
    <w:lvl w:ilvl="4" w:tplc="14090019" w:tentative="1">
      <w:start w:val="1"/>
      <w:numFmt w:val="lowerLetter"/>
      <w:lvlText w:val="%5."/>
      <w:lvlJc w:val="left"/>
      <w:pPr>
        <w:ind w:left="3427" w:hanging="360"/>
      </w:pPr>
    </w:lvl>
    <w:lvl w:ilvl="5" w:tplc="1409001B" w:tentative="1">
      <w:start w:val="1"/>
      <w:numFmt w:val="lowerRoman"/>
      <w:lvlText w:val="%6."/>
      <w:lvlJc w:val="right"/>
      <w:pPr>
        <w:ind w:left="4147" w:hanging="180"/>
      </w:pPr>
    </w:lvl>
    <w:lvl w:ilvl="6" w:tplc="1409000F" w:tentative="1">
      <w:start w:val="1"/>
      <w:numFmt w:val="decimal"/>
      <w:lvlText w:val="%7."/>
      <w:lvlJc w:val="left"/>
      <w:pPr>
        <w:ind w:left="4867" w:hanging="360"/>
      </w:pPr>
    </w:lvl>
    <w:lvl w:ilvl="7" w:tplc="14090019" w:tentative="1">
      <w:start w:val="1"/>
      <w:numFmt w:val="lowerLetter"/>
      <w:lvlText w:val="%8."/>
      <w:lvlJc w:val="left"/>
      <w:pPr>
        <w:ind w:left="5587" w:hanging="360"/>
      </w:pPr>
    </w:lvl>
    <w:lvl w:ilvl="8" w:tplc="1409001B" w:tentative="1">
      <w:start w:val="1"/>
      <w:numFmt w:val="lowerRoman"/>
      <w:lvlText w:val="%9."/>
      <w:lvlJc w:val="right"/>
      <w:pPr>
        <w:ind w:left="6307" w:hanging="180"/>
      </w:pPr>
    </w:lvl>
  </w:abstractNum>
  <w:abstractNum w:abstractNumId="19">
    <w:nsid w:val="3E5A3329"/>
    <w:multiLevelType w:val="multilevel"/>
    <w:tmpl w:val="DE503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3AC4E25"/>
    <w:multiLevelType w:val="hybridMultilevel"/>
    <w:tmpl w:val="32D2F3AC"/>
    <w:lvl w:ilvl="0" w:tplc="07E89990">
      <w:start w:val="1"/>
      <w:numFmt w:val="decimal"/>
      <w:pStyle w:val="Chapter6"/>
      <w:lvlText w:val="6.%1"/>
      <w:lvlJc w:val="left"/>
      <w:pPr>
        <w:tabs>
          <w:tab w:val="num" w:pos="851"/>
        </w:tabs>
        <w:ind w:left="851" w:hanging="851"/>
      </w:pPr>
      <w:rPr>
        <w:rFonts w:ascii="Times New Roman" w:hAnsi="Times New Roman"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780008"/>
    <w:multiLevelType w:val="hybridMultilevel"/>
    <w:tmpl w:val="A8FE9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A8A4D4D"/>
    <w:multiLevelType w:val="singleLevel"/>
    <w:tmpl w:val="D8E0C5B0"/>
    <w:lvl w:ilvl="0">
      <w:start w:val="1"/>
      <w:numFmt w:val="decimal"/>
      <w:pStyle w:val="Chapter9"/>
      <w:lvlText w:val="9.%1"/>
      <w:lvlJc w:val="left"/>
      <w:pPr>
        <w:tabs>
          <w:tab w:val="num" w:pos="851"/>
        </w:tabs>
        <w:ind w:left="851" w:hanging="851"/>
      </w:pPr>
      <w:rPr>
        <w:rFonts w:hint="default"/>
        <w:sz w:val="24"/>
      </w:rPr>
    </w:lvl>
  </w:abstractNum>
  <w:abstractNum w:abstractNumId="23">
    <w:nsid w:val="514F7994"/>
    <w:multiLevelType w:val="hybridMultilevel"/>
    <w:tmpl w:val="0CFEC4DC"/>
    <w:lvl w:ilvl="0" w:tplc="A1FA7328">
      <w:start w:val="1"/>
      <w:numFmt w:val="decimal"/>
      <w:pStyle w:val="Chapter1"/>
      <w:lvlText w:val="1.%1"/>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55E57809"/>
    <w:multiLevelType w:val="hybridMultilevel"/>
    <w:tmpl w:val="55DC3B90"/>
    <w:lvl w:ilvl="0" w:tplc="DAFEECA2">
      <w:start w:val="1"/>
      <w:numFmt w:val="decimal"/>
      <w:pStyle w:val="Chapter8"/>
      <w:lvlText w:val="8.%1"/>
      <w:lvlJc w:val="left"/>
      <w:pPr>
        <w:tabs>
          <w:tab w:val="num" w:pos="851"/>
        </w:tabs>
        <w:ind w:left="851" w:hanging="851"/>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nsid w:val="62691D7E"/>
    <w:multiLevelType w:val="hybridMultilevel"/>
    <w:tmpl w:val="5010E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3D535DB"/>
    <w:multiLevelType w:val="hybridMultilevel"/>
    <w:tmpl w:val="A030F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28">
    <w:nsid w:val="6E520B39"/>
    <w:multiLevelType w:val="hybridMultilevel"/>
    <w:tmpl w:val="89CCD916"/>
    <w:lvl w:ilvl="0" w:tplc="2892E524">
      <w:numFmt w:val="bullet"/>
      <w:lvlText w:val="•"/>
      <w:lvlJc w:val="left"/>
      <w:pPr>
        <w:ind w:left="1211"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0">
    <w:nsid w:val="77A417A8"/>
    <w:multiLevelType w:val="multilevel"/>
    <w:tmpl w:val="DAE4EA08"/>
    <w:styleLink w:val="StyleNumberedLeft0cmHanging159cm"/>
    <w:lvl w:ilvl="0">
      <w:start w:val="1"/>
      <w:numFmt w:val="decimal"/>
      <w:lvlText w:val="8.%1"/>
      <w:lvlJc w:val="left"/>
      <w:pPr>
        <w:tabs>
          <w:tab w:val="num" w:pos="851"/>
        </w:tabs>
        <w:ind w:left="851" w:hanging="851"/>
      </w:pPr>
      <w:rPr>
        <w:rFonts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7"/>
  </w:num>
  <w:num w:numId="2">
    <w:abstractNumId w:val="11"/>
  </w:num>
  <w:num w:numId="3">
    <w:abstractNumId w:val="29"/>
  </w:num>
  <w:num w:numId="4">
    <w:abstractNumId w:val="0"/>
  </w:num>
  <w:num w:numId="5">
    <w:abstractNumId w:val="3"/>
  </w:num>
  <w:num w:numId="6">
    <w:abstractNumId w:val="4"/>
  </w:num>
  <w:num w:numId="7">
    <w:abstractNumId w:val="12"/>
  </w:num>
  <w:num w:numId="8">
    <w:abstractNumId w:val="27"/>
  </w:num>
  <w:num w:numId="9">
    <w:abstractNumId w:val="23"/>
  </w:num>
  <w:num w:numId="10">
    <w:abstractNumId w:val="13"/>
  </w:num>
  <w:num w:numId="11">
    <w:abstractNumId w:val="20"/>
  </w:num>
  <w:num w:numId="12">
    <w:abstractNumId w:val="24"/>
  </w:num>
  <w:num w:numId="13">
    <w:abstractNumId w:val="9"/>
  </w:num>
  <w:num w:numId="14">
    <w:abstractNumId w:val="8"/>
  </w:num>
  <w:num w:numId="15">
    <w:abstractNumId w:val="30"/>
  </w:num>
  <w:num w:numId="16">
    <w:abstractNumId w:val="22"/>
  </w:num>
  <w:num w:numId="17">
    <w:abstractNumId w:val="28"/>
  </w:num>
  <w:num w:numId="18">
    <w:abstractNumId w:val="26"/>
  </w:num>
  <w:num w:numId="19">
    <w:abstractNumId w:val="10"/>
  </w:num>
  <w:num w:numId="20">
    <w:abstractNumId w:val="6"/>
  </w:num>
  <w:num w:numId="21">
    <w:abstractNumId w:val="12"/>
  </w:num>
  <w:num w:numId="22">
    <w:abstractNumId w:val="12"/>
  </w:num>
  <w:num w:numId="23">
    <w:abstractNumId w:val="5"/>
  </w:num>
  <w:num w:numId="24">
    <w:abstractNumId w:val="15"/>
  </w:num>
  <w:num w:numId="25">
    <w:abstractNumId w:val="2"/>
  </w:num>
  <w:num w:numId="26">
    <w:abstractNumId w:val="12"/>
  </w:num>
  <w:num w:numId="27">
    <w:abstractNumId w:val="12"/>
  </w:num>
  <w:num w:numId="28">
    <w:abstractNumId w:val="12"/>
  </w:num>
  <w:num w:numId="29">
    <w:abstractNumId w:val="18"/>
  </w:num>
  <w:num w:numId="30">
    <w:abstractNumId w:val="19"/>
  </w:num>
  <w:num w:numId="31">
    <w:abstractNumId w:val="1"/>
  </w:num>
  <w:num w:numId="32">
    <w:abstractNumId w:val="21"/>
  </w:num>
  <w:num w:numId="33">
    <w:abstractNumId w:val="25"/>
  </w:num>
  <w:num w:numId="34">
    <w:abstractNumId w:val="23"/>
  </w:num>
  <w:num w:numId="35">
    <w:abstractNumId w:val="16"/>
  </w:num>
  <w:num w:numId="36">
    <w:abstractNumId w:val="17"/>
  </w:num>
  <w:num w:numId="37">
    <w:abstractNumId w:val="14"/>
  </w:num>
  <w:num w:numId="3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12"/>
    <w:rsid w:val="00001A1B"/>
    <w:rsid w:val="00001C3B"/>
    <w:rsid w:val="000107D4"/>
    <w:rsid w:val="00011F13"/>
    <w:rsid w:val="000135EE"/>
    <w:rsid w:val="000208C0"/>
    <w:rsid w:val="00021EEF"/>
    <w:rsid w:val="00023907"/>
    <w:rsid w:val="00027D40"/>
    <w:rsid w:val="00030788"/>
    <w:rsid w:val="00030DF3"/>
    <w:rsid w:val="00031FE4"/>
    <w:rsid w:val="00032570"/>
    <w:rsid w:val="00035C3D"/>
    <w:rsid w:val="000378DA"/>
    <w:rsid w:val="00037B5C"/>
    <w:rsid w:val="00041F5D"/>
    <w:rsid w:val="00042BC5"/>
    <w:rsid w:val="00045403"/>
    <w:rsid w:val="000464BB"/>
    <w:rsid w:val="00056630"/>
    <w:rsid w:val="00060916"/>
    <w:rsid w:val="00067850"/>
    <w:rsid w:val="00070153"/>
    <w:rsid w:val="000710E1"/>
    <w:rsid w:val="0007275E"/>
    <w:rsid w:val="00077508"/>
    <w:rsid w:val="00081D45"/>
    <w:rsid w:val="00090E88"/>
    <w:rsid w:val="00092CED"/>
    <w:rsid w:val="00094039"/>
    <w:rsid w:val="00094C7A"/>
    <w:rsid w:val="000A118E"/>
    <w:rsid w:val="000A1B66"/>
    <w:rsid w:val="000A3B93"/>
    <w:rsid w:val="000B0491"/>
    <w:rsid w:val="000B18A9"/>
    <w:rsid w:val="000B3A53"/>
    <w:rsid w:val="000B534A"/>
    <w:rsid w:val="000C212E"/>
    <w:rsid w:val="000C3A7B"/>
    <w:rsid w:val="000C491E"/>
    <w:rsid w:val="000D0D7A"/>
    <w:rsid w:val="000D0D98"/>
    <w:rsid w:val="000D177D"/>
    <w:rsid w:val="000D4347"/>
    <w:rsid w:val="000D4535"/>
    <w:rsid w:val="000E00B1"/>
    <w:rsid w:val="000E0784"/>
    <w:rsid w:val="000E1429"/>
    <w:rsid w:val="000E3EFA"/>
    <w:rsid w:val="000E4D63"/>
    <w:rsid w:val="000E73BA"/>
    <w:rsid w:val="000E7C7E"/>
    <w:rsid w:val="000F04F8"/>
    <w:rsid w:val="000F0F88"/>
    <w:rsid w:val="000F3E61"/>
    <w:rsid w:val="000F7F64"/>
    <w:rsid w:val="0010759A"/>
    <w:rsid w:val="001104B1"/>
    <w:rsid w:val="001169F7"/>
    <w:rsid w:val="001235DD"/>
    <w:rsid w:val="00125DCC"/>
    <w:rsid w:val="001261B0"/>
    <w:rsid w:val="001268D8"/>
    <w:rsid w:val="00131E8C"/>
    <w:rsid w:val="001342C1"/>
    <w:rsid w:val="00140D24"/>
    <w:rsid w:val="00144C28"/>
    <w:rsid w:val="001462B3"/>
    <w:rsid w:val="00147958"/>
    <w:rsid w:val="001534CD"/>
    <w:rsid w:val="001569F1"/>
    <w:rsid w:val="00160BF2"/>
    <w:rsid w:val="001633C9"/>
    <w:rsid w:val="001647AE"/>
    <w:rsid w:val="0016661D"/>
    <w:rsid w:val="00173BC3"/>
    <w:rsid w:val="001751FE"/>
    <w:rsid w:val="00176A13"/>
    <w:rsid w:val="00181EF2"/>
    <w:rsid w:val="0018251E"/>
    <w:rsid w:val="00184E8F"/>
    <w:rsid w:val="00185B4F"/>
    <w:rsid w:val="001866DD"/>
    <w:rsid w:val="00191C26"/>
    <w:rsid w:val="001923DA"/>
    <w:rsid w:val="00193062"/>
    <w:rsid w:val="00194ACD"/>
    <w:rsid w:val="001A192E"/>
    <w:rsid w:val="001A2F30"/>
    <w:rsid w:val="001A5293"/>
    <w:rsid w:val="001A6FF7"/>
    <w:rsid w:val="001B0C63"/>
    <w:rsid w:val="001C15C8"/>
    <w:rsid w:val="001C1C89"/>
    <w:rsid w:val="001C5DDE"/>
    <w:rsid w:val="001C761A"/>
    <w:rsid w:val="001C7E67"/>
    <w:rsid w:val="001D0EC7"/>
    <w:rsid w:val="001D1CCF"/>
    <w:rsid w:val="001D3D20"/>
    <w:rsid w:val="001D3E6E"/>
    <w:rsid w:val="001D55FA"/>
    <w:rsid w:val="001D72E8"/>
    <w:rsid w:val="001F13CC"/>
    <w:rsid w:val="001F1F4D"/>
    <w:rsid w:val="001F35FF"/>
    <w:rsid w:val="001F532A"/>
    <w:rsid w:val="001F58FF"/>
    <w:rsid w:val="001F609A"/>
    <w:rsid w:val="002074C9"/>
    <w:rsid w:val="002105C7"/>
    <w:rsid w:val="0021164D"/>
    <w:rsid w:val="00213945"/>
    <w:rsid w:val="002169E2"/>
    <w:rsid w:val="00220597"/>
    <w:rsid w:val="00231F0D"/>
    <w:rsid w:val="00233D43"/>
    <w:rsid w:val="00234989"/>
    <w:rsid w:val="00235609"/>
    <w:rsid w:val="00235D89"/>
    <w:rsid w:val="00244E19"/>
    <w:rsid w:val="00244FB3"/>
    <w:rsid w:val="00245FBC"/>
    <w:rsid w:val="00250CF2"/>
    <w:rsid w:val="00254177"/>
    <w:rsid w:val="00255B5B"/>
    <w:rsid w:val="00256ADC"/>
    <w:rsid w:val="00261A67"/>
    <w:rsid w:val="00263021"/>
    <w:rsid w:val="002656A1"/>
    <w:rsid w:val="002750C6"/>
    <w:rsid w:val="0028122E"/>
    <w:rsid w:val="00283312"/>
    <w:rsid w:val="002910B5"/>
    <w:rsid w:val="002912E7"/>
    <w:rsid w:val="00296684"/>
    <w:rsid w:val="00296980"/>
    <w:rsid w:val="00296F68"/>
    <w:rsid w:val="002A28C5"/>
    <w:rsid w:val="002B0C34"/>
    <w:rsid w:val="002B1BB5"/>
    <w:rsid w:val="002B1EEB"/>
    <w:rsid w:val="002B21FE"/>
    <w:rsid w:val="002B4076"/>
    <w:rsid w:val="002B58B5"/>
    <w:rsid w:val="002C04AE"/>
    <w:rsid w:val="002C13DD"/>
    <w:rsid w:val="002C1E2E"/>
    <w:rsid w:val="002C2363"/>
    <w:rsid w:val="002C271E"/>
    <w:rsid w:val="002C3BE4"/>
    <w:rsid w:val="002C533E"/>
    <w:rsid w:val="002C5592"/>
    <w:rsid w:val="002C5CFC"/>
    <w:rsid w:val="002D17E6"/>
    <w:rsid w:val="002D1E3D"/>
    <w:rsid w:val="002D3B92"/>
    <w:rsid w:val="002D68EA"/>
    <w:rsid w:val="002E145F"/>
    <w:rsid w:val="002E453E"/>
    <w:rsid w:val="002E62D9"/>
    <w:rsid w:val="002E6D79"/>
    <w:rsid w:val="002E75AB"/>
    <w:rsid w:val="002F15E3"/>
    <w:rsid w:val="002F1A99"/>
    <w:rsid w:val="002F633B"/>
    <w:rsid w:val="00301AE5"/>
    <w:rsid w:val="00303BA0"/>
    <w:rsid w:val="00305B90"/>
    <w:rsid w:val="003065BE"/>
    <w:rsid w:val="00307331"/>
    <w:rsid w:val="00307F10"/>
    <w:rsid w:val="003131A0"/>
    <w:rsid w:val="003168FB"/>
    <w:rsid w:val="00321A33"/>
    <w:rsid w:val="00324A3D"/>
    <w:rsid w:val="00324FF3"/>
    <w:rsid w:val="003276C5"/>
    <w:rsid w:val="00332F03"/>
    <w:rsid w:val="003345A2"/>
    <w:rsid w:val="00337943"/>
    <w:rsid w:val="0034192D"/>
    <w:rsid w:val="0034300E"/>
    <w:rsid w:val="00343201"/>
    <w:rsid w:val="00343460"/>
    <w:rsid w:val="00344138"/>
    <w:rsid w:val="00344A93"/>
    <w:rsid w:val="003467AD"/>
    <w:rsid w:val="0036140C"/>
    <w:rsid w:val="003634C3"/>
    <w:rsid w:val="003634D1"/>
    <w:rsid w:val="0036465F"/>
    <w:rsid w:val="00376F90"/>
    <w:rsid w:val="0038084E"/>
    <w:rsid w:val="0038103B"/>
    <w:rsid w:val="00381A09"/>
    <w:rsid w:val="00383D50"/>
    <w:rsid w:val="003858CA"/>
    <w:rsid w:val="003859F9"/>
    <w:rsid w:val="00390E16"/>
    <w:rsid w:val="00392551"/>
    <w:rsid w:val="00393428"/>
    <w:rsid w:val="003940E4"/>
    <w:rsid w:val="00397279"/>
    <w:rsid w:val="00397F0D"/>
    <w:rsid w:val="003A2308"/>
    <w:rsid w:val="003A2F75"/>
    <w:rsid w:val="003A30EF"/>
    <w:rsid w:val="003A5472"/>
    <w:rsid w:val="003B60DB"/>
    <w:rsid w:val="003B772B"/>
    <w:rsid w:val="003C0656"/>
    <w:rsid w:val="003C089B"/>
    <w:rsid w:val="003C19CC"/>
    <w:rsid w:val="003C27E6"/>
    <w:rsid w:val="003D14A9"/>
    <w:rsid w:val="003D3D1E"/>
    <w:rsid w:val="003D4FF7"/>
    <w:rsid w:val="003E0179"/>
    <w:rsid w:val="003E061F"/>
    <w:rsid w:val="003E1BCE"/>
    <w:rsid w:val="003E565F"/>
    <w:rsid w:val="003F05E6"/>
    <w:rsid w:val="003F22FE"/>
    <w:rsid w:val="003F4600"/>
    <w:rsid w:val="003F4B3F"/>
    <w:rsid w:val="003F4B78"/>
    <w:rsid w:val="003F5042"/>
    <w:rsid w:val="00407881"/>
    <w:rsid w:val="00407D41"/>
    <w:rsid w:val="00407F36"/>
    <w:rsid w:val="004100EE"/>
    <w:rsid w:val="004237E6"/>
    <w:rsid w:val="00424265"/>
    <w:rsid w:val="004257F2"/>
    <w:rsid w:val="00426B0E"/>
    <w:rsid w:val="0043048F"/>
    <w:rsid w:val="00430DA4"/>
    <w:rsid w:val="00434988"/>
    <w:rsid w:val="004352A9"/>
    <w:rsid w:val="00436010"/>
    <w:rsid w:val="00453279"/>
    <w:rsid w:val="0046225B"/>
    <w:rsid w:val="004706B9"/>
    <w:rsid w:val="0047110C"/>
    <w:rsid w:val="00476D87"/>
    <w:rsid w:val="0047762B"/>
    <w:rsid w:val="00477ABB"/>
    <w:rsid w:val="00480EFC"/>
    <w:rsid w:val="004852E1"/>
    <w:rsid w:val="0048637A"/>
    <w:rsid w:val="00487051"/>
    <w:rsid w:val="00491CC1"/>
    <w:rsid w:val="00497270"/>
    <w:rsid w:val="004A028E"/>
    <w:rsid w:val="004A215D"/>
    <w:rsid w:val="004A2DC1"/>
    <w:rsid w:val="004A32BC"/>
    <w:rsid w:val="004A7F2E"/>
    <w:rsid w:val="004B0D31"/>
    <w:rsid w:val="004B34E3"/>
    <w:rsid w:val="004B603C"/>
    <w:rsid w:val="004B6D45"/>
    <w:rsid w:val="004C2818"/>
    <w:rsid w:val="004C30B8"/>
    <w:rsid w:val="004C7E99"/>
    <w:rsid w:val="004D221D"/>
    <w:rsid w:val="004D67A6"/>
    <w:rsid w:val="004E0031"/>
    <w:rsid w:val="004E0E3F"/>
    <w:rsid w:val="004E41B7"/>
    <w:rsid w:val="004E5BB5"/>
    <w:rsid w:val="004F0914"/>
    <w:rsid w:val="004F46BD"/>
    <w:rsid w:val="004F4C9C"/>
    <w:rsid w:val="004F6486"/>
    <w:rsid w:val="004F71EB"/>
    <w:rsid w:val="005014BB"/>
    <w:rsid w:val="00504146"/>
    <w:rsid w:val="00507E0D"/>
    <w:rsid w:val="005119E3"/>
    <w:rsid w:val="005134A4"/>
    <w:rsid w:val="0051442B"/>
    <w:rsid w:val="00514EDD"/>
    <w:rsid w:val="00516A12"/>
    <w:rsid w:val="00522649"/>
    <w:rsid w:val="00523EEF"/>
    <w:rsid w:val="00544472"/>
    <w:rsid w:val="0054622E"/>
    <w:rsid w:val="00555DE4"/>
    <w:rsid w:val="005573D5"/>
    <w:rsid w:val="005623E1"/>
    <w:rsid w:val="00567D55"/>
    <w:rsid w:val="00575F1D"/>
    <w:rsid w:val="005762A5"/>
    <w:rsid w:val="00582D85"/>
    <w:rsid w:val="00583309"/>
    <w:rsid w:val="00584E6C"/>
    <w:rsid w:val="0058766C"/>
    <w:rsid w:val="00590D90"/>
    <w:rsid w:val="00594ACD"/>
    <w:rsid w:val="005961B7"/>
    <w:rsid w:val="005A0EA8"/>
    <w:rsid w:val="005A26A5"/>
    <w:rsid w:val="005A40C1"/>
    <w:rsid w:val="005A46EB"/>
    <w:rsid w:val="005A49EC"/>
    <w:rsid w:val="005A6DFD"/>
    <w:rsid w:val="005A7FCA"/>
    <w:rsid w:val="005B07FD"/>
    <w:rsid w:val="005B45EC"/>
    <w:rsid w:val="005C0283"/>
    <w:rsid w:val="005C2890"/>
    <w:rsid w:val="005D5BEA"/>
    <w:rsid w:val="005D628F"/>
    <w:rsid w:val="005E00E3"/>
    <w:rsid w:val="005E2A69"/>
    <w:rsid w:val="005E7E67"/>
    <w:rsid w:val="005F1345"/>
    <w:rsid w:val="005F722E"/>
    <w:rsid w:val="00601C18"/>
    <w:rsid w:val="00604047"/>
    <w:rsid w:val="00604A46"/>
    <w:rsid w:val="00604D24"/>
    <w:rsid w:val="0061569D"/>
    <w:rsid w:val="00617E23"/>
    <w:rsid w:val="00622256"/>
    <w:rsid w:val="00624EE7"/>
    <w:rsid w:val="00627094"/>
    <w:rsid w:val="00627D57"/>
    <w:rsid w:val="0063019E"/>
    <w:rsid w:val="0063114E"/>
    <w:rsid w:val="0063229D"/>
    <w:rsid w:val="00633365"/>
    <w:rsid w:val="00633CF0"/>
    <w:rsid w:val="006366BA"/>
    <w:rsid w:val="00641A5F"/>
    <w:rsid w:val="00641DE3"/>
    <w:rsid w:val="00643A3F"/>
    <w:rsid w:val="00644CB2"/>
    <w:rsid w:val="006476A6"/>
    <w:rsid w:val="006540F2"/>
    <w:rsid w:val="00656D8F"/>
    <w:rsid w:val="00661A41"/>
    <w:rsid w:val="00664BC2"/>
    <w:rsid w:val="00672439"/>
    <w:rsid w:val="00674172"/>
    <w:rsid w:val="006760BF"/>
    <w:rsid w:val="006815D3"/>
    <w:rsid w:val="00684723"/>
    <w:rsid w:val="006912DC"/>
    <w:rsid w:val="006916BA"/>
    <w:rsid w:val="00696692"/>
    <w:rsid w:val="006967A5"/>
    <w:rsid w:val="006A12A7"/>
    <w:rsid w:val="006A4DAF"/>
    <w:rsid w:val="006A5103"/>
    <w:rsid w:val="006B4C17"/>
    <w:rsid w:val="006C04E5"/>
    <w:rsid w:val="006C3904"/>
    <w:rsid w:val="006C57A3"/>
    <w:rsid w:val="006D11E7"/>
    <w:rsid w:val="006D789F"/>
    <w:rsid w:val="006D79C6"/>
    <w:rsid w:val="006E32E3"/>
    <w:rsid w:val="006E5A56"/>
    <w:rsid w:val="006E6C33"/>
    <w:rsid w:val="006F1F03"/>
    <w:rsid w:val="006F1F4F"/>
    <w:rsid w:val="00707237"/>
    <w:rsid w:val="00714523"/>
    <w:rsid w:val="00715D68"/>
    <w:rsid w:val="0072213D"/>
    <w:rsid w:val="007224B2"/>
    <w:rsid w:val="00724201"/>
    <w:rsid w:val="00724D97"/>
    <w:rsid w:val="00727B22"/>
    <w:rsid w:val="00732880"/>
    <w:rsid w:val="00740655"/>
    <w:rsid w:val="00747425"/>
    <w:rsid w:val="0075578C"/>
    <w:rsid w:val="007571C2"/>
    <w:rsid w:val="0076080B"/>
    <w:rsid w:val="00765730"/>
    <w:rsid w:val="00766DD9"/>
    <w:rsid w:val="00770343"/>
    <w:rsid w:val="00773E42"/>
    <w:rsid w:val="00774875"/>
    <w:rsid w:val="007770C3"/>
    <w:rsid w:val="00777D6A"/>
    <w:rsid w:val="007827FB"/>
    <w:rsid w:val="0078370B"/>
    <w:rsid w:val="00784E85"/>
    <w:rsid w:val="0079218B"/>
    <w:rsid w:val="007A1A5C"/>
    <w:rsid w:val="007A3FD3"/>
    <w:rsid w:val="007A6038"/>
    <w:rsid w:val="007B23A6"/>
    <w:rsid w:val="007B3D41"/>
    <w:rsid w:val="007B661C"/>
    <w:rsid w:val="007C6BFA"/>
    <w:rsid w:val="007E017C"/>
    <w:rsid w:val="007E0A60"/>
    <w:rsid w:val="007E2908"/>
    <w:rsid w:val="007E4DE6"/>
    <w:rsid w:val="007F14EC"/>
    <w:rsid w:val="007F41BE"/>
    <w:rsid w:val="007F5DD4"/>
    <w:rsid w:val="007F77CC"/>
    <w:rsid w:val="00804D5F"/>
    <w:rsid w:val="00810F15"/>
    <w:rsid w:val="0081309B"/>
    <w:rsid w:val="00816EFD"/>
    <w:rsid w:val="0082015E"/>
    <w:rsid w:val="0082305B"/>
    <w:rsid w:val="00823BCE"/>
    <w:rsid w:val="008250E6"/>
    <w:rsid w:val="00831799"/>
    <w:rsid w:val="00835F27"/>
    <w:rsid w:val="00837E5F"/>
    <w:rsid w:val="00840044"/>
    <w:rsid w:val="008437F7"/>
    <w:rsid w:val="0084625C"/>
    <w:rsid w:val="00846264"/>
    <w:rsid w:val="0084684E"/>
    <w:rsid w:val="00847EEC"/>
    <w:rsid w:val="00854613"/>
    <w:rsid w:val="0086083A"/>
    <w:rsid w:val="00863B81"/>
    <w:rsid w:val="00865709"/>
    <w:rsid w:val="00866D62"/>
    <w:rsid w:val="00870A17"/>
    <w:rsid w:val="0087175C"/>
    <w:rsid w:val="008733BD"/>
    <w:rsid w:val="0087376F"/>
    <w:rsid w:val="00875ACD"/>
    <w:rsid w:val="008764AF"/>
    <w:rsid w:val="00883925"/>
    <w:rsid w:val="0088720D"/>
    <w:rsid w:val="008967A1"/>
    <w:rsid w:val="008A1A6A"/>
    <w:rsid w:val="008A388F"/>
    <w:rsid w:val="008A509D"/>
    <w:rsid w:val="008A7A68"/>
    <w:rsid w:val="008B2863"/>
    <w:rsid w:val="008B4F6B"/>
    <w:rsid w:val="008B59B7"/>
    <w:rsid w:val="008B7A7A"/>
    <w:rsid w:val="008C0BEB"/>
    <w:rsid w:val="008D1DAF"/>
    <w:rsid w:val="008D4A4D"/>
    <w:rsid w:val="008D752D"/>
    <w:rsid w:val="008E0E4E"/>
    <w:rsid w:val="008E583E"/>
    <w:rsid w:val="008E6889"/>
    <w:rsid w:val="008F0E79"/>
    <w:rsid w:val="008F2925"/>
    <w:rsid w:val="008F2AA1"/>
    <w:rsid w:val="008F341F"/>
    <w:rsid w:val="00902A95"/>
    <w:rsid w:val="00912575"/>
    <w:rsid w:val="0091362B"/>
    <w:rsid w:val="00913F21"/>
    <w:rsid w:val="0092224D"/>
    <w:rsid w:val="009224AD"/>
    <w:rsid w:val="009234F0"/>
    <w:rsid w:val="0092364B"/>
    <w:rsid w:val="00926921"/>
    <w:rsid w:val="00937801"/>
    <w:rsid w:val="00940061"/>
    <w:rsid w:val="00940096"/>
    <w:rsid w:val="009430C2"/>
    <w:rsid w:val="00944F05"/>
    <w:rsid w:val="00946DDD"/>
    <w:rsid w:val="009474B3"/>
    <w:rsid w:val="00953D48"/>
    <w:rsid w:val="00961525"/>
    <w:rsid w:val="00964C44"/>
    <w:rsid w:val="00971C04"/>
    <w:rsid w:val="009722E5"/>
    <w:rsid w:val="009740BC"/>
    <w:rsid w:val="00976D09"/>
    <w:rsid w:val="00980B51"/>
    <w:rsid w:val="00981A52"/>
    <w:rsid w:val="00990B18"/>
    <w:rsid w:val="00993C53"/>
    <w:rsid w:val="00993EB2"/>
    <w:rsid w:val="00996899"/>
    <w:rsid w:val="00997CFB"/>
    <w:rsid w:val="009A3B7F"/>
    <w:rsid w:val="009A5737"/>
    <w:rsid w:val="009B2BF9"/>
    <w:rsid w:val="009B5B89"/>
    <w:rsid w:val="009C3F85"/>
    <w:rsid w:val="009C5979"/>
    <w:rsid w:val="009D0B45"/>
    <w:rsid w:val="009D1283"/>
    <w:rsid w:val="009E6CC5"/>
    <w:rsid w:val="009F0396"/>
    <w:rsid w:val="009F1E54"/>
    <w:rsid w:val="009F21BD"/>
    <w:rsid w:val="00A06045"/>
    <w:rsid w:val="00A07E9B"/>
    <w:rsid w:val="00A07F4B"/>
    <w:rsid w:val="00A10F76"/>
    <w:rsid w:val="00A26CF6"/>
    <w:rsid w:val="00A36719"/>
    <w:rsid w:val="00A37207"/>
    <w:rsid w:val="00A4064F"/>
    <w:rsid w:val="00A42425"/>
    <w:rsid w:val="00A44581"/>
    <w:rsid w:val="00A447A5"/>
    <w:rsid w:val="00A44890"/>
    <w:rsid w:val="00A45628"/>
    <w:rsid w:val="00A47FA1"/>
    <w:rsid w:val="00A501C3"/>
    <w:rsid w:val="00A52079"/>
    <w:rsid w:val="00A6497A"/>
    <w:rsid w:val="00A64F83"/>
    <w:rsid w:val="00A66AF5"/>
    <w:rsid w:val="00A709F4"/>
    <w:rsid w:val="00A7135F"/>
    <w:rsid w:val="00A737F3"/>
    <w:rsid w:val="00A85507"/>
    <w:rsid w:val="00A92184"/>
    <w:rsid w:val="00A97016"/>
    <w:rsid w:val="00AA2E14"/>
    <w:rsid w:val="00AA5D0A"/>
    <w:rsid w:val="00AB053E"/>
    <w:rsid w:val="00AB0896"/>
    <w:rsid w:val="00AB4E9A"/>
    <w:rsid w:val="00AB7312"/>
    <w:rsid w:val="00AB7412"/>
    <w:rsid w:val="00AC0406"/>
    <w:rsid w:val="00AC160B"/>
    <w:rsid w:val="00AC24CE"/>
    <w:rsid w:val="00AC2B32"/>
    <w:rsid w:val="00AD26B5"/>
    <w:rsid w:val="00AD455D"/>
    <w:rsid w:val="00AE0F18"/>
    <w:rsid w:val="00AE38E2"/>
    <w:rsid w:val="00AE5BBE"/>
    <w:rsid w:val="00AF2384"/>
    <w:rsid w:val="00B00A61"/>
    <w:rsid w:val="00B01B82"/>
    <w:rsid w:val="00B03DB3"/>
    <w:rsid w:val="00B074AC"/>
    <w:rsid w:val="00B15E5D"/>
    <w:rsid w:val="00B16506"/>
    <w:rsid w:val="00B16BE6"/>
    <w:rsid w:val="00B30C9B"/>
    <w:rsid w:val="00B3243E"/>
    <w:rsid w:val="00B3476C"/>
    <w:rsid w:val="00B37611"/>
    <w:rsid w:val="00B42F23"/>
    <w:rsid w:val="00B43426"/>
    <w:rsid w:val="00B45C74"/>
    <w:rsid w:val="00B46043"/>
    <w:rsid w:val="00B4622D"/>
    <w:rsid w:val="00B51FDC"/>
    <w:rsid w:val="00B544C0"/>
    <w:rsid w:val="00B54779"/>
    <w:rsid w:val="00B57CDE"/>
    <w:rsid w:val="00B57E49"/>
    <w:rsid w:val="00B63B59"/>
    <w:rsid w:val="00B7708C"/>
    <w:rsid w:val="00B805D8"/>
    <w:rsid w:val="00B83F4A"/>
    <w:rsid w:val="00B87567"/>
    <w:rsid w:val="00B87869"/>
    <w:rsid w:val="00B93ECE"/>
    <w:rsid w:val="00B95005"/>
    <w:rsid w:val="00B956C7"/>
    <w:rsid w:val="00B96DBF"/>
    <w:rsid w:val="00BA40EF"/>
    <w:rsid w:val="00BA47E2"/>
    <w:rsid w:val="00BC07AC"/>
    <w:rsid w:val="00BC0B88"/>
    <w:rsid w:val="00BC14D6"/>
    <w:rsid w:val="00BC7C4C"/>
    <w:rsid w:val="00BE4331"/>
    <w:rsid w:val="00BE66D6"/>
    <w:rsid w:val="00C035A8"/>
    <w:rsid w:val="00C1330B"/>
    <w:rsid w:val="00C13909"/>
    <w:rsid w:val="00C15FA8"/>
    <w:rsid w:val="00C175D9"/>
    <w:rsid w:val="00C204E8"/>
    <w:rsid w:val="00C20887"/>
    <w:rsid w:val="00C20E9E"/>
    <w:rsid w:val="00C20EBC"/>
    <w:rsid w:val="00C24B7B"/>
    <w:rsid w:val="00C2716A"/>
    <w:rsid w:val="00C310CE"/>
    <w:rsid w:val="00C32649"/>
    <w:rsid w:val="00C3743B"/>
    <w:rsid w:val="00C45FBC"/>
    <w:rsid w:val="00C504FF"/>
    <w:rsid w:val="00C53317"/>
    <w:rsid w:val="00C60A0C"/>
    <w:rsid w:val="00C62176"/>
    <w:rsid w:val="00C632A4"/>
    <w:rsid w:val="00C6657E"/>
    <w:rsid w:val="00C76771"/>
    <w:rsid w:val="00C77D25"/>
    <w:rsid w:val="00C800AC"/>
    <w:rsid w:val="00C8239D"/>
    <w:rsid w:val="00C830CC"/>
    <w:rsid w:val="00C87E9C"/>
    <w:rsid w:val="00C91D14"/>
    <w:rsid w:val="00CA41B7"/>
    <w:rsid w:val="00CA507E"/>
    <w:rsid w:val="00CA50C2"/>
    <w:rsid w:val="00CB2AE6"/>
    <w:rsid w:val="00CB2BD5"/>
    <w:rsid w:val="00CB3916"/>
    <w:rsid w:val="00CB644C"/>
    <w:rsid w:val="00CC39D8"/>
    <w:rsid w:val="00CC6B3A"/>
    <w:rsid w:val="00CC6C74"/>
    <w:rsid w:val="00CC746A"/>
    <w:rsid w:val="00CC78E8"/>
    <w:rsid w:val="00CD0A36"/>
    <w:rsid w:val="00CD2A40"/>
    <w:rsid w:val="00CD3240"/>
    <w:rsid w:val="00CE09E7"/>
    <w:rsid w:val="00CE1365"/>
    <w:rsid w:val="00CE2357"/>
    <w:rsid w:val="00CF071C"/>
    <w:rsid w:val="00CF3585"/>
    <w:rsid w:val="00CF3F25"/>
    <w:rsid w:val="00CF5FB3"/>
    <w:rsid w:val="00D00243"/>
    <w:rsid w:val="00D02843"/>
    <w:rsid w:val="00D11C45"/>
    <w:rsid w:val="00D13BE5"/>
    <w:rsid w:val="00D14A94"/>
    <w:rsid w:val="00D14CC4"/>
    <w:rsid w:val="00D16AF7"/>
    <w:rsid w:val="00D33139"/>
    <w:rsid w:val="00D400BC"/>
    <w:rsid w:val="00D40275"/>
    <w:rsid w:val="00D45CF6"/>
    <w:rsid w:val="00D55752"/>
    <w:rsid w:val="00D6550A"/>
    <w:rsid w:val="00D66F92"/>
    <w:rsid w:val="00D718EF"/>
    <w:rsid w:val="00D72B15"/>
    <w:rsid w:val="00D752D3"/>
    <w:rsid w:val="00D75770"/>
    <w:rsid w:val="00D7717A"/>
    <w:rsid w:val="00D77E49"/>
    <w:rsid w:val="00D8766C"/>
    <w:rsid w:val="00D879D5"/>
    <w:rsid w:val="00D9054D"/>
    <w:rsid w:val="00D9260A"/>
    <w:rsid w:val="00D94EDA"/>
    <w:rsid w:val="00D97558"/>
    <w:rsid w:val="00DA4341"/>
    <w:rsid w:val="00DA74CF"/>
    <w:rsid w:val="00DB06D2"/>
    <w:rsid w:val="00DB4E5E"/>
    <w:rsid w:val="00DC1CD8"/>
    <w:rsid w:val="00DD273F"/>
    <w:rsid w:val="00DE0D9B"/>
    <w:rsid w:val="00DE10C2"/>
    <w:rsid w:val="00DE62F2"/>
    <w:rsid w:val="00DE6EBF"/>
    <w:rsid w:val="00DF0845"/>
    <w:rsid w:val="00DF1497"/>
    <w:rsid w:val="00DF1E30"/>
    <w:rsid w:val="00DF5728"/>
    <w:rsid w:val="00E00492"/>
    <w:rsid w:val="00E0109E"/>
    <w:rsid w:val="00E03FCD"/>
    <w:rsid w:val="00E0417C"/>
    <w:rsid w:val="00E04879"/>
    <w:rsid w:val="00E109E9"/>
    <w:rsid w:val="00E15638"/>
    <w:rsid w:val="00E1576D"/>
    <w:rsid w:val="00E163FA"/>
    <w:rsid w:val="00E17D3B"/>
    <w:rsid w:val="00E206A8"/>
    <w:rsid w:val="00E20C0A"/>
    <w:rsid w:val="00E20E59"/>
    <w:rsid w:val="00E30BEE"/>
    <w:rsid w:val="00E30F82"/>
    <w:rsid w:val="00E35D02"/>
    <w:rsid w:val="00E43D40"/>
    <w:rsid w:val="00E4678C"/>
    <w:rsid w:val="00E47BB2"/>
    <w:rsid w:val="00E54454"/>
    <w:rsid w:val="00E55CAD"/>
    <w:rsid w:val="00E60028"/>
    <w:rsid w:val="00E6041F"/>
    <w:rsid w:val="00E608B9"/>
    <w:rsid w:val="00E61FF6"/>
    <w:rsid w:val="00E66A0B"/>
    <w:rsid w:val="00E74CF5"/>
    <w:rsid w:val="00E754C5"/>
    <w:rsid w:val="00E75DCA"/>
    <w:rsid w:val="00E77EF2"/>
    <w:rsid w:val="00E82C4C"/>
    <w:rsid w:val="00E86E53"/>
    <w:rsid w:val="00E96BC5"/>
    <w:rsid w:val="00E96D83"/>
    <w:rsid w:val="00EA04E6"/>
    <w:rsid w:val="00EA1F1E"/>
    <w:rsid w:val="00EA227B"/>
    <w:rsid w:val="00EA29AC"/>
    <w:rsid w:val="00EA4F89"/>
    <w:rsid w:val="00EA70D1"/>
    <w:rsid w:val="00EA7F86"/>
    <w:rsid w:val="00EB4E54"/>
    <w:rsid w:val="00EB782B"/>
    <w:rsid w:val="00EC5CC0"/>
    <w:rsid w:val="00EC702A"/>
    <w:rsid w:val="00EC7C52"/>
    <w:rsid w:val="00EC7D2E"/>
    <w:rsid w:val="00ED0733"/>
    <w:rsid w:val="00ED4B4B"/>
    <w:rsid w:val="00ED71DE"/>
    <w:rsid w:val="00EE2A2E"/>
    <w:rsid w:val="00EE5A49"/>
    <w:rsid w:val="00EF0A76"/>
    <w:rsid w:val="00EF148E"/>
    <w:rsid w:val="00EF2A31"/>
    <w:rsid w:val="00EF49F8"/>
    <w:rsid w:val="00EF54A6"/>
    <w:rsid w:val="00EF6AC1"/>
    <w:rsid w:val="00EF7388"/>
    <w:rsid w:val="00EF7AA3"/>
    <w:rsid w:val="00F01A95"/>
    <w:rsid w:val="00F037AD"/>
    <w:rsid w:val="00F142BE"/>
    <w:rsid w:val="00F17FAD"/>
    <w:rsid w:val="00F2152C"/>
    <w:rsid w:val="00F21869"/>
    <w:rsid w:val="00F22DBF"/>
    <w:rsid w:val="00F24CBF"/>
    <w:rsid w:val="00F262EE"/>
    <w:rsid w:val="00F3726C"/>
    <w:rsid w:val="00F40DFF"/>
    <w:rsid w:val="00F4621A"/>
    <w:rsid w:val="00F4647F"/>
    <w:rsid w:val="00F5528D"/>
    <w:rsid w:val="00F559A8"/>
    <w:rsid w:val="00F55F11"/>
    <w:rsid w:val="00F6043E"/>
    <w:rsid w:val="00F624B6"/>
    <w:rsid w:val="00F65706"/>
    <w:rsid w:val="00F67025"/>
    <w:rsid w:val="00F673D5"/>
    <w:rsid w:val="00F673FF"/>
    <w:rsid w:val="00F67931"/>
    <w:rsid w:val="00F732DA"/>
    <w:rsid w:val="00F85ADC"/>
    <w:rsid w:val="00F87AE8"/>
    <w:rsid w:val="00F92916"/>
    <w:rsid w:val="00F95833"/>
    <w:rsid w:val="00F95F5E"/>
    <w:rsid w:val="00FB1225"/>
    <w:rsid w:val="00FB4745"/>
    <w:rsid w:val="00FB4AC3"/>
    <w:rsid w:val="00FB7646"/>
    <w:rsid w:val="00FC2582"/>
    <w:rsid w:val="00FC2F50"/>
    <w:rsid w:val="00FC4256"/>
    <w:rsid w:val="00FC4601"/>
    <w:rsid w:val="00FC6357"/>
    <w:rsid w:val="00FD35B4"/>
    <w:rsid w:val="00FE2B5D"/>
    <w:rsid w:val="00FE6151"/>
    <w:rsid w:val="00FF0F24"/>
    <w:rsid w:val="00FF3068"/>
    <w:rsid w:val="00FF7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312"/>
    <w:rPr>
      <w:sz w:val="24"/>
      <w:szCs w:val="24"/>
    </w:rPr>
  </w:style>
  <w:style w:type="paragraph" w:styleId="Heading1">
    <w:name w:val="heading 1"/>
    <w:basedOn w:val="Normal"/>
    <w:next w:val="Normal"/>
    <w:qFormat/>
    <w:rsid w:val="00AB731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B73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3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
    <w:name w:val="Char Char1 Char Char Char Char Char Char Char Char"/>
    <w:basedOn w:val="Normal"/>
    <w:rsid w:val="00AB7312"/>
    <w:pPr>
      <w:spacing w:after="160" w:line="240" w:lineRule="exact"/>
    </w:pPr>
    <w:rPr>
      <w:rFonts w:ascii="Verdana" w:hAnsi="Verdana"/>
      <w:sz w:val="20"/>
      <w:szCs w:val="20"/>
      <w:lang w:val="en-US" w:eastAsia="en-US"/>
    </w:rPr>
  </w:style>
  <w:style w:type="paragraph" w:customStyle="1" w:styleId="TRBodyText">
    <w:name w:val="_TRBody Text"/>
    <w:rsid w:val="00AB7312"/>
    <w:pPr>
      <w:spacing w:line="300" w:lineRule="atLeast"/>
      <w:jc w:val="both"/>
    </w:pPr>
    <w:rPr>
      <w:sz w:val="24"/>
      <w:lang w:eastAsia="en-AU"/>
    </w:rPr>
  </w:style>
  <w:style w:type="paragraph" w:customStyle="1" w:styleId="TRListBullet">
    <w:name w:val="_TRList Bullet"/>
    <w:basedOn w:val="Normal"/>
    <w:rsid w:val="00AB7312"/>
    <w:pPr>
      <w:numPr>
        <w:numId w:val="3"/>
      </w:numPr>
      <w:spacing w:after="200" w:line="300" w:lineRule="atLeast"/>
      <w:jc w:val="both"/>
    </w:pPr>
    <w:rPr>
      <w:szCs w:val="20"/>
      <w:lang w:eastAsia="en-AU"/>
    </w:rPr>
  </w:style>
  <w:style w:type="table" w:styleId="TableGrid">
    <w:name w:val="Table Grid"/>
    <w:basedOn w:val="TableNormal"/>
    <w:uiPriority w:val="59"/>
    <w:rsid w:val="00AB7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AB7312"/>
    <w:rPr>
      <w:vertAlign w:val="superscript"/>
    </w:rPr>
  </w:style>
  <w:style w:type="paragraph" w:customStyle="1" w:styleId="TRFootnoteText">
    <w:name w:val="_TRFootnote Text"/>
    <w:basedOn w:val="Normal"/>
    <w:rsid w:val="00AB7312"/>
    <w:pPr>
      <w:spacing w:line="300" w:lineRule="atLeast"/>
      <w:jc w:val="both"/>
    </w:pPr>
    <w:rPr>
      <w:sz w:val="16"/>
      <w:szCs w:val="20"/>
      <w:lang w:eastAsia="en-AU"/>
    </w:rPr>
  </w:style>
  <w:style w:type="paragraph" w:styleId="FootnoteText">
    <w:name w:val="footnote text"/>
    <w:basedOn w:val="Normal"/>
    <w:link w:val="FootnoteTextChar"/>
    <w:uiPriority w:val="99"/>
    <w:semiHidden/>
    <w:rsid w:val="00AB7312"/>
    <w:pPr>
      <w:jc w:val="both"/>
    </w:pPr>
    <w:rPr>
      <w:sz w:val="16"/>
      <w:lang w:eastAsia="en-AU"/>
    </w:rPr>
  </w:style>
  <w:style w:type="paragraph" w:styleId="Header">
    <w:name w:val="header"/>
    <w:basedOn w:val="Normal"/>
    <w:rsid w:val="00AB7312"/>
    <w:pPr>
      <w:tabs>
        <w:tab w:val="center" w:pos="4153"/>
        <w:tab w:val="right" w:pos="8306"/>
      </w:tabs>
    </w:pPr>
  </w:style>
  <w:style w:type="character" w:styleId="PageNumber">
    <w:name w:val="page number"/>
    <w:basedOn w:val="DefaultParagraphFont"/>
    <w:rsid w:val="00AB7312"/>
  </w:style>
  <w:style w:type="paragraph" w:customStyle="1" w:styleId="TRNormal">
    <w:name w:val="_TRNormal"/>
    <w:rsid w:val="00AB7312"/>
    <w:pPr>
      <w:spacing w:line="300" w:lineRule="atLeast"/>
      <w:jc w:val="both"/>
    </w:pPr>
    <w:rPr>
      <w:sz w:val="24"/>
      <w:lang w:eastAsia="en-AU"/>
    </w:rPr>
  </w:style>
  <w:style w:type="paragraph" w:customStyle="1" w:styleId="TRHeading3">
    <w:name w:val="_TRHeading 3"/>
    <w:basedOn w:val="Normal"/>
    <w:next w:val="TRNormal"/>
    <w:rsid w:val="00AB7312"/>
    <w:pPr>
      <w:keepNext/>
      <w:widowControl w:val="0"/>
      <w:spacing w:before="560" w:after="360"/>
    </w:pPr>
    <w:rPr>
      <w:b/>
      <w:i/>
      <w:szCs w:val="20"/>
      <w:lang w:eastAsia="en-AU"/>
    </w:rPr>
  </w:style>
  <w:style w:type="paragraph" w:customStyle="1" w:styleId="TRHeading2">
    <w:name w:val="_TRHeading 2"/>
    <w:basedOn w:val="Normal"/>
    <w:next w:val="TRNormal"/>
    <w:rsid w:val="00AB7312"/>
    <w:pPr>
      <w:keepNext/>
      <w:widowControl w:val="0"/>
      <w:spacing w:before="560" w:after="360"/>
    </w:pPr>
    <w:rPr>
      <w:b/>
      <w:szCs w:val="20"/>
      <w:lang w:eastAsia="en-AU"/>
    </w:rPr>
  </w:style>
  <w:style w:type="paragraph" w:customStyle="1" w:styleId="Bullets">
    <w:name w:val="Bullets"/>
    <w:basedOn w:val="Normal"/>
    <w:rsid w:val="00AB7312"/>
    <w:pPr>
      <w:numPr>
        <w:numId w:val="4"/>
      </w:numPr>
    </w:pPr>
  </w:style>
  <w:style w:type="paragraph" w:styleId="BalloonText">
    <w:name w:val="Balloon Text"/>
    <w:basedOn w:val="Normal"/>
    <w:semiHidden/>
    <w:rsid w:val="00AB7312"/>
    <w:rPr>
      <w:rFonts w:ascii="Tahoma" w:hAnsi="Tahoma" w:cs="Tahoma"/>
      <w:sz w:val="16"/>
      <w:szCs w:val="16"/>
    </w:rPr>
  </w:style>
  <w:style w:type="paragraph" w:customStyle="1" w:styleId="Chapter5">
    <w:name w:val="Chapter 5"/>
    <w:basedOn w:val="Normal"/>
    <w:rsid w:val="00AB7312"/>
    <w:pPr>
      <w:numPr>
        <w:numId w:val="5"/>
      </w:numPr>
      <w:jc w:val="both"/>
    </w:pPr>
    <w:rPr>
      <w:lang w:val="en-GB" w:eastAsia="en-AU"/>
    </w:rPr>
  </w:style>
  <w:style w:type="paragraph" w:customStyle="1" w:styleId="Chapter4">
    <w:name w:val="Chapter 4"/>
    <w:basedOn w:val="Normal"/>
    <w:rsid w:val="00AB7312"/>
    <w:pPr>
      <w:numPr>
        <w:numId w:val="6"/>
      </w:numPr>
      <w:jc w:val="both"/>
    </w:pPr>
    <w:rPr>
      <w:rFonts w:eastAsia="Batang"/>
      <w:lang w:eastAsia="ko-KR"/>
    </w:rPr>
  </w:style>
  <w:style w:type="character" w:styleId="Hyperlink">
    <w:name w:val="Hyperlink"/>
    <w:rsid w:val="00AB7312"/>
    <w:rPr>
      <w:color w:val="0000FF"/>
      <w:u w:val="single"/>
    </w:rPr>
  </w:style>
  <w:style w:type="character" w:styleId="CommentReference">
    <w:name w:val="annotation reference"/>
    <w:uiPriority w:val="99"/>
    <w:semiHidden/>
    <w:rsid w:val="00AB7312"/>
    <w:rPr>
      <w:sz w:val="16"/>
      <w:szCs w:val="16"/>
    </w:rPr>
  </w:style>
  <w:style w:type="paragraph" w:styleId="CommentText">
    <w:name w:val="annotation text"/>
    <w:basedOn w:val="Normal"/>
    <w:link w:val="CommentTextChar"/>
    <w:uiPriority w:val="99"/>
    <w:semiHidden/>
    <w:rsid w:val="00AB7312"/>
  </w:style>
  <w:style w:type="paragraph" w:styleId="CommentSubject">
    <w:name w:val="annotation subject"/>
    <w:basedOn w:val="CommentText"/>
    <w:next w:val="CommentText"/>
    <w:semiHidden/>
    <w:rsid w:val="00AB7312"/>
    <w:rPr>
      <w:b/>
      <w:bCs/>
    </w:rPr>
  </w:style>
  <w:style w:type="paragraph" w:styleId="Footer">
    <w:name w:val="footer"/>
    <w:basedOn w:val="Normal"/>
    <w:rsid w:val="00AB7312"/>
    <w:pPr>
      <w:tabs>
        <w:tab w:val="center" w:pos="4153"/>
        <w:tab w:val="right" w:pos="8306"/>
      </w:tabs>
    </w:pPr>
  </w:style>
  <w:style w:type="paragraph" w:customStyle="1" w:styleId="CharChar">
    <w:name w:val="Char Char"/>
    <w:basedOn w:val="Normal"/>
    <w:rsid w:val="00AB7312"/>
    <w:pPr>
      <w:spacing w:after="160" w:line="240" w:lineRule="exact"/>
    </w:pPr>
    <w:rPr>
      <w:rFonts w:ascii="Verdana" w:hAnsi="Verdana"/>
      <w:sz w:val="20"/>
      <w:szCs w:val="20"/>
      <w:lang w:val="en-US" w:eastAsia="en-US"/>
    </w:rPr>
  </w:style>
  <w:style w:type="paragraph" w:customStyle="1" w:styleId="spacer">
    <w:name w:val="spacer"/>
    <w:basedOn w:val="Normal"/>
    <w:rsid w:val="00AB7312"/>
    <w:rPr>
      <w:rFonts w:ascii="Arial" w:hAnsi="Arial"/>
      <w:sz w:val="16"/>
      <w:szCs w:val="22"/>
      <w:lang w:val="en-GB" w:eastAsia="en-AU"/>
    </w:rPr>
  </w:style>
  <w:style w:type="paragraph" w:customStyle="1" w:styleId="Chapter2">
    <w:name w:val="Chapter 2"/>
    <w:basedOn w:val="Normal"/>
    <w:link w:val="Chapter2Char"/>
    <w:rsid w:val="00AB7312"/>
    <w:pPr>
      <w:numPr>
        <w:numId w:val="7"/>
      </w:numPr>
      <w:jc w:val="both"/>
    </w:pPr>
    <w:rPr>
      <w:snapToGrid w:val="0"/>
      <w:lang w:eastAsia="en-US"/>
    </w:rPr>
  </w:style>
  <w:style w:type="character" w:customStyle="1" w:styleId="Chapter2Char">
    <w:name w:val="Chapter 2 Char"/>
    <w:link w:val="Chapter2"/>
    <w:rsid w:val="00AB7312"/>
    <w:rPr>
      <w:snapToGrid w:val="0"/>
      <w:sz w:val="24"/>
      <w:szCs w:val="24"/>
      <w:lang w:eastAsia="en-US"/>
    </w:rPr>
  </w:style>
  <w:style w:type="paragraph" w:customStyle="1" w:styleId="RISheading">
    <w:name w:val="RIS heading"/>
    <w:basedOn w:val="Heading3"/>
    <w:rsid w:val="00AB7312"/>
    <w:pPr>
      <w:tabs>
        <w:tab w:val="left" w:pos="567"/>
      </w:tabs>
      <w:spacing w:after="180" w:line="300" w:lineRule="atLeast"/>
      <w:ind w:right="170"/>
    </w:pPr>
    <w:rPr>
      <w:rFonts w:ascii="Times New Roman" w:hAnsi="Times New Roman" w:cs="Times New Roman"/>
      <w:bCs w:val="0"/>
      <w:spacing w:val="20"/>
      <w:w w:val="90"/>
      <w:sz w:val="24"/>
      <w:szCs w:val="24"/>
      <w:lang w:val="en-GB" w:eastAsia="en-GB"/>
    </w:rPr>
  </w:style>
  <w:style w:type="character" w:customStyle="1" w:styleId="Heading2Char">
    <w:name w:val="Heading 2 Char"/>
    <w:link w:val="Heading2"/>
    <w:rsid w:val="00AB7312"/>
    <w:rPr>
      <w:rFonts w:ascii="Arial" w:hAnsi="Arial" w:cs="Arial"/>
      <w:b/>
      <w:bCs/>
      <w:i/>
      <w:iCs/>
      <w:sz w:val="28"/>
      <w:szCs w:val="28"/>
      <w:lang w:val="en-NZ" w:eastAsia="en-NZ" w:bidi="ar-SA"/>
    </w:rPr>
  </w:style>
  <w:style w:type="paragraph" w:customStyle="1" w:styleId="Bullet-list">
    <w:name w:val="Bullet-list"/>
    <w:qFormat/>
    <w:rsid w:val="00AB7312"/>
    <w:pPr>
      <w:numPr>
        <w:numId w:val="2"/>
      </w:numPr>
      <w:spacing w:after="180" w:line="280" w:lineRule="exact"/>
    </w:pPr>
    <w:rPr>
      <w:rFonts w:ascii="Arial" w:hAnsi="Arial"/>
      <w:sz w:val="22"/>
      <w:lang w:val="en-AU" w:eastAsia="en-US"/>
    </w:rPr>
  </w:style>
  <w:style w:type="paragraph" w:customStyle="1" w:styleId="Text">
    <w:name w:val="Text"/>
    <w:basedOn w:val="Normal"/>
    <w:link w:val="TextChar"/>
    <w:rsid w:val="00AB7312"/>
    <w:pPr>
      <w:spacing w:before="120" w:after="120" w:line="300" w:lineRule="exact"/>
      <w:jc w:val="both"/>
    </w:pPr>
    <w:rPr>
      <w:rFonts w:ascii="Arial" w:hAnsi="Arial"/>
      <w:sz w:val="22"/>
      <w:lang w:val="en-GB" w:eastAsia="en-US"/>
    </w:rPr>
  </w:style>
  <w:style w:type="character" w:customStyle="1" w:styleId="TextChar">
    <w:name w:val="Text Char"/>
    <w:link w:val="Text"/>
    <w:rsid w:val="00AB7312"/>
    <w:rPr>
      <w:rFonts w:ascii="Arial" w:hAnsi="Arial"/>
      <w:sz w:val="22"/>
      <w:szCs w:val="24"/>
      <w:lang w:val="en-GB" w:eastAsia="en-US" w:bidi="ar-SA"/>
    </w:rPr>
  </w:style>
  <w:style w:type="character" w:customStyle="1" w:styleId="FootnoteTextChar">
    <w:name w:val="Footnote Text Char"/>
    <w:link w:val="FootnoteText"/>
    <w:uiPriority w:val="99"/>
    <w:semiHidden/>
    <w:rsid w:val="00AB7312"/>
    <w:rPr>
      <w:sz w:val="16"/>
      <w:szCs w:val="24"/>
      <w:lang w:val="en-NZ" w:eastAsia="en-AU" w:bidi="ar-SA"/>
    </w:rPr>
  </w:style>
  <w:style w:type="character" w:customStyle="1" w:styleId="CommentTextChar">
    <w:name w:val="Comment Text Char"/>
    <w:link w:val="CommentText"/>
    <w:uiPriority w:val="99"/>
    <w:semiHidden/>
    <w:rsid w:val="00AB7312"/>
    <w:rPr>
      <w:sz w:val="24"/>
      <w:szCs w:val="24"/>
      <w:lang w:val="en-NZ" w:eastAsia="en-NZ" w:bidi="ar-SA"/>
    </w:rPr>
  </w:style>
  <w:style w:type="paragraph" w:customStyle="1" w:styleId="CharCharCharCharCharCharCharCharCharCharCharCharCharCharCharCharCharCharCharChar1">
    <w:name w:val="Char Char Char Char Char Char Char Char Char Char Char Char Char Char Char Char Char Char Char Char1"/>
    <w:basedOn w:val="Normal"/>
    <w:rsid w:val="00AB7312"/>
    <w:pPr>
      <w:spacing w:after="160" w:line="240" w:lineRule="exact"/>
    </w:pPr>
    <w:rPr>
      <w:rFonts w:ascii="Verdana" w:hAnsi="Verdana"/>
      <w:sz w:val="20"/>
      <w:szCs w:val="20"/>
      <w:lang w:val="en-US" w:eastAsia="en-US"/>
    </w:rPr>
  </w:style>
  <w:style w:type="paragraph" w:customStyle="1" w:styleId="Chapter3">
    <w:name w:val="Chapter 3"/>
    <w:basedOn w:val="Chapter2"/>
    <w:link w:val="Chapter3Char1"/>
    <w:rsid w:val="00AB7312"/>
    <w:pPr>
      <w:numPr>
        <w:numId w:val="8"/>
      </w:numPr>
      <w:tabs>
        <w:tab w:val="clear" w:pos="851"/>
        <w:tab w:val="num" w:pos="360"/>
      </w:tabs>
    </w:pPr>
  </w:style>
  <w:style w:type="character" w:customStyle="1" w:styleId="Chapter3Char1">
    <w:name w:val="Chapter 3 Char1"/>
    <w:basedOn w:val="Chapter2Char"/>
    <w:link w:val="Chapter3"/>
    <w:rsid w:val="00AB7312"/>
    <w:rPr>
      <w:snapToGrid w:val="0"/>
      <w:sz w:val="24"/>
      <w:szCs w:val="24"/>
      <w:lang w:eastAsia="en-US"/>
    </w:rPr>
  </w:style>
  <w:style w:type="character" w:customStyle="1" w:styleId="Char3">
    <w:name w:val="Char3"/>
    <w:semiHidden/>
    <w:rsid w:val="00AB7312"/>
    <w:rPr>
      <w:sz w:val="16"/>
      <w:lang w:val="en-NZ" w:eastAsia="en-AU" w:bidi="ar-SA"/>
    </w:rPr>
  </w:style>
  <w:style w:type="character" w:styleId="Strong">
    <w:name w:val="Strong"/>
    <w:qFormat/>
    <w:rsid w:val="00AB7312"/>
    <w:rPr>
      <w:b/>
      <w:bCs/>
    </w:rPr>
  </w:style>
  <w:style w:type="character" w:customStyle="1" w:styleId="Char">
    <w:name w:val="Char"/>
    <w:semiHidden/>
    <w:rsid w:val="00AB7312"/>
    <w:rPr>
      <w:lang w:val="en-NZ" w:eastAsia="en-NZ" w:bidi="ar-SA"/>
    </w:rPr>
  </w:style>
  <w:style w:type="paragraph" w:customStyle="1" w:styleId="Chapter1">
    <w:name w:val="Chapter 1"/>
    <w:link w:val="Chapter1Char1"/>
    <w:rsid w:val="00AB7312"/>
    <w:pPr>
      <w:numPr>
        <w:numId w:val="9"/>
      </w:numPr>
      <w:jc w:val="both"/>
    </w:pPr>
    <w:rPr>
      <w:sz w:val="24"/>
      <w:szCs w:val="24"/>
      <w:lang w:eastAsia="en-AU"/>
    </w:rPr>
  </w:style>
  <w:style w:type="paragraph" w:styleId="TOC3">
    <w:name w:val="toc 3"/>
    <w:basedOn w:val="Normal"/>
    <w:next w:val="Normal"/>
    <w:autoRedefine/>
    <w:semiHidden/>
    <w:rsid w:val="00AB7312"/>
    <w:pPr>
      <w:ind w:left="480"/>
      <w:jc w:val="both"/>
    </w:pPr>
    <w:rPr>
      <w:lang w:eastAsia="en-AU"/>
    </w:rPr>
  </w:style>
  <w:style w:type="character" w:customStyle="1" w:styleId="Chapter3Char">
    <w:name w:val="Chapter 3 Char"/>
    <w:rsid w:val="00AB7312"/>
    <w:rPr>
      <w:rFonts w:eastAsia="MS Mincho"/>
      <w:sz w:val="24"/>
      <w:szCs w:val="24"/>
      <w:lang w:val="en-GB" w:eastAsia="ja-JP" w:bidi="ar-SA"/>
    </w:rPr>
  </w:style>
  <w:style w:type="character" w:customStyle="1" w:styleId="Chapter1Char1">
    <w:name w:val="Chapter 1 Char1"/>
    <w:link w:val="Chapter1"/>
    <w:rsid w:val="00AB7312"/>
    <w:rPr>
      <w:sz w:val="24"/>
      <w:szCs w:val="24"/>
      <w:lang w:eastAsia="en-AU"/>
    </w:rPr>
  </w:style>
  <w:style w:type="paragraph" w:customStyle="1" w:styleId="CharCharCharCharChar1CharCharChar">
    <w:name w:val="Char Char Char Char Char1 Char Char Char"/>
    <w:basedOn w:val="Normal"/>
    <w:rsid w:val="00AB7312"/>
    <w:pPr>
      <w:spacing w:after="160" w:line="240" w:lineRule="exact"/>
    </w:pPr>
    <w:rPr>
      <w:rFonts w:ascii="Verdana" w:hAnsi="Verdana"/>
      <w:sz w:val="20"/>
      <w:szCs w:val="20"/>
      <w:lang w:val="en-US" w:eastAsia="en-US"/>
    </w:rPr>
  </w:style>
  <w:style w:type="paragraph" w:customStyle="1" w:styleId="Chapter6">
    <w:name w:val="Chapter6"/>
    <w:basedOn w:val="Normal"/>
    <w:link w:val="Chapter6Char"/>
    <w:rsid w:val="00AB7312"/>
    <w:pPr>
      <w:numPr>
        <w:numId w:val="11"/>
      </w:numPr>
      <w:jc w:val="both"/>
    </w:pPr>
    <w:rPr>
      <w:lang w:val="en-GB" w:eastAsia="en-AU"/>
    </w:rPr>
  </w:style>
  <w:style w:type="character" w:customStyle="1" w:styleId="Chapter6Char">
    <w:name w:val="Chapter6 Char"/>
    <w:link w:val="Chapter6"/>
    <w:rsid w:val="00AB7312"/>
    <w:rPr>
      <w:sz w:val="24"/>
      <w:szCs w:val="24"/>
      <w:lang w:val="en-GB" w:eastAsia="en-AU"/>
    </w:rPr>
  </w:style>
  <w:style w:type="paragraph" w:customStyle="1" w:styleId="Chapter50">
    <w:name w:val="Chapter5"/>
    <w:basedOn w:val="Chapter6"/>
    <w:rsid w:val="00AB7312"/>
    <w:pPr>
      <w:numPr>
        <w:numId w:val="10"/>
      </w:numPr>
      <w:tabs>
        <w:tab w:val="clear" w:pos="851"/>
        <w:tab w:val="num" w:pos="360"/>
      </w:tabs>
      <w:ind w:left="851" w:hanging="851"/>
    </w:pPr>
  </w:style>
  <w:style w:type="paragraph" w:customStyle="1" w:styleId="BodyText1">
    <w:name w:val="Body Text1"/>
    <w:rsid w:val="00AB7312"/>
    <w:rPr>
      <w:rFonts w:ascii="Verdana" w:hAnsi="Verdana" w:cs="Arial"/>
      <w:lang w:eastAsia="en-AU"/>
    </w:rPr>
  </w:style>
  <w:style w:type="paragraph" w:customStyle="1" w:styleId="Chapter8">
    <w:name w:val="Chapter 8"/>
    <w:basedOn w:val="Chapter4"/>
    <w:rsid w:val="00AB7312"/>
    <w:pPr>
      <w:numPr>
        <w:numId w:val="12"/>
      </w:numPr>
      <w:autoSpaceDE w:val="0"/>
      <w:autoSpaceDN w:val="0"/>
      <w:adjustRightInd w:val="0"/>
    </w:pPr>
    <w:rPr>
      <w:rFonts w:eastAsia="MS Mincho"/>
      <w:lang w:val="en-GB" w:eastAsia="ja-JP"/>
    </w:rPr>
  </w:style>
  <w:style w:type="paragraph" w:customStyle="1" w:styleId="Bullet0">
    <w:name w:val="Bullet"/>
    <w:basedOn w:val="Normal"/>
    <w:rsid w:val="00AB7312"/>
    <w:pPr>
      <w:tabs>
        <w:tab w:val="num" w:pos="1417"/>
      </w:tabs>
      <w:spacing w:after="140"/>
      <w:ind w:left="1417" w:hanging="567"/>
      <w:jc w:val="both"/>
    </w:pPr>
    <w:rPr>
      <w:szCs w:val="20"/>
      <w:lang w:val="en-GB" w:eastAsia="en-AU"/>
    </w:rPr>
  </w:style>
  <w:style w:type="paragraph" w:styleId="ListParagraph">
    <w:name w:val="List Paragraph"/>
    <w:basedOn w:val="Normal"/>
    <w:uiPriority w:val="34"/>
    <w:qFormat/>
    <w:rsid w:val="00AB7312"/>
    <w:pPr>
      <w:ind w:left="720"/>
    </w:pPr>
    <w:rPr>
      <w:rFonts w:ascii="Arial" w:eastAsia="Calibri" w:hAnsi="Arial"/>
      <w:sz w:val="22"/>
      <w:szCs w:val="22"/>
      <w:lang w:eastAsia="en-US"/>
    </w:rPr>
  </w:style>
  <w:style w:type="paragraph" w:customStyle="1" w:styleId="IndentedQuotedotpoint">
    <w:name w:val="Indented Quote dot point"/>
    <w:basedOn w:val="Normal"/>
    <w:rsid w:val="00AB7312"/>
    <w:pPr>
      <w:numPr>
        <w:numId w:val="13"/>
      </w:numPr>
      <w:jc w:val="both"/>
    </w:pPr>
    <w:rPr>
      <w:lang w:eastAsia="en-AU"/>
    </w:rPr>
  </w:style>
  <w:style w:type="paragraph" w:customStyle="1" w:styleId="Chapter7">
    <w:name w:val="Chapter7"/>
    <w:basedOn w:val="Chapter6"/>
    <w:rsid w:val="00AB7312"/>
    <w:pPr>
      <w:numPr>
        <w:numId w:val="14"/>
      </w:numPr>
      <w:tabs>
        <w:tab w:val="clear" w:pos="851"/>
        <w:tab w:val="num" w:pos="360"/>
      </w:tabs>
    </w:pPr>
    <w:rPr>
      <w:szCs w:val="20"/>
    </w:rPr>
  </w:style>
  <w:style w:type="paragraph" w:customStyle="1" w:styleId="TRHeading1">
    <w:name w:val="_TRHeading 1"/>
    <w:next w:val="TRNormal"/>
    <w:rsid w:val="00AB7312"/>
    <w:pPr>
      <w:keepNext/>
      <w:widowControl w:val="0"/>
      <w:pBdr>
        <w:bottom w:val="single" w:sz="4" w:space="1" w:color="auto"/>
      </w:pBdr>
      <w:spacing w:before="720" w:after="360"/>
    </w:pPr>
    <w:rPr>
      <w:b/>
      <w:sz w:val="28"/>
      <w:lang w:eastAsia="en-AU"/>
    </w:rPr>
  </w:style>
  <w:style w:type="numbering" w:customStyle="1" w:styleId="StyleNumberedLeft0cmHanging159cm">
    <w:name w:val="Style Numbered Left:  0 cm Hanging:  1.59 cm"/>
    <w:basedOn w:val="NoList"/>
    <w:rsid w:val="00AB7312"/>
    <w:pPr>
      <w:numPr>
        <w:numId w:val="15"/>
      </w:numPr>
    </w:pPr>
  </w:style>
  <w:style w:type="paragraph" w:customStyle="1" w:styleId="bullet">
    <w:name w:val="bullet"/>
    <w:basedOn w:val="Normal"/>
    <w:rsid w:val="00AB7312"/>
    <w:pPr>
      <w:numPr>
        <w:numId w:val="1"/>
      </w:numPr>
      <w:tabs>
        <w:tab w:val="left" w:pos="1418"/>
      </w:tabs>
      <w:spacing w:after="140"/>
      <w:jc w:val="both"/>
    </w:pPr>
    <w:rPr>
      <w:rFonts w:eastAsia="MS Mincho"/>
      <w:lang w:val="en-GB" w:eastAsia="en-AU"/>
    </w:rPr>
  </w:style>
  <w:style w:type="paragraph" w:customStyle="1" w:styleId="Chapter9">
    <w:name w:val="Chapter 9"/>
    <w:basedOn w:val="Normal"/>
    <w:rsid w:val="00AB7312"/>
    <w:pPr>
      <w:numPr>
        <w:numId w:val="16"/>
      </w:numPr>
      <w:jc w:val="both"/>
    </w:pPr>
    <w:rPr>
      <w:szCs w:val="20"/>
      <w:lang w:eastAsia="en-AU"/>
    </w:rPr>
  </w:style>
  <w:style w:type="paragraph" w:styleId="NormalWeb">
    <w:name w:val="Normal (Web)"/>
    <w:basedOn w:val="Normal"/>
    <w:rsid w:val="00AB7312"/>
    <w:pPr>
      <w:spacing w:before="100" w:beforeAutospacing="1" w:after="100" w:afterAutospacing="1"/>
    </w:pPr>
    <w:rPr>
      <w:lang w:val="en-AU" w:eastAsia="en-AU" w:bidi="hi-IN"/>
    </w:rPr>
  </w:style>
  <w:style w:type="character" w:customStyle="1" w:styleId="PlainTextChar">
    <w:name w:val="Plain Text Char"/>
    <w:link w:val="PlainText"/>
    <w:rsid w:val="00AB7312"/>
    <w:rPr>
      <w:rFonts w:ascii="Calibri" w:hAnsi="Calibri"/>
      <w:color w:val="17365D"/>
      <w:sz w:val="22"/>
      <w:szCs w:val="22"/>
      <w:lang w:val="en-AU" w:eastAsia="en-AU" w:bidi="hi-IN"/>
    </w:rPr>
  </w:style>
  <w:style w:type="paragraph" w:styleId="PlainText">
    <w:name w:val="Plain Text"/>
    <w:basedOn w:val="Normal"/>
    <w:link w:val="PlainTextChar"/>
    <w:rsid w:val="00AB7312"/>
    <w:rPr>
      <w:rFonts w:ascii="Calibri" w:hAnsi="Calibri"/>
      <w:color w:val="17365D"/>
      <w:sz w:val="22"/>
      <w:szCs w:val="22"/>
      <w:lang w:val="en-AU" w:eastAsia="en-AU" w:bidi="hi-IN"/>
    </w:rPr>
  </w:style>
  <w:style w:type="character" w:styleId="Emphasis">
    <w:name w:val="Emphasis"/>
    <w:qFormat/>
    <w:rsid w:val="00D400BC"/>
    <w:rPr>
      <w:i/>
      <w:iCs/>
    </w:rPr>
  </w:style>
  <w:style w:type="paragraph" w:customStyle="1" w:styleId="msolistparagraph0">
    <w:name w:val="msolistparagraph"/>
    <w:basedOn w:val="Normal"/>
    <w:rsid w:val="003168FB"/>
    <w:pPr>
      <w:ind w:left="720"/>
    </w:pPr>
    <w:rPr>
      <w:rFonts w:ascii="Calibri" w:hAnsi="Calibri"/>
      <w:sz w:val="22"/>
      <w:szCs w:val="22"/>
      <w:lang w:val="en-AU" w:eastAsia="en-AU" w:bidi="hi-IN"/>
    </w:rPr>
  </w:style>
  <w:style w:type="table" w:customStyle="1" w:styleId="TableGrid1">
    <w:name w:val="Table Grid1"/>
    <w:basedOn w:val="TableNormal"/>
    <w:next w:val="TableGrid"/>
    <w:uiPriority w:val="59"/>
    <w:rsid w:val="00B544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2C5CFC"/>
    <w:pPr>
      <w:numPr>
        <w:numId w:val="36"/>
      </w:numPr>
      <w:tabs>
        <w:tab w:val="left" w:pos="567"/>
      </w:tabs>
      <w:jc w:val="both"/>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312"/>
    <w:rPr>
      <w:sz w:val="24"/>
      <w:szCs w:val="24"/>
    </w:rPr>
  </w:style>
  <w:style w:type="paragraph" w:styleId="Heading1">
    <w:name w:val="heading 1"/>
    <w:basedOn w:val="Normal"/>
    <w:next w:val="Normal"/>
    <w:qFormat/>
    <w:rsid w:val="00AB731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B73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73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
    <w:name w:val="Char Char1 Char Char Char Char Char Char Char Char"/>
    <w:basedOn w:val="Normal"/>
    <w:rsid w:val="00AB7312"/>
    <w:pPr>
      <w:spacing w:after="160" w:line="240" w:lineRule="exact"/>
    </w:pPr>
    <w:rPr>
      <w:rFonts w:ascii="Verdana" w:hAnsi="Verdana"/>
      <w:sz w:val="20"/>
      <w:szCs w:val="20"/>
      <w:lang w:val="en-US" w:eastAsia="en-US"/>
    </w:rPr>
  </w:style>
  <w:style w:type="paragraph" w:customStyle="1" w:styleId="TRBodyText">
    <w:name w:val="_TRBody Text"/>
    <w:rsid w:val="00AB7312"/>
    <w:pPr>
      <w:spacing w:line="300" w:lineRule="atLeast"/>
      <w:jc w:val="both"/>
    </w:pPr>
    <w:rPr>
      <w:sz w:val="24"/>
      <w:lang w:eastAsia="en-AU"/>
    </w:rPr>
  </w:style>
  <w:style w:type="paragraph" w:customStyle="1" w:styleId="TRListBullet">
    <w:name w:val="_TRList Bullet"/>
    <w:basedOn w:val="Normal"/>
    <w:rsid w:val="00AB7312"/>
    <w:pPr>
      <w:numPr>
        <w:numId w:val="3"/>
      </w:numPr>
      <w:spacing w:after="200" w:line="300" w:lineRule="atLeast"/>
      <w:jc w:val="both"/>
    </w:pPr>
    <w:rPr>
      <w:szCs w:val="20"/>
      <w:lang w:eastAsia="en-AU"/>
    </w:rPr>
  </w:style>
  <w:style w:type="table" w:styleId="TableGrid">
    <w:name w:val="Table Grid"/>
    <w:basedOn w:val="TableNormal"/>
    <w:uiPriority w:val="59"/>
    <w:rsid w:val="00AB7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AB7312"/>
    <w:rPr>
      <w:vertAlign w:val="superscript"/>
    </w:rPr>
  </w:style>
  <w:style w:type="paragraph" w:customStyle="1" w:styleId="TRFootnoteText">
    <w:name w:val="_TRFootnote Text"/>
    <w:basedOn w:val="Normal"/>
    <w:rsid w:val="00AB7312"/>
    <w:pPr>
      <w:spacing w:line="300" w:lineRule="atLeast"/>
      <w:jc w:val="both"/>
    </w:pPr>
    <w:rPr>
      <w:sz w:val="16"/>
      <w:szCs w:val="20"/>
      <w:lang w:eastAsia="en-AU"/>
    </w:rPr>
  </w:style>
  <w:style w:type="paragraph" w:styleId="FootnoteText">
    <w:name w:val="footnote text"/>
    <w:basedOn w:val="Normal"/>
    <w:link w:val="FootnoteTextChar"/>
    <w:uiPriority w:val="99"/>
    <w:semiHidden/>
    <w:rsid w:val="00AB7312"/>
    <w:pPr>
      <w:jc w:val="both"/>
    </w:pPr>
    <w:rPr>
      <w:sz w:val="16"/>
      <w:lang w:eastAsia="en-AU"/>
    </w:rPr>
  </w:style>
  <w:style w:type="paragraph" w:styleId="Header">
    <w:name w:val="header"/>
    <w:basedOn w:val="Normal"/>
    <w:rsid w:val="00AB7312"/>
    <w:pPr>
      <w:tabs>
        <w:tab w:val="center" w:pos="4153"/>
        <w:tab w:val="right" w:pos="8306"/>
      </w:tabs>
    </w:pPr>
  </w:style>
  <w:style w:type="character" w:styleId="PageNumber">
    <w:name w:val="page number"/>
    <w:basedOn w:val="DefaultParagraphFont"/>
    <w:rsid w:val="00AB7312"/>
  </w:style>
  <w:style w:type="paragraph" w:customStyle="1" w:styleId="TRNormal">
    <w:name w:val="_TRNormal"/>
    <w:rsid w:val="00AB7312"/>
    <w:pPr>
      <w:spacing w:line="300" w:lineRule="atLeast"/>
      <w:jc w:val="both"/>
    </w:pPr>
    <w:rPr>
      <w:sz w:val="24"/>
      <w:lang w:eastAsia="en-AU"/>
    </w:rPr>
  </w:style>
  <w:style w:type="paragraph" w:customStyle="1" w:styleId="TRHeading3">
    <w:name w:val="_TRHeading 3"/>
    <w:basedOn w:val="Normal"/>
    <w:next w:val="TRNormal"/>
    <w:rsid w:val="00AB7312"/>
    <w:pPr>
      <w:keepNext/>
      <w:widowControl w:val="0"/>
      <w:spacing w:before="560" w:after="360"/>
    </w:pPr>
    <w:rPr>
      <w:b/>
      <w:i/>
      <w:szCs w:val="20"/>
      <w:lang w:eastAsia="en-AU"/>
    </w:rPr>
  </w:style>
  <w:style w:type="paragraph" w:customStyle="1" w:styleId="TRHeading2">
    <w:name w:val="_TRHeading 2"/>
    <w:basedOn w:val="Normal"/>
    <w:next w:val="TRNormal"/>
    <w:rsid w:val="00AB7312"/>
    <w:pPr>
      <w:keepNext/>
      <w:widowControl w:val="0"/>
      <w:spacing w:before="560" w:after="360"/>
    </w:pPr>
    <w:rPr>
      <w:b/>
      <w:szCs w:val="20"/>
      <w:lang w:eastAsia="en-AU"/>
    </w:rPr>
  </w:style>
  <w:style w:type="paragraph" w:customStyle="1" w:styleId="Bullets">
    <w:name w:val="Bullets"/>
    <w:basedOn w:val="Normal"/>
    <w:rsid w:val="00AB7312"/>
    <w:pPr>
      <w:numPr>
        <w:numId w:val="4"/>
      </w:numPr>
    </w:pPr>
  </w:style>
  <w:style w:type="paragraph" w:styleId="BalloonText">
    <w:name w:val="Balloon Text"/>
    <w:basedOn w:val="Normal"/>
    <w:semiHidden/>
    <w:rsid w:val="00AB7312"/>
    <w:rPr>
      <w:rFonts w:ascii="Tahoma" w:hAnsi="Tahoma" w:cs="Tahoma"/>
      <w:sz w:val="16"/>
      <w:szCs w:val="16"/>
    </w:rPr>
  </w:style>
  <w:style w:type="paragraph" w:customStyle="1" w:styleId="Chapter5">
    <w:name w:val="Chapter 5"/>
    <w:basedOn w:val="Normal"/>
    <w:rsid w:val="00AB7312"/>
    <w:pPr>
      <w:numPr>
        <w:numId w:val="5"/>
      </w:numPr>
      <w:jc w:val="both"/>
    </w:pPr>
    <w:rPr>
      <w:lang w:val="en-GB" w:eastAsia="en-AU"/>
    </w:rPr>
  </w:style>
  <w:style w:type="paragraph" w:customStyle="1" w:styleId="Chapter4">
    <w:name w:val="Chapter 4"/>
    <w:basedOn w:val="Normal"/>
    <w:rsid w:val="00AB7312"/>
    <w:pPr>
      <w:numPr>
        <w:numId w:val="6"/>
      </w:numPr>
      <w:jc w:val="both"/>
    </w:pPr>
    <w:rPr>
      <w:rFonts w:eastAsia="Batang"/>
      <w:lang w:eastAsia="ko-KR"/>
    </w:rPr>
  </w:style>
  <w:style w:type="character" w:styleId="Hyperlink">
    <w:name w:val="Hyperlink"/>
    <w:rsid w:val="00AB7312"/>
    <w:rPr>
      <w:color w:val="0000FF"/>
      <w:u w:val="single"/>
    </w:rPr>
  </w:style>
  <w:style w:type="character" w:styleId="CommentReference">
    <w:name w:val="annotation reference"/>
    <w:uiPriority w:val="99"/>
    <w:semiHidden/>
    <w:rsid w:val="00AB7312"/>
    <w:rPr>
      <w:sz w:val="16"/>
      <w:szCs w:val="16"/>
    </w:rPr>
  </w:style>
  <w:style w:type="paragraph" w:styleId="CommentText">
    <w:name w:val="annotation text"/>
    <w:basedOn w:val="Normal"/>
    <w:link w:val="CommentTextChar"/>
    <w:uiPriority w:val="99"/>
    <w:semiHidden/>
    <w:rsid w:val="00AB7312"/>
  </w:style>
  <w:style w:type="paragraph" w:styleId="CommentSubject">
    <w:name w:val="annotation subject"/>
    <w:basedOn w:val="CommentText"/>
    <w:next w:val="CommentText"/>
    <w:semiHidden/>
    <w:rsid w:val="00AB7312"/>
    <w:rPr>
      <w:b/>
      <w:bCs/>
    </w:rPr>
  </w:style>
  <w:style w:type="paragraph" w:styleId="Footer">
    <w:name w:val="footer"/>
    <w:basedOn w:val="Normal"/>
    <w:rsid w:val="00AB7312"/>
    <w:pPr>
      <w:tabs>
        <w:tab w:val="center" w:pos="4153"/>
        <w:tab w:val="right" w:pos="8306"/>
      </w:tabs>
    </w:pPr>
  </w:style>
  <w:style w:type="paragraph" w:customStyle="1" w:styleId="CharChar">
    <w:name w:val="Char Char"/>
    <w:basedOn w:val="Normal"/>
    <w:rsid w:val="00AB7312"/>
    <w:pPr>
      <w:spacing w:after="160" w:line="240" w:lineRule="exact"/>
    </w:pPr>
    <w:rPr>
      <w:rFonts w:ascii="Verdana" w:hAnsi="Verdana"/>
      <w:sz w:val="20"/>
      <w:szCs w:val="20"/>
      <w:lang w:val="en-US" w:eastAsia="en-US"/>
    </w:rPr>
  </w:style>
  <w:style w:type="paragraph" w:customStyle="1" w:styleId="spacer">
    <w:name w:val="spacer"/>
    <w:basedOn w:val="Normal"/>
    <w:rsid w:val="00AB7312"/>
    <w:rPr>
      <w:rFonts w:ascii="Arial" w:hAnsi="Arial"/>
      <w:sz w:val="16"/>
      <w:szCs w:val="22"/>
      <w:lang w:val="en-GB" w:eastAsia="en-AU"/>
    </w:rPr>
  </w:style>
  <w:style w:type="paragraph" w:customStyle="1" w:styleId="Chapter2">
    <w:name w:val="Chapter 2"/>
    <w:basedOn w:val="Normal"/>
    <w:link w:val="Chapter2Char"/>
    <w:rsid w:val="00AB7312"/>
    <w:pPr>
      <w:numPr>
        <w:numId w:val="7"/>
      </w:numPr>
      <w:jc w:val="both"/>
    </w:pPr>
    <w:rPr>
      <w:snapToGrid w:val="0"/>
      <w:lang w:eastAsia="en-US"/>
    </w:rPr>
  </w:style>
  <w:style w:type="character" w:customStyle="1" w:styleId="Chapter2Char">
    <w:name w:val="Chapter 2 Char"/>
    <w:link w:val="Chapter2"/>
    <w:rsid w:val="00AB7312"/>
    <w:rPr>
      <w:snapToGrid w:val="0"/>
      <w:sz w:val="24"/>
      <w:szCs w:val="24"/>
      <w:lang w:eastAsia="en-US"/>
    </w:rPr>
  </w:style>
  <w:style w:type="paragraph" w:customStyle="1" w:styleId="RISheading">
    <w:name w:val="RIS heading"/>
    <w:basedOn w:val="Heading3"/>
    <w:rsid w:val="00AB7312"/>
    <w:pPr>
      <w:tabs>
        <w:tab w:val="left" w:pos="567"/>
      </w:tabs>
      <w:spacing w:after="180" w:line="300" w:lineRule="atLeast"/>
      <w:ind w:right="170"/>
    </w:pPr>
    <w:rPr>
      <w:rFonts w:ascii="Times New Roman" w:hAnsi="Times New Roman" w:cs="Times New Roman"/>
      <w:bCs w:val="0"/>
      <w:spacing w:val="20"/>
      <w:w w:val="90"/>
      <w:sz w:val="24"/>
      <w:szCs w:val="24"/>
      <w:lang w:val="en-GB" w:eastAsia="en-GB"/>
    </w:rPr>
  </w:style>
  <w:style w:type="character" w:customStyle="1" w:styleId="Heading2Char">
    <w:name w:val="Heading 2 Char"/>
    <w:link w:val="Heading2"/>
    <w:rsid w:val="00AB7312"/>
    <w:rPr>
      <w:rFonts w:ascii="Arial" w:hAnsi="Arial" w:cs="Arial"/>
      <w:b/>
      <w:bCs/>
      <w:i/>
      <w:iCs/>
      <w:sz w:val="28"/>
      <w:szCs w:val="28"/>
      <w:lang w:val="en-NZ" w:eastAsia="en-NZ" w:bidi="ar-SA"/>
    </w:rPr>
  </w:style>
  <w:style w:type="paragraph" w:customStyle="1" w:styleId="Bullet-list">
    <w:name w:val="Bullet-list"/>
    <w:qFormat/>
    <w:rsid w:val="00AB7312"/>
    <w:pPr>
      <w:numPr>
        <w:numId w:val="2"/>
      </w:numPr>
      <w:spacing w:after="180" w:line="280" w:lineRule="exact"/>
    </w:pPr>
    <w:rPr>
      <w:rFonts w:ascii="Arial" w:hAnsi="Arial"/>
      <w:sz w:val="22"/>
      <w:lang w:val="en-AU" w:eastAsia="en-US"/>
    </w:rPr>
  </w:style>
  <w:style w:type="paragraph" w:customStyle="1" w:styleId="Text">
    <w:name w:val="Text"/>
    <w:basedOn w:val="Normal"/>
    <w:link w:val="TextChar"/>
    <w:rsid w:val="00AB7312"/>
    <w:pPr>
      <w:spacing w:before="120" w:after="120" w:line="300" w:lineRule="exact"/>
      <w:jc w:val="both"/>
    </w:pPr>
    <w:rPr>
      <w:rFonts w:ascii="Arial" w:hAnsi="Arial"/>
      <w:sz w:val="22"/>
      <w:lang w:val="en-GB" w:eastAsia="en-US"/>
    </w:rPr>
  </w:style>
  <w:style w:type="character" w:customStyle="1" w:styleId="TextChar">
    <w:name w:val="Text Char"/>
    <w:link w:val="Text"/>
    <w:rsid w:val="00AB7312"/>
    <w:rPr>
      <w:rFonts w:ascii="Arial" w:hAnsi="Arial"/>
      <w:sz w:val="22"/>
      <w:szCs w:val="24"/>
      <w:lang w:val="en-GB" w:eastAsia="en-US" w:bidi="ar-SA"/>
    </w:rPr>
  </w:style>
  <w:style w:type="character" w:customStyle="1" w:styleId="FootnoteTextChar">
    <w:name w:val="Footnote Text Char"/>
    <w:link w:val="FootnoteText"/>
    <w:uiPriority w:val="99"/>
    <w:semiHidden/>
    <w:rsid w:val="00AB7312"/>
    <w:rPr>
      <w:sz w:val="16"/>
      <w:szCs w:val="24"/>
      <w:lang w:val="en-NZ" w:eastAsia="en-AU" w:bidi="ar-SA"/>
    </w:rPr>
  </w:style>
  <w:style w:type="character" w:customStyle="1" w:styleId="CommentTextChar">
    <w:name w:val="Comment Text Char"/>
    <w:link w:val="CommentText"/>
    <w:uiPriority w:val="99"/>
    <w:semiHidden/>
    <w:rsid w:val="00AB7312"/>
    <w:rPr>
      <w:sz w:val="24"/>
      <w:szCs w:val="24"/>
      <w:lang w:val="en-NZ" w:eastAsia="en-NZ" w:bidi="ar-SA"/>
    </w:rPr>
  </w:style>
  <w:style w:type="paragraph" w:customStyle="1" w:styleId="CharCharCharCharCharCharCharCharCharCharCharCharCharCharCharCharCharCharCharChar1">
    <w:name w:val="Char Char Char Char Char Char Char Char Char Char Char Char Char Char Char Char Char Char Char Char1"/>
    <w:basedOn w:val="Normal"/>
    <w:rsid w:val="00AB7312"/>
    <w:pPr>
      <w:spacing w:after="160" w:line="240" w:lineRule="exact"/>
    </w:pPr>
    <w:rPr>
      <w:rFonts w:ascii="Verdana" w:hAnsi="Verdana"/>
      <w:sz w:val="20"/>
      <w:szCs w:val="20"/>
      <w:lang w:val="en-US" w:eastAsia="en-US"/>
    </w:rPr>
  </w:style>
  <w:style w:type="paragraph" w:customStyle="1" w:styleId="Chapter3">
    <w:name w:val="Chapter 3"/>
    <w:basedOn w:val="Chapter2"/>
    <w:link w:val="Chapter3Char1"/>
    <w:rsid w:val="00AB7312"/>
    <w:pPr>
      <w:numPr>
        <w:numId w:val="8"/>
      </w:numPr>
      <w:tabs>
        <w:tab w:val="clear" w:pos="851"/>
        <w:tab w:val="num" w:pos="360"/>
      </w:tabs>
    </w:pPr>
  </w:style>
  <w:style w:type="character" w:customStyle="1" w:styleId="Chapter3Char1">
    <w:name w:val="Chapter 3 Char1"/>
    <w:basedOn w:val="Chapter2Char"/>
    <w:link w:val="Chapter3"/>
    <w:rsid w:val="00AB7312"/>
    <w:rPr>
      <w:snapToGrid w:val="0"/>
      <w:sz w:val="24"/>
      <w:szCs w:val="24"/>
      <w:lang w:eastAsia="en-US"/>
    </w:rPr>
  </w:style>
  <w:style w:type="character" w:customStyle="1" w:styleId="Char3">
    <w:name w:val="Char3"/>
    <w:semiHidden/>
    <w:rsid w:val="00AB7312"/>
    <w:rPr>
      <w:sz w:val="16"/>
      <w:lang w:val="en-NZ" w:eastAsia="en-AU" w:bidi="ar-SA"/>
    </w:rPr>
  </w:style>
  <w:style w:type="character" w:styleId="Strong">
    <w:name w:val="Strong"/>
    <w:qFormat/>
    <w:rsid w:val="00AB7312"/>
    <w:rPr>
      <w:b/>
      <w:bCs/>
    </w:rPr>
  </w:style>
  <w:style w:type="character" w:customStyle="1" w:styleId="Char">
    <w:name w:val="Char"/>
    <w:semiHidden/>
    <w:rsid w:val="00AB7312"/>
    <w:rPr>
      <w:lang w:val="en-NZ" w:eastAsia="en-NZ" w:bidi="ar-SA"/>
    </w:rPr>
  </w:style>
  <w:style w:type="paragraph" w:customStyle="1" w:styleId="Chapter1">
    <w:name w:val="Chapter 1"/>
    <w:link w:val="Chapter1Char1"/>
    <w:rsid w:val="00AB7312"/>
    <w:pPr>
      <w:numPr>
        <w:numId w:val="9"/>
      </w:numPr>
      <w:jc w:val="both"/>
    </w:pPr>
    <w:rPr>
      <w:sz w:val="24"/>
      <w:szCs w:val="24"/>
      <w:lang w:eastAsia="en-AU"/>
    </w:rPr>
  </w:style>
  <w:style w:type="paragraph" w:styleId="TOC3">
    <w:name w:val="toc 3"/>
    <w:basedOn w:val="Normal"/>
    <w:next w:val="Normal"/>
    <w:autoRedefine/>
    <w:semiHidden/>
    <w:rsid w:val="00AB7312"/>
    <w:pPr>
      <w:ind w:left="480"/>
      <w:jc w:val="both"/>
    </w:pPr>
    <w:rPr>
      <w:lang w:eastAsia="en-AU"/>
    </w:rPr>
  </w:style>
  <w:style w:type="character" w:customStyle="1" w:styleId="Chapter3Char">
    <w:name w:val="Chapter 3 Char"/>
    <w:rsid w:val="00AB7312"/>
    <w:rPr>
      <w:rFonts w:eastAsia="MS Mincho"/>
      <w:sz w:val="24"/>
      <w:szCs w:val="24"/>
      <w:lang w:val="en-GB" w:eastAsia="ja-JP" w:bidi="ar-SA"/>
    </w:rPr>
  </w:style>
  <w:style w:type="character" w:customStyle="1" w:styleId="Chapter1Char1">
    <w:name w:val="Chapter 1 Char1"/>
    <w:link w:val="Chapter1"/>
    <w:rsid w:val="00AB7312"/>
    <w:rPr>
      <w:sz w:val="24"/>
      <w:szCs w:val="24"/>
      <w:lang w:eastAsia="en-AU"/>
    </w:rPr>
  </w:style>
  <w:style w:type="paragraph" w:customStyle="1" w:styleId="CharCharCharCharChar1CharCharChar">
    <w:name w:val="Char Char Char Char Char1 Char Char Char"/>
    <w:basedOn w:val="Normal"/>
    <w:rsid w:val="00AB7312"/>
    <w:pPr>
      <w:spacing w:after="160" w:line="240" w:lineRule="exact"/>
    </w:pPr>
    <w:rPr>
      <w:rFonts w:ascii="Verdana" w:hAnsi="Verdana"/>
      <w:sz w:val="20"/>
      <w:szCs w:val="20"/>
      <w:lang w:val="en-US" w:eastAsia="en-US"/>
    </w:rPr>
  </w:style>
  <w:style w:type="paragraph" w:customStyle="1" w:styleId="Chapter6">
    <w:name w:val="Chapter6"/>
    <w:basedOn w:val="Normal"/>
    <w:link w:val="Chapter6Char"/>
    <w:rsid w:val="00AB7312"/>
    <w:pPr>
      <w:numPr>
        <w:numId w:val="11"/>
      </w:numPr>
      <w:jc w:val="both"/>
    </w:pPr>
    <w:rPr>
      <w:lang w:val="en-GB" w:eastAsia="en-AU"/>
    </w:rPr>
  </w:style>
  <w:style w:type="character" w:customStyle="1" w:styleId="Chapter6Char">
    <w:name w:val="Chapter6 Char"/>
    <w:link w:val="Chapter6"/>
    <w:rsid w:val="00AB7312"/>
    <w:rPr>
      <w:sz w:val="24"/>
      <w:szCs w:val="24"/>
      <w:lang w:val="en-GB" w:eastAsia="en-AU"/>
    </w:rPr>
  </w:style>
  <w:style w:type="paragraph" w:customStyle="1" w:styleId="Chapter50">
    <w:name w:val="Chapter5"/>
    <w:basedOn w:val="Chapter6"/>
    <w:rsid w:val="00AB7312"/>
    <w:pPr>
      <w:numPr>
        <w:numId w:val="10"/>
      </w:numPr>
      <w:tabs>
        <w:tab w:val="clear" w:pos="851"/>
        <w:tab w:val="num" w:pos="360"/>
      </w:tabs>
      <w:ind w:left="851" w:hanging="851"/>
    </w:pPr>
  </w:style>
  <w:style w:type="paragraph" w:customStyle="1" w:styleId="BodyText1">
    <w:name w:val="Body Text1"/>
    <w:rsid w:val="00AB7312"/>
    <w:rPr>
      <w:rFonts w:ascii="Verdana" w:hAnsi="Verdana" w:cs="Arial"/>
      <w:lang w:eastAsia="en-AU"/>
    </w:rPr>
  </w:style>
  <w:style w:type="paragraph" w:customStyle="1" w:styleId="Chapter8">
    <w:name w:val="Chapter 8"/>
    <w:basedOn w:val="Chapter4"/>
    <w:rsid w:val="00AB7312"/>
    <w:pPr>
      <w:numPr>
        <w:numId w:val="12"/>
      </w:numPr>
      <w:autoSpaceDE w:val="0"/>
      <w:autoSpaceDN w:val="0"/>
      <w:adjustRightInd w:val="0"/>
    </w:pPr>
    <w:rPr>
      <w:rFonts w:eastAsia="MS Mincho"/>
      <w:lang w:val="en-GB" w:eastAsia="ja-JP"/>
    </w:rPr>
  </w:style>
  <w:style w:type="paragraph" w:customStyle="1" w:styleId="Bullet0">
    <w:name w:val="Bullet"/>
    <w:basedOn w:val="Normal"/>
    <w:rsid w:val="00AB7312"/>
    <w:pPr>
      <w:tabs>
        <w:tab w:val="num" w:pos="1417"/>
      </w:tabs>
      <w:spacing w:after="140"/>
      <w:ind w:left="1417" w:hanging="567"/>
      <w:jc w:val="both"/>
    </w:pPr>
    <w:rPr>
      <w:szCs w:val="20"/>
      <w:lang w:val="en-GB" w:eastAsia="en-AU"/>
    </w:rPr>
  </w:style>
  <w:style w:type="paragraph" w:styleId="ListParagraph">
    <w:name w:val="List Paragraph"/>
    <w:basedOn w:val="Normal"/>
    <w:uiPriority w:val="34"/>
    <w:qFormat/>
    <w:rsid w:val="00AB7312"/>
    <w:pPr>
      <w:ind w:left="720"/>
    </w:pPr>
    <w:rPr>
      <w:rFonts w:ascii="Arial" w:eastAsia="Calibri" w:hAnsi="Arial"/>
      <w:sz w:val="22"/>
      <w:szCs w:val="22"/>
      <w:lang w:eastAsia="en-US"/>
    </w:rPr>
  </w:style>
  <w:style w:type="paragraph" w:customStyle="1" w:styleId="IndentedQuotedotpoint">
    <w:name w:val="Indented Quote dot point"/>
    <w:basedOn w:val="Normal"/>
    <w:rsid w:val="00AB7312"/>
    <w:pPr>
      <w:numPr>
        <w:numId w:val="13"/>
      </w:numPr>
      <w:jc w:val="both"/>
    </w:pPr>
    <w:rPr>
      <w:lang w:eastAsia="en-AU"/>
    </w:rPr>
  </w:style>
  <w:style w:type="paragraph" w:customStyle="1" w:styleId="Chapter7">
    <w:name w:val="Chapter7"/>
    <w:basedOn w:val="Chapter6"/>
    <w:rsid w:val="00AB7312"/>
    <w:pPr>
      <w:numPr>
        <w:numId w:val="14"/>
      </w:numPr>
      <w:tabs>
        <w:tab w:val="clear" w:pos="851"/>
        <w:tab w:val="num" w:pos="360"/>
      </w:tabs>
    </w:pPr>
    <w:rPr>
      <w:szCs w:val="20"/>
    </w:rPr>
  </w:style>
  <w:style w:type="paragraph" w:customStyle="1" w:styleId="TRHeading1">
    <w:name w:val="_TRHeading 1"/>
    <w:next w:val="TRNormal"/>
    <w:rsid w:val="00AB7312"/>
    <w:pPr>
      <w:keepNext/>
      <w:widowControl w:val="0"/>
      <w:pBdr>
        <w:bottom w:val="single" w:sz="4" w:space="1" w:color="auto"/>
      </w:pBdr>
      <w:spacing w:before="720" w:after="360"/>
    </w:pPr>
    <w:rPr>
      <w:b/>
      <w:sz w:val="28"/>
      <w:lang w:eastAsia="en-AU"/>
    </w:rPr>
  </w:style>
  <w:style w:type="numbering" w:customStyle="1" w:styleId="StyleNumberedLeft0cmHanging159cm">
    <w:name w:val="Style Numbered Left:  0 cm Hanging:  1.59 cm"/>
    <w:basedOn w:val="NoList"/>
    <w:rsid w:val="00AB7312"/>
    <w:pPr>
      <w:numPr>
        <w:numId w:val="15"/>
      </w:numPr>
    </w:pPr>
  </w:style>
  <w:style w:type="paragraph" w:customStyle="1" w:styleId="bullet">
    <w:name w:val="bullet"/>
    <w:basedOn w:val="Normal"/>
    <w:rsid w:val="00AB7312"/>
    <w:pPr>
      <w:numPr>
        <w:numId w:val="1"/>
      </w:numPr>
      <w:tabs>
        <w:tab w:val="left" w:pos="1418"/>
      </w:tabs>
      <w:spacing w:after="140"/>
      <w:jc w:val="both"/>
    </w:pPr>
    <w:rPr>
      <w:rFonts w:eastAsia="MS Mincho"/>
      <w:lang w:val="en-GB" w:eastAsia="en-AU"/>
    </w:rPr>
  </w:style>
  <w:style w:type="paragraph" w:customStyle="1" w:styleId="Chapter9">
    <w:name w:val="Chapter 9"/>
    <w:basedOn w:val="Normal"/>
    <w:rsid w:val="00AB7312"/>
    <w:pPr>
      <w:numPr>
        <w:numId w:val="16"/>
      </w:numPr>
      <w:jc w:val="both"/>
    </w:pPr>
    <w:rPr>
      <w:szCs w:val="20"/>
      <w:lang w:eastAsia="en-AU"/>
    </w:rPr>
  </w:style>
  <w:style w:type="paragraph" w:styleId="NormalWeb">
    <w:name w:val="Normal (Web)"/>
    <w:basedOn w:val="Normal"/>
    <w:rsid w:val="00AB7312"/>
    <w:pPr>
      <w:spacing w:before="100" w:beforeAutospacing="1" w:after="100" w:afterAutospacing="1"/>
    </w:pPr>
    <w:rPr>
      <w:lang w:val="en-AU" w:eastAsia="en-AU" w:bidi="hi-IN"/>
    </w:rPr>
  </w:style>
  <w:style w:type="character" w:customStyle="1" w:styleId="PlainTextChar">
    <w:name w:val="Plain Text Char"/>
    <w:link w:val="PlainText"/>
    <w:rsid w:val="00AB7312"/>
    <w:rPr>
      <w:rFonts w:ascii="Calibri" w:hAnsi="Calibri"/>
      <w:color w:val="17365D"/>
      <w:sz w:val="22"/>
      <w:szCs w:val="22"/>
      <w:lang w:val="en-AU" w:eastAsia="en-AU" w:bidi="hi-IN"/>
    </w:rPr>
  </w:style>
  <w:style w:type="paragraph" w:styleId="PlainText">
    <w:name w:val="Plain Text"/>
    <w:basedOn w:val="Normal"/>
    <w:link w:val="PlainTextChar"/>
    <w:rsid w:val="00AB7312"/>
    <w:rPr>
      <w:rFonts w:ascii="Calibri" w:hAnsi="Calibri"/>
      <w:color w:val="17365D"/>
      <w:sz w:val="22"/>
      <w:szCs w:val="22"/>
      <w:lang w:val="en-AU" w:eastAsia="en-AU" w:bidi="hi-IN"/>
    </w:rPr>
  </w:style>
  <w:style w:type="character" w:styleId="Emphasis">
    <w:name w:val="Emphasis"/>
    <w:qFormat/>
    <w:rsid w:val="00D400BC"/>
    <w:rPr>
      <w:i/>
      <w:iCs/>
    </w:rPr>
  </w:style>
  <w:style w:type="paragraph" w:customStyle="1" w:styleId="msolistparagraph0">
    <w:name w:val="msolistparagraph"/>
    <w:basedOn w:val="Normal"/>
    <w:rsid w:val="003168FB"/>
    <w:pPr>
      <w:ind w:left="720"/>
    </w:pPr>
    <w:rPr>
      <w:rFonts w:ascii="Calibri" w:hAnsi="Calibri"/>
      <w:sz w:val="22"/>
      <w:szCs w:val="22"/>
      <w:lang w:val="en-AU" w:eastAsia="en-AU" w:bidi="hi-IN"/>
    </w:rPr>
  </w:style>
  <w:style w:type="table" w:customStyle="1" w:styleId="TableGrid1">
    <w:name w:val="Table Grid1"/>
    <w:basedOn w:val="TableNormal"/>
    <w:next w:val="TableGrid"/>
    <w:uiPriority w:val="59"/>
    <w:rsid w:val="00B544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2C5CFC"/>
    <w:pPr>
      <w:numPr>
        <w:numId w:val="36"/>
      </w:numPr>
      <w:tabs>
        <w:tab w:val="left" w:pos="567"/>
      </w:tabs>
      <w:jc w:val="both"/>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232">
      <w:bodyDiv w:val="1"/>
      <w:marLeft w:val="0"/>
      <w:marRight w:val="0"/>
      <w:marTop w:val="0"/>
      <w:marBottom w:val="0"/>
      <w:divBdr>
        <w:top w:val="none" w:sz="0" w:space="0" w:color="auto"/>
        <w:left w:val="none" w:sz="0" w:space="0" w:color="auto"/>
        <w:bottom w:val="none" w:sz="0" w:space="0" w:color="auto"/>
        <w:right w:val="none" w:sz="0" w:space="0" w:color="auto"/>
      </w:divBdr>
    </w:div>
    <w:div w:id="620957784">
      <w:bodyDiv w:val="1"/>
      <w:marLeft w:val="0"/>
      <w:marRight w:val="0"/>
      <w:marTop w:val="0"/>
      <w:marBottom w:val="0"/>
      <w:divBdr>
        <w:top w:val="none" w:sz="0" w:space="0" w:color="auto"/>
        <w:left w:val="none" w:sz="0" w:space="0" w:color="auto"/>
        <w:bottom w:val="none" w:sz="0" w:space="0" w:color="auto"/>
        <w:right w:val="none" w:sz="0" w:space="0" w:color="auto"/>
      </w:divBdr>
    </w:div>
    <w:div w:id="764957835">
      <w:bodyDiv w:val="1"/>
      <w:marLeft w:val="0"/>
      <w:marRight w:val="0"/>
      <w:marTop w:val="0"/>
      <w:marBottom w:val="0"/>
      <w:divBdr>
        <w:top w:val="none" w:sz="0" w:space="0" w:color="auto"/>
        <w:left w:val="none" w:sz="0" w:space="0" w:color="auto"/>
        <w:bottom w:val="none" w:sz="0" w:space="0" w:color="auto"/>
        <w:right w:val="none" w:sz="0" w:space="0" w:color="auto"/>
      </w:divBdr>
    </w:div>
    <w:div w:id="801579313">
      <w:bodyDiv w:val="1"/>
      <w:marLeft w:val="0"/>
      <w:marRight w:val="0"/>
      <w:marTop w:val="0"/>
      <w:marBottom w:val="0"/>
      <w:divBdr>
        <w:top w:val="none" w:sz="0" w:space="0" w:color="auto"/>
        <w:left w:val="none" w:sz="0" w:space="0" w:color="auto"/>
        <w:bottom w:val="none" w:sz="0" w:space="0" w:color="auto"/>
        <w:right w:val="none" w:sz="0" w:space="0" w:color="auto"/>
      </w:divBdr>
    </w:div>
    <w:div w:id="1039355690">
      <w:bodyDiv w:val="1"/>
      <w:marLeft w:val="0"/>
      <w:marRight w:val="0"/>
      <w:marTop w:val="0"/>
      <w:marBottom w:val="0"/>
      <w:divBdr>
        <w:top w:val="none" w:sz="0" w:space="0" w:color="auto"/>
        <w:left w:val="none" w:sz="0" w:space="0" w:color="auto"/>
        <w:bottom w:val="none" w:sz="0" w:space="0" w:color="auto"/>
        <w:right w:val="none" w:sz="0" w:space="0" w:color="auto"/>
      </w:divBdr>
    </w:div>
    <w:div w:id="1101997823">
      <w:bodyDiv w:val="1"/>
      <w:marLeft w:val="0"/>
      <w:marRight w:val="0"/>
      <w:marTop w:val="0"/>
      <w:marBottom w:val="0"/>
      <w:divBdr>
        <w:top w:val="none" w:sz="0" w:space="0" w:color="auto"/>
        <w:left w:val="none" w:sz="0" w:space="0" w:color="auto"/>
        <w:bottom w:val="none" w:sz="0" w:space="0" w:color="auto"/>
        <w:right w:val="none" w:sz="0" w:space="0" w:color="auto"/>
      </w:divBdr>
    </w:div>
    <w:div w:id="15751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govt.nz/childsupport/" TargetMode="External"/><Relationship Id="rId5" Type="http://schemas.openxmlformats.org/officeDocument/2006/relationships/settings" Target="settings.xml"/><Relationship Id="rId10" Type="http://schemas.openxmlformats.org/officeDocument/2006/relationships/hyperlink" Target="http://taxpolicy.ird.govt.nz/publications/type/ri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2662-9A29-4C04-A65E-763C0234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6289</Words>
  <Characters>35701</Characters>
  <Application>Microsoft Office Word</Application>
  <DocSecurity>0</DocSecurity>
  <Lines>1081</Lines>
  <Paragraphs>347</Paragraphs>
  <ScaleCrop>false</ScaleCrop>
  <HeadingPairs>
    <vt:vector size="2" baseType="variant">
      <vt:variant>
        <vt:lpstr>Title</vt:lpstr>
      </vt:variant>
      <vt:variant>
        <vt:i4>1</vt:i4>
      </vt:variant>
    </vt:vector>
  </HeadingPairs>
  <TitlesOfParts>
    <vt:vector size="1" baseType="lpstr">
      <vt:lpstr>Regulatory impact statement - Addressing child support legacy debt</vt:lpstr>
    </vt:vector>
  </TitlesOfParts>
  <Company>Inland Revenue</Company>
  <LinksUpToDate>false</LinksUpToDate>
  <CharactersWithSpaces>41643</CharactersWithSpaces>
  <SharedDoc>false</SharedDoc>
  <HLinks>
    <vt:vector size="12" baseType="variant">
      <vt:variant>
        <vt:i4>5570634</vt:i4>
      </vt:variant>
      <vt:variant>
        <vt:i4>33</vt:i4>
      </vt:variant>
      <vt:variant>
        <vt:i4>0</vt:i4>
      </vt:variant>
      <vt:variant>
        <vt:i4>5</vt:i4>
      </vt:variant>
      <vt:variant>
        <vt:lpwstr>http://www.ird.govt.nz/childsupport/</vt:lpwstr>
      </vt:variant>
      <vt:variant>
        <vt:lpwstr/>
      </vt:variant>
      <vt:variant>
        <vt:i4>4128879</vt:i4>
      </vt:variant>
      <vt:variant>
        <vt:i4>20</vt:i4>
      </vt:variant>
      <vt:variant>
        <vt:i4>0</vt:i4>
      </vt:variant>
      <vt:variant>
        <vt:i4>5</vt:i4>
      </vt:variant>
      <vt:variant>
        <vt:lpwstr>http://taxpolicy.ird.govt.nz/publications/type/ris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Addressing child support legacy debt</dc:title>
  <dc:creator>Policy and Strategy</dc:creator>
  <dc:description>Published 21 May 2015.</dc:description>
  <cp:lastModifiedBy>David Nind</cp:lastModifiedBy>
  <cp:revision>2</cp:revision>
  <dcterms:created xsi:type="dcterms:W3CDTF">2015-05-23T06:09:00Z</dcterms:created>
  <dcterms:modified xsi:type="dcterms:W3CDTF">2015-05-23T06:10:00Z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