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53A" w:rsidRPr="00BF4362" w:rsidRDefault="00EF553A" w:rsidP="00420D90">
      <w:pPr>
        <w:spacing w:after="0" w:line="240" w:lineRule="auto"/>
        <w:jc w:val="center"/>
        <w:rPr>
          <w:rFonts w:ascii="Times New Roman" w:hAnsi="Times New Roman" w:cs="Times New Roman"/>
          <w:b/>
          <w:sz w:val="32"/>
          <w:szCs w:val="24"/>
        </w:rPr>
      </w:pPr>
      <w:bookmarkStart w:id="0" w:name="_GoBack"/>
      <w:bookmarkEnd w:id="0"/>
      <w:r w:rsidRPr="00BF4362">
        <w:rPr>
          <w:rFonts w:ascii="Times New Roman" w:hAnsi="Times New Roman" w:cs="Times New Roman"/>
          <w:b/>
          <w:sz w:val="32"/>
          <w:szCs w:val="24"/>
        </w:rPr>
        <w:t>Regulatory Impact Statement</w:t>
      </w:r>
    </w:p>
    <w:p w:rsidR="00567975" w:rsidRDefault="00567975" w:rsidP="00733BF0">
      <w:pPr>
        <w:spacing w:after="0" w:line="240" w:lineRule="auto"/>
        <w:jc w:val="both"/>
        <w:rPr>
          <w:rFonts w:ascii="Times New Roman" w:hAnsi="Times New Roman" w:cs="Times New Roman"/>
          <w:b/>
          <w:szCs w:val="24"/>
        </w:rPr>
      </w:pPr>
    </w:p>
    <w:p w:rsidR="006127D5" w:rsidRDefault="006127D5" w:rsidP="00733BF0">
      <w:pPr>
        <w:spacing w:after="0" w:line="240" w:lineRule="auto"/>
        <w:jc w:val="both"/>
        <w:rPr>
          <w:rFonts w:ascii="Times New Roman" w:hAnsi="Times New Roman" w:cs="Times New Roman"/>
          <w:b/>
          <w:szCs w:val="24"/>
        </w:rPr>
      </w:pPr>
    </w:p>
    <w:p w:rsidR="00EF553A" w:rsidRPr="00420D90" w:rsidRDefault="007D600F" w:rsidP="00420D9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Implementing the tax </w:t>
      </w:r>
      <w:r w:rsidR="008C7AA0">
        <w:rPr>
          <w:rFonts w:ascii="Times New Roman" w:hAnsi="Times New Roman" w:cs="Times New Roman"/>
          <w:b/>
          <w:sz w:val="24"/>
          <w:szCs w:val="24"/>
        </w:rPr>
        <w:t>provisions</w:t>
      </w:r>
      <w:r>
        <w:rPr>
          <w:rFonts w:ascii="Times New Roman" w:hAnsi="Times New Roman" w:cs="Times New Roman"/>
          <w:b/>
          <w:sz w:val="24"/>
          <w:szCs w:val="24"/>
        </w:rPr>
        <w:t xml:space="preserve"> for community housing </w:t>
      </w:r>
      <w:r w:rsidR="008C7AA0">
        <w:rPr>
          <w:rFonts w:ascii="Times New Roman" w:hAnsi="Times New Roman" w:cs="Times New Roman"/>
          <w:b/>
          <w:sz w:val="24"/>
          <w:szCs w:val="24"/>
        </w:rPr>
        <w:t>entities</w:t>
      </w:r>
    </w:p>
    <w:p w:rsidR="00567975" w:rsidRDefault="00567975" w:rsidP="00FB514B">
      <w:pPr>
        <w:spacing w:after="0" w:line="240" w:lineRule="auto"/>
        <w:jc w:val="both"/>
        <w:rPr>
          <w:rFonts w:ascii="Times New Roman" w:hAnsi="Times New Roman" w:cs="Times New Roman"/>
          <w:b/>
          <w:sz w:val="24"/>
          <w:szCs w:val="24"/>
        </w:rPr>
      </w:pPr>
    </w:p>
    <w:p w:rsidR="00EF553A" w:rsidRPr="00420D90" w:rsidRDefault="00EF553A" w:rsidP="00FB514B">
      <w:pPr>
        <w:spacing w:after="0" w:line="240" w:lineRule="auto"/>
        <w:jc w:val="both"/>
        <w:rPr>
          <w:rFonts w:ascii="Times New Roman" w:hAnsi="Times New Roman" w:cs="Times New Roman"/>
          <w:b/>
          <w:sz w:val="24"/>
          <w:szCs w:val="24"/>
        </w:rPr>
      </w:pPr>
      <w:r w:rsidRPr="00420D90">
        <w:rPr>
          <w:rFonts w:ascii="Times New Roman" w:hAnsi="Times New Roman" w:cs="Times New Roman"/>
          <w:b/>
          <w:sz w:val="24"/>
          <w:szCs w:val="24"/>
        </w:rPr>
        <w:t>Agency Disclosure Statement</w:t>
      </w:r>
    </w:p>
    <w:p w:rsidR="00EF553A" w:rsidRPr="00BF4362" w:rsidRDefault="00EF553A" w:rsidP="00FB514B">
      <w:pPr>
        <w:spacing w:after="0" w:line="240" w:lineRule="auto"/>
        <w:jc w:val="both"/>
        <w:rPr>
          <w:rFonts w:ascii="Times New Roman" w:hAnsi="Times New Roman" w:cs="Times New Roman"/>
          <w:sz w:val="24"/>
          <w:szCs w:val="24"/>
        </w:rPr>
      </w:pPr>
    </w:p>
    <w:p w:rsidR="00EF553A" w:rsidRPr="00BF4362" w:rsidRDefault="00EF553A" w:rsidP="00FB514B">
      <w:pPr>
        <w:spacing w:after="0" w:line="240" w:lineRule="auto"/>
        <w:jc w:val="both"/>
        <w:rPr>
          <w:rFonts w:ascii="Times New Roman" w:hAnsi="Times New Roman" w:cs="Times New Roman"/>
          <w:sz w:val="24"/>
          <w:szCs w:val="24"/>
        </w:rPr>
      </w:pPr>
      <w:r w:rsidRPr="00BF4362">
        <w:rPr>
          <w:rFonts w:ascii="Times New Roman" w:hAnsi="Times New Roman" w:cs="Times New Roman"/>
          <w:sz w:val="24"/>
          <w:szCs w:val="24"/>
        </w:rPr>
        <w:t xml:space="preserve">This Regulatory Impact Statement </w:t>
      </w:r>
      <w:r w:rsidR="00264E47">
        <w:rPr>
          <w:rFonts w:ascii="Times New Roman" w:hAnsi="Times New Roman" w:cs="Times New Roman"/>
          <w:sz w:val="24"/>
          <w:szCs w:val="24"/>
        </w:rPr>
        <w:t xml:space="preserve">(RIS) </w:t>
      </w:r>
      <w:r w:rsidRPr="00BF4362">
        <w:rPr>
          <w:rFonts w:ascii="Times New Roman" w:hAnsi="Times New Roman" w:cs="Times New Roman"/>
          <w:sz w:val="24"/>
          <w:szCs w:val="24"/>
        </w:rPr>
        <w:t>has been prepared by Inland Revenue.</w:t>
      </w:r>
    </w:p>
    <w:p w:rsidR="00EF553A" w:rsidRPr="00BF4362" w:rsidRDefault="00EF553A" w:rsidP="00FB514B">
      <w:pPr>
        <w:spacing w:after="0" w:line="240" w:lineRule="auto"/>
        <w:jc w:val="both"/>
        <w:rPr>
          <w:rFonts w:ascii="Times New Roman" w:hAnsi="Times New Roman" w:cs="Times New Roman"/>
          <w:sz w:val="24"/>
          <w:szCs w:val="24"/>
        </w:rPr>
      </w:pPr>
    </w:p>
    <w:p w:rsidR="00DE2723" w:rsidRPr="00DE2723" w:rsidRDefault="0009322E" w:rsidP="00DE27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question addressed in this statement is what </w:t>
      </w:r>
      <w:r w:rsidR="00567975">
        <w:rPr>
          <w:rFonts w:ascii="Times New Roman" w:hAnsi="Times New Roman" w:cs="Times New Roman"/>
          <w:sz w:val="24"/>
          <w:szCs w:val="24"/>
        </w:rPr>
        <w:t xml:space="preserve">mechanism </w:t>
      </w:r>
      <w:r>
        <w:rPr>
          <w:rFonts w:ascii="Times New Roman" w:hAnsi="Times New Roman" w:cs="Times New Roman"/>
          <w:sz w:val="24"/>
          <w:szCs w:val="24"/>
        </w:rPr>
        <w:t xml:space="preserve">should be </w:t>
      </w:r>
      <w:r w:rsidR="00567975">
        <w:rPr>
          <w:rFonts w:ascii="Times New Roman" w:hAnsi="Times New Roman" w:cs="Times New Roman"/>
          <w:sz w:val="24"/>
          <w:szCs w:val="24"/>
        </w:rPr>
        <w:t xml:space="preserve">used to set </w:t>
      </w:r>
      <w:r>
        <w:rPr>
          <w:rFonts w:ascii="Times New Roman" w:hAnsi="Times New Roman" w:cs="Times New Roman"/>
          <w:sz w:val="24"/>
          <w:szCs w:val="24"/>
        </w:rPr>
        <w:t xml:space="preserve">the level of the income threshold for determining whether a person </w:t>
      </w:r>
      <w:r w:rsidR="00997EDD">
        <w:rPr>
          <w:rFonts w:ascii="Times New Roman" w:hAnsi="Times New Roman" w:cs="Times New Roman"/>
          <w:sz w:val="24"/>
          <w:szCs w:val="24"/>
        </w:rPr>
        <w:t>qualifies as an “</w:t>
      </w:r>
      <w:r>
        <w:rPr>
          <w:rFonts w:ascii="Times New Roman" w:hAnsi="Times New Roman" w:cs="Times New Roman"/>
          <w:sz w:val="24"/>
          <w:szCs w:val="24"/>
        </w:rPr>
        <w:t>eligible recipient</w:t>
      </w:r>
      <w:r w:rsidR="00997EDD">
        <w:rPr>
          <w:rFonts w:ascii="Times New Roman" w:hAnsi="Times New Roman" w:cs="Times New Roman"/>
          <w:sz w:val="24"/>
          <w:szCs w:val="24"/>
        </w:rPr>
        <w:t>”</w:t>
      </w:r>
      <w:r>
        <w:rPr>
          <w:rFonts w:ascii="Times New Roman" w:hAnsi="Times New Roman" w:cs="Times New Roman"/>
          <w:sz w:val="24"/>
          <w:szCs w:val="24"/>
        </w:rPr>
        <w:t xml:space="preserve"> of a </w:t>
      </w:r>
      <w:r w:rsidR="00DE2723" w:rsidRPr="00DE2723">
        <w:rPr>
          <w:rFonts w:ascii="Times New Roman" w:hAnsi="Times New Roman" w:cs="Times New Roman"/>
          <w:sz w:val="24"/>
          <w:szCs w:val="24"/>
        </w:rPr>
        <w:t>community housing entity</w:t>
      </w:r>
      <w:r w:rsidR="00314CFD">
        <w:rPr>
          <w:rFonts w:ascii="Times New Roman" w:hAnsi="Times New Roman" w:cs="Times New Roman"/>
          <w:sz w:val="24"/>
          <w:szCs w:val="24"/>
        </w:rPr>
        <w:t xml:space="preserve">.  This is one of the tests for determining eligibility for the </w:t>
      </w:r>
      <w:r w:rsidR="00DE2723" w:rsidRPr="00DE2723">
        <w:rPr>
          <w:rFonts w:ascii="Times New Roman" w:hAnsi="Times New Roman" w:cs="Times New Roman"/>
          <w:sz w:val="24"/>
          <w:szCs w:val="24"/>
        </w:rPr>
        <w:t xml:space="preserve">current </w:t>
      </w:r>
      <w:r w:rsidR="00DB6DE7">
        <w:rPr>
          <w:rFonts w:ascii="Times New Roman" w:hAnsi="Times New Roman" w:cs="Times New Roman"/>
          <w:sz w:val="24"/>
          <w:szCs w:val="24"/>
        </w:rPr>
        <w:t xml:space="preserve">income </w:t>
      </w:r>
      <w:r w:rsidR="00DE2723" w:rsidRPr="00DE2723">
        <w:rPr>
          <w:rFonts w:ascii="Times New Roman" w:hAnsi="Times New Roman" w:cs="Times New Roman"/>
          <w:sz w:val="24"/>
          <w:szCs w:val="24"/>
        </w:rPr>
        <w:t xml:space="preserve">tax exemption </w:t>
      </w:r>
      <w:r w:rsidR="00DB6DE7">
        <w:rPr>
          <w:rFonts w:ascii="Times New Roman" w:hAnsi="Times New Roman" w:cs="Times New Roman"/>
          <w:sz w:val="24"/>
          <w:szCs w:val="24"/>
        </w:rPr>
        <w:t xml:space="preserve">and </w:t>
      </w:r>
      <w:proofErr w:type="spellStart"/>
      <w:r w:rsidR="00DB6DE7">
        <w:rPr>
          <w:rFonts w:ascii="Times New Roman" w:hAnsi="Times New Roman" w:cs="Times New Roman"/>
          <w:sz w:val="24"/>
          <w:szCs w:val="24"/>
        </w:rPr>
        <w:t>donee</w:t>
      </w:r>
      <w:proofErr w:type="spellEnd"/>
      <w:r w:rsidR="00DB6DE7">
        <w:rPr>
          <w:rFonts w:ascii="Times New Roman" w:hAnsi="Times New Roman" w:cs="Times New Roman"/>
          <w:sz w:val="24"/>
          <w:szCs w:val="24"/>
        </w:rPr>
        <w:t xml:space="preserve"> status </w:t>
      </w:r>
      <w:r w:rsidR="00DE2723" w:rsidRPr="00DE2723">
        <w:rPr>
          <w:rFonts w:ascii="Times New Roman" w:hAnsi="Times New Roman" w:cs="Times New Roman"/>
          <w:sz w:val="24"/>
          <w:szCs w:val="24"/>
        </w:rPr>
        <w:t xml:space="preserve">for </w:t>
      </w:r>
      <w:r w:rsidR="00E12DF7">
        <w:rPr>
          <w:rFonts w:ascii="Times New Roman" w:hAnsi="Times New Roman" w:cs="Times New Roman"/>
          <w:sz w:val="24"/>
          <w:szCs w:val="24"/>
        </w:rPr>
        <w:t xml:space="preserve">community housing entities </w:t>
      </w:r>
      <w:r w:rsidR="00DE2723" w:rsidRPr="00DE2723">
        <w:rPr>
          <w:rFonts w:ascii="Times New Roman" w:hAnsi="Times New Roman" w:cs="Times New Roman"/>
          <w:sz w:val="24"/>
          <w:szCs w:val="24"/>
        </w:rPr>
        <w:t>in the Income Tax Act 2007.</w:t>
      </w:r>
    </w:p>
    <w:p w:rsidR="00DE2723" w:rsidRDefault="00DE2723" w:rsidP="00FB514B">
      <w:pPr>
        <w:spacing w:after="0" w:line="240" w:lineRule="auto"/>
        <w:jc w:val="both"/>
        <w:rPr>
          <w:rFonts w:ascii="Times New Roman" w:hAnsi="Times New Roman" w:cs="Times New Roman"/>
          <w:sz w:val="24"/>
          <w:szCs w:val="24"/>
        </w:rPr>
      </w:pPr>
    </w:p>
    <w:p w:rsidR="003D4DFF" w:rsidRDefault="00326B4C" w:rsidP="00FB51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E12DF7">
        <w:rPr>
          <w:rFonts w:ascii="Times New Roman" w:hAnsi="Times New Roman" w:cs="Times New Roman"/>
          <w:sz w:val="24"/>
          <w:szCs w:val="24"/>
        </w:rPr>
        <w:t xml:space="preserve">current </w:t>
      </w:r>
      <w:r>
        <w:rPr>
          <w:rFonts w:ascii="Times New Roman" w:hAnsi="Times New Roman" w:cs="Times New Roman"/>
          <w:sz w:val="24"/>
          <w:szCs w:val="24"/>
        </w:rPr>
        <w:t xml:space="preserve">tax provisions </w:t>
      </w:r>
      <w:r w:rsidR="00E12DF7">
        <w:rPr>
          <w:rFonts w:ascii="Times New Roman" w:hAnsi="Times New Roman" w:cs="Times New Roman"/>
          <w:sz w:val="24"/>
          <w:szCs w:val="24"/>
        </w:rPr>
        <w:t xml:space="preserve">in question </w:t>
      </w:r>
      <w:r w:rsidR="00F47C7F">
        <w:rPr>
          <w:rFonts w:ascii="Times New Roman" w:hAnsi="Times New Roman" w:cs="Times New Roman"/>
          <w:sz w:val="24"/>
          <w:szCs w:val="24"/>
        </w:rPr>
        <w:t xml:space="preserve">are intended to apply to a small number of housing providers </w:t>
      </w:r>
      <w:r w:rsidR="006127D5">
        <w:rPr>
          <w:rFonts w:ascii="Times New Roman" w:hAnsi="Times New Roman" w:cs="Times New Roman"/>
          <w:sz w:val="24"/>
          <w:szCs w:val="24"/>
        </w:rPr>
        <w:t xml:space="preserve">who </w:t>
      </w:r>
      <w:r w:rsidR="00F47C7F">
        <w:rPr>
          <w:rFonts w:ascii="Times New Roman" w:hAnsi="Times New Roman" w:cs="Times New Roman"/>
          <w:sz w:val="24"/>
          <w:szCs w:val="24"/>
        </w:rPr>
        <w:t xml:space="preserve">provide affordable homeownership products aimed at low-income households.  </w:t>
      </w:r>
      <w:r w:rsidR="003D4DFF">
        <w:rPr>
          <w:rFonts w:ascii="Times New Roman" w:hAnsi="Times New Roman" w:cs="Times New Roman"/>
          <w:sz w:val="24"/>
          <w:szCs w:val="24"/>
        </w:rPr>
        <w:t xml:space="preserve">These provisions were intended to address the tax treatment of providers </w:t>
      </w:r>
      <w:r w:rsidR="00D2696A">
        <w:rPr>
          <w:rFonts w:ascii="Times New Roman" w:hAnsi="Times New Roman" w:cs="Times New Roman"/>
          <w:sz w:val="24"/>
          <w:szCs w:val="24"/>
        </w:rPr>
        <w:t xml:space="preserve">considered to be </w:t>
      </w:r>
      <w:r w:rsidR="003D4DFF">
        <w:rPr>
          <w:rFonts w:ascii="Times New Roman" w:hAnsi="Times New Roman" w:cs="Times New Roman"/>
          <w:sz w:val="24"/>
          <w:szCs w:val="24"/>
        </w:rPr>
        <w:t xml:space="preserve">at risk of </w:t>
      </w:r>
      <w:r w:rsidR="00E12DF7">
        <w:rPr>
          <w:rFonts w:ascii="Times New Roman" w:hAnsi="Times New Roman" w:cs="Times New Roman"/>
          <w:sz w:val="24"/>
          <w:szCs w:val="24"/>
        </w:rPr>
        <w:t xml:space="preserve">losing their charitable status by </w:t>
      </w:r>
      <w:r w:rsidR="003D4DFF">
        <w:rPr>
          <w:rFonts w:ascii="Times New Roman" w:hAnsi="Times New Roman" w:cs="Times New Roman"/>
          <w:sz w:val="24"/>
          <w:szCs w:val="24"/>
        </w:rPr>
        <w:t>being deregistered by Charities Services.</w:t>
      </w:r>
    </w:p>
    <w:p w:rsidR="003D4DFF" w:rsidRDefault="003D4DFF" w:rsidP="00FB514B">
      <w:pPr>
        <w:spacing w:after="0" w:line="240" w:lineRule="auto"/>
        <w:jc w:val="both"/>
        <w:rPr>
          <w:rFonts w:ascii="Times New Roman" w:hAnsi="Times New Roman" w:cs="Times New Roman"/>
          <w:sz w:val="24"/>
          <w:szCs w:val="24"/>
        </w:rPr>
      </w:pPr>
    </w:p>
    <w:p w:rsidR="00C73AA7" w:rsidRDefault="003D4DFF" w:rsidP="00FB51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326B4C">
        <w:rPr>
          <w:rFonts w:ascii="Times New Roman" w:hAnsi="Times New Roman" w:cs="Times New Roman"/>
          <w:sz w:val="24"/>
          <w:szCs w:val="24"/>
        </w:rPr>
        <w:t xml:space="preserve">fter engagement with the housing </w:t>
      </w:r>
      <w:r>
        <w:rPr>
          <w:rFonts w:ascii="Times New Roman" w:hAnsi="Times New Roman" w:cs="Times New Roman"/>
          <w:sz w:val="24"/>
          <w:szCs w:val="24"/>
        </w:rPr>
        <w:t xml:space="preserve">sector and individual providers, </w:t>
      </w:r>
      <w:r w:rsidR="00326B4C">
        <w:rPr>
          <w:rFonts w:ascii="Times New Roman" w:hAnsi="Times New Roman" w:cs="Times New Roman"/>
          <w:sz w:val="24"/>
          <w:szCs w:val="24"/>
        </w:rPr>
        <w:t xml:space="preserve">it </w:t>
      </w:r>
      <w:r w:rsidR="00AF5B84">
        <w:rPr>
          <w:rFonts w:ascii="Times New Roman" w:hAnsi="Times New Roman" w:cs="Times New Roman"/>
          <w:sz w:val="24"/>
          <w:szCs w:val="24"/>
        </w:rPr>
        <w:t xml:space="preserve">is </w:t>
      </w:r>
      <w:r w:rsidR="00326B4C">
        <w:rPr>
          <w:rFonts w:ascii="Times New Roman" w:hAnsi="Times New Roman" w:cs="Times New Roman"/>
          <w:sz w:val="24"/>
          <w:szCs w:val="24"/>
        </w:rPr>
        <w:t xml:space="preserve">clear the current mechanism </w:t>
      </w:r>
      <w:r w:rsidR="00AF5B84">
        <w:rPr>
          <w:rFonts w:ascii="Times New Roman" w:hAnsi="Times New Roman" w:cs="Times New Roman"/>
          <w:sz w:val="24"/>
          <w:szCs w:val="24"/>
        </w:rPr>
        <w:t xml:space="preserve">for setting the income threshold - </w:t>
      </w:r>
      <w:r w:rsidR="00F47C7F">
        <w:rPr>
          <w:rFonts w:ascii="Times New Roman" w:hAnsi="Times New Roman" w:cs="Times New Roman"/>
          <w:sz w:val="24"/>
          <w:szCs w:val="24"/>
        </w:rPr>
        <w:t>which refers to the lower quartile of household income</w:t>
      </w:r>
      <w:r w:rsidR="00AF5B84">
        <w:rPr>
          <w:rFonts w:ascii="Times New Roman" w:hAnsi="Times New Roman" w:cs="Times New Roman"/>
          <w:sz w:val="24"/>
          <w:szCs w:val="24"/>
        </w:rPr>
        <w:t xml:space="preserve"> -</w:t>
      </w:r>
      <w:r w:rsidR="00F47C7F">
        <w:rPr>
          <w:rFonts w:ascii="Times New Roman" w:hAnsi="Times New Roman" w:cs="Times New Roman"/>
          <w:sz w:val="24"/>
          <w:szCs w:val="24"/>
        </w:rPr>
        <w:t xml:space="preserve"> </w:t>
      </w:r>
      <w:r w:rsidR="00326B4C">
        <w:rPr>
          <w:rFonts w:ascii="Times New Roman" w:hAnsi="Times New Roman" w:cs="Times New Roman"/>
          <w:sz w:val="24"/>
          <w:szCs w:val="24"/>
        </w:rPr>
        <w:t xml:space="preserve">is </w:t>
      </w:r>
      <w:r w:rsidR="00BC5986">
        <w:rPr>
          <w:rFonts w:ascii="Times New Roman" w:hAnsi="Times New Roman" w:cs="Times New Roman"/>
          <w:sz w:val="24"/>
          <w:szCs w:val="24"/>
        </w:rPr>
        <w:t xml:space="preserve">considered too restrictive.  </w:t>
      </w:r>
      <w:r w:rsidR="00F47C7F">
        <w:rPr>
          <w:rFonts w:ascii="Times New Roman" w:hAnsi="Times New Roman" w:cs="Times New Roman"/>
          <w:sz w:val="24"/>
          <w:szCs w:val="24"/>
        </w:rPr>
        <w:t xml:space="preserve">This will mean </w:t>
      </w:r>
      <w:r w:rsidR="00E12DF7">
        <w:rPr>
          <w:rFonts w:ascii="Times New Roman" w:hAnsi="Times New Roman" w:cs="Times New Roman"/>
          <w:sz w:val="24"/>
          <w:szCs w:val="24"/>
        </w:rPr>
        <w:t>the current</w:t>
      </w:r>
      <w:r w:rsidR="00BC5986">
        <w:rPr>
          <w:rFonts w:ascii="Times New Roman" w:hAnsi="Times New Roman" w:cs="Times New Roman"/>
          <w:sz w:val="24"/>
          <w:szCs w:val="24"/>
        </w:rPr>
        <w:t xml:space="preserve"> tax provisions </w:t>
      </w:r>
      <w:r w:rsidR="00E12DF7">
        <w:rPr>
          <w:rFonts w:ascii="Times New Roman" w:hAnsi="Times New Roman" w:cs="Times New Roman"/>
          <w:sz w:val="24"/>
          <w:szCs w:val="24"/>
        </w:rPr>
        <w:t xml:space="preserve">for housing providers </w:t>
      </w:r>
      <w:r w:rsidR="00F47C7F">
        <w:rPr>
          <w:rFonts w:ascii="Times New Roman" w:hAnsi="Times New Roman" w:cs="Times New Roman"/>
          <w:sz w:val="24"/>
          <w:szCs w:val="24"/>
        </w:rPr>
        <w:t xml:space="preserve">are unlikely to apply to </w:t>
      </w:r>
      <w:r w:rsidR="00E12DF7">
        <w:rPr>
          <w:rFonts w:ascii="Times New Roman" w:hAnsi="Times New Roman" w:cs="Times New Roman"/>
          <w:sz w:val="24"/>
          <w:szCs w:val="24"/>
        </w:rPr>
        <w:t xml:space="preserve">those </w:t>
      </w:r>
      <w:r w:rsidR="00F47C7F">
        <w:rPr>
          <w:rFonts w:ascii="Times New Roman" w:hAnsi="Times New Roman" w:cs="Times New Roman"/>
          <w:sz w:val="24"/>
          <w:szCs w:val="24"/>
        </w:rPr>
        <w:t xml:space="preserve">who </w:t>
      </w:r>
      <w:r w:rsidR="00AF5B84">
        <w:rPr>
          <w:rFonts w:ascii="Times New Roman" w:hAnsi="Times New Roman" w:cs="Times New Roman"/>
          <w:sz w:val="24"/>
          <w:szCs w:val="24"/>
        </w:rPr>
        <w:t xml:space="preserve">will </w:t>
      </w:r>
      <w:r w:rsidR="00F47C7F">
        <w:rPr>
          <w:rFonts w:ascii="Times New Roman" w:hAnsi="Times New Roman" w:cs="Times New Roman"/>
          <w:sz w:val="24"/>
          <w:szCs w:val="24"/>
        </w:rPr>
        <w:t xml:space="preserve">potentially </w:t>
      </w:r>
      <w:r w:rsidR="00AF5B84">
        <w:rPr>
          <w:rFonts w:ascii="Times New Roman" w:hAnsi="Times New Roman" w:cs="Times New Roman"/>
          <w:sz w:val="24"/>
          <w:szCs w:val="24"/>
        </w:rPr>
        <w:t xml:space="preserve">be </w:t>
      </w:r>
      <w:r w:rsidR="009650C0">
        <w:rPr>
          <w:rFonts w:ascii="Times New Roman" w:hAnsi="Times New Roman" w:cs="Times New Roman"/>
          <w:sz w:val="24"/>
          <w:szCs w:val="24"/>
        </w:rPr>
        <w:t>deregistered as a charity by Charities Services</w:t>
      </w:r>
      <w:r w:rsidR="00BC5986">
        <w:rPr>
          <w:rFonts w:ascii="Times New Roman" w:hAnsi="Times New Roman" w:cs="Times New Roman"/>
          <w:sz w:val="24"/>
          <w:szCs w:val="24"/>
        </w:rPr>
        <w:t>.</w:t>
      </w:r>
      <w:r>
        <w:rPr>
          <w:rFonts w:ascii="Times New Roman" w:hAnsi="Times New Roman" w:cs="Times New Roman"/>
          <w:sz w:val="24"/>
          <w:szCs w:val="24"/>
        </w:rPr>
        <w:t xml:space="preserve">  </w:t>
      </w:r>
      <w:r w:rsidR="00F47C7F">
        <w:rPr>
          <w:rFonts w:ascii="Times New Roman" w:hAnsi="Times New Roman" w:cs="Times New Roman"/>
          <w:sz w:val="24"/>
          <w:szCs w:val="24"/>
        </w:rPr>
        <w:t xml:space="preserve">As a result, </w:t>
      </w:r>
      <w:r w:rsidR="00D6190C">
        <w:rPr>
          <w:rFonts w:ascii="Times New Roman" w:hAnsi="Times New Roman" w:cs="Times New Roman"/>
          <w:sz w:val="24"/>
          <w:szCs w:val="24"/>
        </w:rPr>
        <w:t xml:space="preserve">Ministers asked officials from </w:t>
      </w:r>
      <w:r w:rsidR="00E12DF7">
        <w:rPr>
          <w:rFonts w:ascii="Times New Roman" w:hAnsi="Times New Roman" w:cs="Times New Roman"/>
          <w:sz w:val="24"/>
          <w:szCs w:val="24"/>
        </w:rPr>
        <w:t xml:space="preserve">Ministry of Business, Innovation and Employment </w:t>
      </w:r>
      <w:r w:rsidR="00D6190C">
        <w:rPr>
          <w:rFonts w:ascii="Times New Roman" w:hAnsi="Times New Roman" w:cs="Times New Roman"/>
          <w:sz w:val="24"/>
          <w:szCs w:val="24"/>
        </w:rPr>
        <w:t xml:space="preserve">and Inland Revenue to </w:t>
      </w:r>
      <w:r w:rsidR="00E12DF7">
        <w:rPr>
          <w:rFonts w:ascii="Times New Roman" w:hAnsi="Times New Roman" w:cs="Times New Roman"/>
          <w:sz w:val="24"/>
          <w:szCs w:val="24"/>
        </w:rPr>
        <w:t xml:space="preserve">provide advice </w:t>
      </w:r>
      <w:r w:rsidR="00D6190C">
        <w:rPr>
          <w:rFonts w:ascii="Times New Roman" w:hAnsi="Times New Roman" w:cs="Times New Roman"/>
          <w:sz w:val="24"/>
          <w:szCs w:val="24"/>
        </w:rPr>
        <w:t xml:space="preserve">on </w:t>
      </w:r>
      <w:r w:rsidR="009650C0">
        <w:rPr>
          <w:rFonts w:ascii="Times New Roman" w:hAnsi="Times New Roman" w:cs="Times New Roman"/>
          <w:sz w:val="24"/>
          <w:szCs w:val="24"/>
        </w:rPr>
        <w:t xml:space="preserve">alternative mechanisms for setting higher income thresholds in order to implement the </w:t>
      </w:r>
      <w:r w:rsidR="00E12DF7">
        <w:rPr>
          <w:rFonts w:ascii="Times New Roman" w:hAnsi="Times New Roman" w:cs="Times New Roman"/>
          <w:sz w:val="24"/>
          <w:szCs w:val="24"/>
        </w:rPr>
        <w:t xml:space="preserve">current </w:t>
      </w:r>
      <w:r w:rsidR="009650C0">
        <w:rPr>
          <w:rFonts w:ascii="Times New Roman" w:hAnsi="Times New Roman" w:cs="Times New Roman"/>
          <w:sz w:val="24"/>
          <w:szCs w:val="24"/>
        </w:rPr>
        <w:t>tax provisions</w:t>
      </w:r>
      <w:r w:rsidR="00D6190C">
        <w:rPr>
          <w:rFonts w:ascii="Times New Roman" w:hAnsi="Times New Roman" w:cs="Times New Roman"/>
          <w:sz w:val="24"/>
          <w:szCs w:val="24"/>
        </w:rPr>
        <w:t>.</w:t>
      </w:r>
    </w:p>
    <w:p w:rsidR="00DB1B6E" w:rsidRDefault="00DB1B6E" w:rsidP="00D35F41">
      <w:pPr>
        <w:spacing w:after="0" w:line="240" w:lineRule="auto"/>
        <w:jc w:val="both"/>
        <w:rPr>
          <w:rFonts w:ascii="Times New Roman" w:hAnsi="Times New Roman" w:cs="Times New Roman"/>
          <w:sz w:val="24"/>
          <w:szCs w:val="24"/>
        </w:rPr>
      </w:pPr>
    </w:p>
    <w:p w:rsidR="00E07B05" w:rsidRDefault="008754FD" w:rsidP="00D35F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Targeted consultation with housing sector representatives</w:t>
      </w:r>
      <w:r w:rsidR="002319EB">
        <w:rPr>
          <w:rFonts w:ascii="Times New Roman" w:hAnsi="Times New Roman" w:cs="Times New Roman"/>
          <w:sz w:val="24"/>
          <w:szCs w:val="24"/>
        </w:rPr>
        <w:t xml:space="preserve"> including the </w:t>
      </w:r>
      <w:r w:rsidR="00567975">
        <w:rPr>
          <w:rFonts w:ascii="Times New Roman" w:hAnsi="Times New Roman" w:cs="Times New Roman"/>
          <w:sz w:val="24"/>
          <w:szCs w:val="24"/>
        </w:rPr>
        <w:t>umbrella organisation</w:t>
      </w:r>
      <w:r w:rsidR="002319EB">
        <w:rPr>
          <w:rFonts w:ascii="Times New Roman" w:hAnsi="Times New Roman" w:cs="Times New Roman"/>
          <w:sz w:val="24"/>
          <w:szCs w:val="24"/>
        </w:rPr>
        <w:t>, Community Housing Aotearoa</w:t>
      </w:r>
      <w:r w:rsidR="008C3B3D">
        <w:rPr>
          <w:rFonts w:ascii="Times New Roman" w:hAnsi="Times New Roman" w:cs="Times New Roman"/>
          <w:sz w:val="24"/>
          <w:szCs w:val="24"/>
        </w:rPr>
        <w:t>,</w:t>
      </w:r>
      <w:r>
        <w:rPr>
          <w:rFonts w:ascii="Times New Roman" w:hAnsi="Times New Roman" w:cs="Times New Roman"/>
          <w:sz w:val="24"/>
          <w:szCs w:val="24"/>
        </w:rPr>
        <w:t xml:space="preserve"> </w:t>
      </w:r>
      <w:r w:rsidR="00AF5B84">
        <w:rPr>
          <w:rFonts w:ascii="Times New Roman" w:hAnsi="Times New Roman" w:cs="Times New Roman"/>
          <w:sz w:val="24"/>
          <w:szCs w:val="24"/>
        </w:rPr>
        <w:t xml:space="preserve">has </w:t>
      </w:r>
      <w:r>
        <w:rPr>
          <w:rFonts w:ascii="Times New Roman" w:hAnsi="Times New Roman" w:cs="Times New Roman"/>
          <w:sz w:val="24"/>
          <w:szCs w:val="24"/>
        </w:rPr>
        <w:t xml:space="preserve">helped </w:t>
      </w:r>
      <w:r w:rsidR="00E12DF7">
        <w:rPr>
          <w:rFonts w:ascii="Times New Roman" w:hAnsi="Times New Roman" w:cs="Times New Roman"/>
          <w:sz w:val="24"/>
          <w:szCs w:val="24"/>
        </w:rPr>
        <w:t xml:space="preserve">to </w:t>
      </w:r>
      <w:r w:rsidR="00AF5B84">
        <w:rPr>
          <w:rFonts w:ascii="Times New Roman" w:hAnsi="Times New Roman" w:cs="Times New Roman"/>
          <w:sz w:val="24"/>
          <w:szCs w:val="24"/>
        </w:rPr>
        <w:t xml:space="preserve">define </w:t>
      </w:r>
      <w:r w:rsidR="00E12DF7">
        <w:rPr>
          <w:rFonts w:ascii="Times New Roman" w:hAnsi="Times New Roman" w:cs="Times New Roman"/>
          <w:sz w:val="24"/>
          <w:szCs w:val="24"/>
        </w:rPr>
        <w:t>the problem and formulate</w:t>
      </w:r>
      <w:r>
        <w:rPr>
          <w:rFonts w:ascii="Times New Roman" w:hAnsi="Times New Roman" w:cs="Times New Roman"/>
          <w:sz w:val="24"/>
          <w:szCs w:val="24"/>
        </w:rPr>
        <w:t xml:space="preserve"> options.  </w:t>
      </w:r>
      <w:r w:rsidR="00567975">
        <w:rPr>
          <w:rFonts w:ascii="Times New Roman" w:hAnsi="Times New Roman" w:cs="Times New Roman"/>
          <w:sz w:val="24"/>
          <w:szCs w:val="24"/>
        </w:rPr>
        <w:t xml:space="preserve">In addition, feedback received in submissions to the select committee </w:t>
      </w:r>
      <w:r w:rsidR="009650C0">
        <w:rPr>
          <w:rFonts w:ascii="Times New Roman" w:hAnsi="Times New Roman" w:cs="Times New Roman"/>
          <w:sz w:val="24"/>
          <w:szCs w:val="24"/>
        </w:rPr>
        <w:t xml:space="preserve">when it considered the </w:t>
      </w:r>
      <w:r w:rsidR="00CC63CE">
        <w:rPr>
          <w:rFonts w:ascii="Times New Roman" w:hAnsi="Times New Roman" w:cs="Times New Roman"/>
          <w:sz w:val="24"/>
          <w:szCs w:val="24"/>
        </w:rPr>
        <w:t xml:space="preserve">current </w:t>
      </w:r>
      <w:r w:rsidR="009650C0">
        <w:rPr>
          <w:rFonts w:ascii="Times New Roman" w:hAnsi="Times New Roman" w:cs="Times New Roman"/>
          <w:sz w:val="24"/>
          <w:szCs w:val="24"/>
        </w:rPr>
        <w:t>tax provisions</w:t>
      </w:r>
      <w:r w:rsidR="00567975">
        <w:rPr>
          <w:rFonts w:ascii="Times New Roman" w:hAnsi="Times New Roman" w:cs="Times New Roman"/>
          <w:sz w:val="24"/>
          <w:szCs w:val="24"/>
        </w:rPr>
        <w:t xml:space="preserve"> also help</w:t>
      </w:r>
      <w:r w:rsidR="00BC5986">
        <w:rPr>
          <w:rFonts w:ascii="Times New Roman" w:hAnsi="Times New Roman" w:cs="Times New Roman"/>
          <w:sz w:val="24"/>
          <w:szCs w:val="24"/>
        </w:rPr>
        <w:t>ed</w:t>
      </w:r>
      <w:r w:rsidR="00567975">
        <w:rPr>
          <w:rFonts w:ascii="Times New Roman" w:hAnsi="Times New Roman" w:cs="Times New Roman"/>
          <w:sz w:val="24"/>
          <w:szCs w:val="24"/>
        </w:rPr>
        <w:t xml:space="preserve"> </w:t>
      </w:r>
      <w:r w:rsidR="00CC63CE">
        <w:rPr>
          <w:rFonts w:ascii="Times New Roman" w:hAnsi="Times New Roman" w:cs="Times New Roman"/>
          <w:sz w:val="24"/>
          <w:szCs w:val="24"/>
        </w:rPr>
        <w:t xml:space="preserve">to </w:t>
      </w:r>
      <w:r w:rsidR="00567975">
        <w:rPr>
          <w:rFonts w:ascii="Times New Roman" w:hAnsi="Times New Roman" w:cs="Times New Roman"/>
          <w:sz w:val="24"/>
          <w:szCs w:val="24"/>
        </w:rPr>
        <w:t xml:space="preserve">shape </w:t>
      </w:r>
      <w:r w:rsidR="00CC63CE">
        <w:rPr>
          <w:rFonts w:ascii="Times New Roman" w:hAnsi="Times New Roman" w:cs="Times New Roman"/>
          <w:sz w:val="24"/>
          <w:szCs w:val="24"/>
        </w:rPr>
        <w:t xml:space="preserve">the </w:t>
      </w:r>
      <w:r w:rsidR="00567975">
        <w:rPr>
          <w:rFonts w:ascii="Times New Roman" w:hAnsi="Times New Roman" w:cs="Times New Roman"/>
          <w:sz w:val="24"/>
          <w:szCs w:val="24"/>
        </w:rPr>
        <w:t xml:space="preserve">options discussed </w:t>
      </w:r>
      <w:r w:rsidR="00BC5986">
        <w:rPr>
          <w:rFonts w:ascii="Times New Roman" w:hAnsi="Times New Roman" w:cs="Times New Roman"/>
          <w:sz w:val="24"/>
          <w:szCs w:val="24"/>
        </w:rPr>
        <w:t xml:space="preserve">in </w:t>
      </w:r>
      <w:r w:rsidR="00567975">
        <w:rPr>
          <w:rFonts w:ascii="Times New Roman" w:hAnsi="Times New Roman" w:cs="Times New Roman"/>
          <w:sz w:val="24"/>
          <w:szCs w:val="24"/>
        </w:rPr>
        <w:t xml:space="preserve">this paper.  </w:t>
      </w:r>
      <w:r>
        <w:rPr>
          <w:rFonts w:ascii="Times New Roman" w:hAnsi="Times New Roman" w:cs="Times New Roman"/>
          <w:sz w:val="24"/>
          <w:szCs w:val="24"/>
        </w:rPr>
        <w:t>The Ministry of Business, Innovation and Employment</w:t>
      </w:r>
      <w:r w:rsidR="00DB1B6E">
        <w:rPr>
          <w:rFonts w:ascii="Times New Roman" w:hAnsi="Times New Roman" w:cs="Times New Roman"/>
          <w:sz w:val="24"/>
          <w:szCs w:val="24"/>
        </w:rPr>
        <w:t xml:space="preserve"> and </w:t>
      </w:r>
      <w:r>
        <w:rPr>
          <w:rFonts w:ascii="Times New Roman" w:hAnsi="Times New Roman" w:cs="Times New Roman"/>
          <w:sz w:val="24"/>
          <w:szCs w:val="24"/>
        </w:rPr>
        <w:t xml:space="preserve">the </w:t>
      </w:r>
      <w:r w:rsidR="009F18C1">
        <w:rPr>
          <w:rFonts w:ascii="Times New Roman" w:hAnsi="Times New Roman" w:cs="Times New Roman"/>
          <w:sz w:val="24"/>
          <w:szCs w:val="24"/>
        </w:rPr>
        <w:t>Treasury</w:t>
      </w:r>
      <w:r w:rsidR="00DB1B6E">
        <w:rPr>
          <w:rFonts w:ascii="Times New Roman" w:hAnsi="Times New Roman" w:cs="Times New Roman"/>
          <w:sz w:val="24"/>
          <w:szCs w:val="24"/>
        </w:rPr>
        <w:t xml:space="preserve"> have</w:t>
      </w:r>
      <w:r>
        <w:rPr>
          <w:rFonts w:ascii="Times New Roman" w:hAnsi="Times New Roman" w:cs="Times New Roman"/>
          <w:sz w:val="24"/>
          <w:szCs w:val="24"/>
        </w:rPr>
        <w:t xml:space="preserve"> </w:t>
      </w:r>
      <w:r w:rsidR="00162FAA">
        <w:rPr>
          <w:rFonts w:ascii="Times New Roman" w:hAnsi="Times New Roman" w:cs="Times New Roman"/>
          <w:sz w:val="24"/>
          <w:szCs w:val="24"/>
        </w:rPr>
        <w:t xml:space="preserve">been </w:t>
      </w:r>
      <w:r w:rsidR="00497EA1">
        <w:rPr>
          <w:rFonts w:ascii="Times New Roman" w:hAnsi="Times New Roman" w:cs="Times New Roman"/>
          <w:sz w:val="24"/>
          <w:szCs w:val="24"/>
        </w:rPr>
        <w:t>closely involved in</w:t>
      </w:r>
      <w:r w:rsidR="00D6190C">
        <w:rPr>
          <w:rFonts w:ascii="Times New Roman" w:hAnsi="Times New Roman" w:cs="Times New Roman"/>
          <w:sz w:val="24"/>
          <w:szCs w:val="24"/>
        </w:rPr>
        <w:t xml:space="preserve"> the</w:t>
      </w:r>
      <w:r w:rsidR="00497EA1">
        <w:rPr>
          <w:rFonts w:ascii="Times New Roman" w:hAnsi="Times New Roman" w:cs="Times New Roman"/>
          <w:sz w:val="24"/>
          <w:szCs w:val="24"/>
        </w:rPr>
        <w:t xml:space="preserve"> design of the options</w:t>
      </w:r>
      <w:r>
        <w:rPr>
          <w:rFonts w:ascii="Times New Roman" w:hAnsi="Times New Roman" w:cs="Times New Roman"/>
          <w:sz w:val="24"/>
          <w:szCs w:val="24"/>
        </w:rPr>
        <w:t>.</w:t>
      </w:r>
    </w:p>
    <w:p w:rsidR="00E07B05" w:rsidRDefault="00E07B05" w:rsidP="00D35F41">
      <w:pPr>
        <w:spacing w:after="0" w:line="240" w:lineRule="auto"/>
        <w:jc w:val="both"/>
        <w:rPr>
          <w:rFonts w:ascii="Times New Roman" w:hAnsi="Times New Roman" w:cs="Times New Roman"/>
          <w:sz w:val="24"/>
          <w:szCs w:val="24"/>
        </w:rPr>
      </w:pPr>
    </w:p>
    <w:p w:rsidR="00AF5B84" w:rsidRPr="00AF5B84" w:rsidRDefault="00AF5B84" w:rsidP="00AF5B84">
      <w:pPr>
        <w:spacing w:after="0" w:line="240" w:lineRule="auto"/>
        <w:jc w:val="both"/>
        <w:rPr>
          <w:rFonts w:ascii="Times New Roman" w:hAnsi="Times New Roman" w:cs="Times New Roman"/>
          <w:sz w:val="24"/>
          <w:szCs w:val="24"/>
        </w:rPr>
      </w:pPr>
      <w:r w:rsidRPr="00AF5B84">
        <w:rPr>
          <w:rFonts w:ascii="Times New Roman" w:hAnsi="Times New Roman" w:cs="Times New Roman"/>
          <w:sz w:val="24"/>
          <w:szCs w:val="24"/>
        </w:rPr>
        <w:t xml:space="preserve">Inland Revenue has not been able to determine how many providers are likely to be covered by the options and their eligibility for the </w:t>
      </w:r>
      <w:r w:rsidR="00CC63CE">
        <w:rPr>
          <w:rFonts w:ascii="Times New Roman" w:hAnsi="Times New Roman" w:cs="Times New Roman"/>
          <w:sz w:val="24"/>
          <w:szCs w:val="24"/>
        </w:rPr>
        <w:t>current</w:t>
      </w:r>
      <w:r w:rsidRPr="00AF5B84">
        <w:rPr>
          <w:rFonts w:ascii="Times New Roman" w:hAnsi="Times New Roman" w:cs="Times New Roman"/>
          <w:sz w:val="24"/>
          <w:szCs w:val="24"/>
        </w:rPr>
        <w:t xml:space="preserve"> tax provisions.  This is because Charities Services has not finalised its decisions on who should be deregistered.  Even if we assumed all of the potentially affected providers would be deregistered we do not have sufficient information on </w:t>
      </w:r>
      <w:r w:rsidR="00B97CF0">
        <w:rPr>
          <w:rFonts w:ascii="Times New Roman" w:hAnsi="Times New Roman" w:cs="Times New Roman"/>
          <w:sz w:val="24"/>
          <w:szCs w:val="24"/>
        </w:rPr>
        <w:t xml:space="preserve">the </w:t>
      </w:r>
      <w:r w:rsidRPr="00AF5B84">
        <w:rPr>
          <w:rFonts w:ascii="Times New Roman" w:hAnsi="Times New Roman" w:cs="Times New Roman"/>
          <w:sz w:val="24"/>
          <w:szCs w:val="24"/>
        </w:rPr>
        <w:t xml:space="preserve">eligibility criteria </w:t>
      </w:r>
      <w:r w:rsidR="00B97CF0">
        <w:rPr>
          <w:rFonts w:ascii="Times New Roman" w:hAnsi="Times New Roman" w:cs="Times New Roman"/>
          <w:sz w:val="24"/>
          <w:szCs w:val="24"/>
        </w:rPr>
        <w:t xml:space="preserve">that providers use to determine their recipients (for example, maximum income levels).  </w:t>
      </w:r>
      <w:r w:rsidRPr="00AF5B84">
        <w:rPr>
          <w:rFonts w:ascii="Times New Roman" w:hAnsi="Times New Roman" w:cs="Times New Roman"/>
          <w:sz w:val="24"/>
          <w:szCs w:val="24"/>
        </w:rPr>
        <w:t xml:space="preserve">We did not contact all potentially affected providers because </w:t>
      </w:r>
      <w:r w:rsidR="006D3D61">
        <w:rPr>
          <w:rFonts w:ascii="Times New Roman" w:hAnsi="Times New Roman" w:cs="Times New Roman"/>
          <w:sz w:val="24"/>
          <w:szCs w:val="24"/>
        </w:rPr>
        <w:t xml:space="preserve">of the </w:t>
      </w:r>
      <w:r w:rsidRPr="00AF5B84">
        <w:rPr>
          <w:rFonts w:ascii="Times New Roman" w:hAnsi="Times New Roman" w:cs="Times New Roman"/>
          <w:sz w:val="24"/>
          <w:szCs w:val="24"/>
        </w:rPr>
        <w:t>risk of crea</w:t>
      </w:r>
      <w:r w:rsidR="006D3D61">
        <w:rPr>
          <w:rFonts w:ascii="Times New Roman" w:hAnsi="Times New Roman" w:cs="Times New Roman"/>
          <w:sz w:val="24"/>
          <w:szCs w:val="24"/>
        </w:rPr>
        <w:t>ting confusion around the eligibility of providers</w:t>
      </w:r>
      <w:r w:rsidR="00E12DF7">
        <w:rPr>
          <w:rFonts w:ascii="Times New Roman" w:hAnsi="Times New Roman" w:cs="Times New Roman"/>
          <w:sz w:val="24"/>
          <w:szCs w:val="24"/>
        </w:rPr>
        <w:t>’</w:t>
      </w:r>
      <w:r w:rsidRPr="00AF5B84">
        <w:rPr>
          <w:rFonts w:ascii="Times New Roman" w:hAnsi="Times New Roman" w:cs="Times New Roman"/>
          <w:sz w:val="24"/>
          <w:szCs w:val="24"/>
        </w:rPr>
        <w:t xml:space="preserve"> charitable and tax status.  As a consequence, we are unable to quantify the full impacts of the options.  The absence of this information is a constraint on our analysis.</w:t>
      </w:r>
    </w:p>
    <w:p w:rsidR="00567975" w:rsidRDefault="00567975" w:rsidP="00D35F41">
      <w:pPr>
        <w:spacing w:after="0" w:line="240" w:lineRule="auto"/>
        <w:jc w:val="both"/>
        <w:rPr>
          <w:rFonts w:ascii="Times New Roman" w:hAnsi="Times New Roman" w:cs="Times New Roman"/>
          <w:sz w:val="24"/>
          <w:szCs w:val="24"/>
        </w:rPr>
      </w:pPr>
    </w:p>
    <w:p w:rsidR="00431DCE" w:rsidRPr="00431DCE" w:rsidRDefault="00431DCE" w:rsidP="00431DCE">
      <w:pPr>
        <w:spacing w:after="0" w:line="240" w:lineRule="auto"/>
        <w:jc w:val="both"/>
        <w:rPr>
          <w:rFonts w:ascii="Times New Roman" w:hAnsi="Times New Roman" w:cs="Times New Roman"/>
          <w:sz w:val="24"/>
          <w:szCs w:val="24"/>
        </w:rPr>
      </w:pPr>
      <w:r w:rsidRPr="00431DCE">
        <w:rPr>
          <w:rFonts w:ascii="Times New Roman" w:hAnsi="Times New Roman" w:cs="Times New Roman"/>
          <w:sz w:val="24"/>
          <w:szCs w:val="24"/>
        </w:rPr>
        <w:t xml:space="preserve">A time constraint </w:t>
      </w:r>
      <w:r w:rsidR="00761FA5">
        <w:rPr>
          <w:rFonts w:ascii="Times New Roman" w:hAnsi="Times New Roman" w:cs="Times New Roman"/>
          <w:sz w:val="24"/>
          <w:szCs w:val="24"/>
        </w:rPr>
        <w:t xml:space="preserve">also </w:t>
      </w:r>
      <w:r w:rsidRPr="00431DCE">
        <w:rPr>
          <w:rFonts w:ascii="Times New Roman" w:hAnsi="Times New Roman" w:cs="Times New Roman"/>
          <w:sz w:val="24"/>
          <w:szCs w:val="24"/>
        </w:rPr>
        <w:t xml:space="preserve">exists in relation </w:t>
      </w:r>
      <w:r w:rsidR="00567975">
        <w:rPr>
          <w:rFonts w:ascii="Times New Roman" w:hAnsi="Times New Roman" w:cs="Times New Roman"/>
          <w:sz w:val="24"/>
          <w:szCs w:val="24"/>
        </w:rPr>
        <w:t xml:space="preserve">to </w:t>
      </w:r>
      <w:r w:rsidRPr="00431DCE">
        <w:rPr>
          <w:rFonts w:ascii="Times New Roman" w:hAnsi="Times New Roman" w:cs="Times New Roman"/>
          <w:sz w:val="24"/>
          <w:szCs w:val="24"/>
        </w:rPr>
        <w:t xml:space="preserve">the legislative vehicle for any of the options requiring legislative amendment.  It is preferable that any legislative amendment be included in </w:t>
      </w:r>
      <w:r w:rsidR="00E12DF7">
        <w:rPr>
          <w:rFonts w:ascii="Times New Roman" w:hAnsi="Times New Roman" w:cs="Times New Roman"/>
          <w:sz w:val="24"/>
          <w:szCs w:val="24"/>
        </w:rPr>
        <w:t xml:space="preserve">next available tax bill to enable the </w:t>
      </w:r>
      <w:r w:rsidR="00AF5B84">
        <w:rPr>
          <w:rFonts w:ascii="Times New Roman" w:hAnsi="Times New Roman" w:cs="Times New Roman"/>
          <w:sz w:val="24"/>
          <w:szCs w:val="24"/>
        </w:rPr>
        <w:t>Government</w:t>
      </w:r>
      <w:r w:rsidRPr="00431DCE">
        <w:rPr>
          <w:rFonts w:ascii="Times New Roman" w:hAnsi="Times New Roman" w:cs="Times New Roman"/>
          <w:sz w:val="24"/>
          <w:szCs w:val="24"/>
        </w:rPr>
        <w:t xml:space="preserve"> </w:t>
      </w:r>
      <w:r w:rsidR="00E12DF7">
        <w:rPr>
          <w:rFonts w:ascii="Times New Roman" w:hAnsi="Times New Roman" w:cs="Times New Roman"/>
          <w:sz w:val="24"/>
          <w:szCs w:val="24"/>
        </w:rPr>
        <w:t xml:space="preserve">to </w:t>
      </w:r>
      <w:r w:rsidRPr="00431DCE">
        <w:rPr>
          <w:rFonts w:ascii="Times New Roman" w:hAnsi="Times New Roman" w:cs="Times New Roman"/>
          <w:sz w:val="24"/>
          <w:szCs w:val="24"/>
        </w:rPr>
        <w:t xml:space="preserve">implement the </w:t>
      </w:r>
      <w:r w:rsidR="00CC63CE">
        <w:rPr>
          <w:rFonts w:ascii="Times New Roman" w:hAnsi="Times New Roman" w:cs="Times New Roman"/>
          <w:sz w:val="24"/>
          <w:szCs w:val="24"/>
        </w:rPr>
        <w:t>current</w:t>
      </w:r>
      <w:r w:rsidRPr="00431DCE">
        <w:rPr>
          <w:rFonts w:ascii="Times New Roman" w:hAnsi="Times New Roman" w:cs="Times New Roman"/>
          <w:sz w:val="24"/>
          <w:szCs w:val="24"/>
        </w:rPr>
        <w:t xml:space="preserve"> tax provisions </w:t>
      </w:r>
      <w:r w:rsidR="00CC63CE">
        <w:rPr>
          <w:rFonts w:ascii="Times New Roman" w:hAnsi="Times New Roman" w:cs="Times New Roman"/>
          <w:sz w:val="24"/>
          <w:szCs w:val="24"/>
        </w:rPr>
        <w:t xml:space="preserve">and </w:t>
      </w:r>
      <w:r w:rsidRPr="00431DCE">
        <w:rPr>
          <w:rFonts w:ascii="Times New Roman" w:hAnsi="Times New Roman" w:cs="Times New Roman"/>
          <w:sz w:val="24"/>
          <w:szCs w:val="24"/>
        </w:rPr>
        <w:t xml:space="preserve">provide </w:t>
      </w:r>
      <w:r w:rsidR="00AF5B84">
        <w:rPr>
          <w:rFonts w:ascii="Times New Roman" w:hAnsi="Times New Roman" w:cs="Times New Roman"/>
          <w:sz w:val="24"/>
          <w:szCs w:val="24"/>
        </w:rPr>
        <w:t xml:space="preserve">much </w:t>
      </w:r>
      <w:r w:rsidRPr="00431DCE">
        <w:rPr>
          <w:rFonts w:ascii="Times New Roman" w:hAnsi="Times New Roman" w:cs="Times New Roman"/>
          <w:sz w:val="24"/>
          <w:szCs w:val="24"/>
        </w:rPr>
        <w:t xml:space="preserve">needed certainty of tax treatment for affected </w:t>
      </w:r>
      <w:r w:rsidR="00CC63CE">
        <w:rPr>
          <w:rFonts w:ascii="Times New Roman" w:hAnsi="Times New Roman" w:cs="Times New Roman"/>
          <w:sz w:val="24"/>
          <w:szCs w:val="24"/>
        </w:rPr>
        <w:t xml:space="preserve">housing providers </w:t>
      </w:r>
      <w:r>
        <w:rPr>
          <w:rFonts w:ascii="Times New Roman" w:hAnsi="Times New Roman" w:cs="Times New Roman"/>
          <w:sz w:val="24"/>
          <w:szCs w:val="24"/>
        </w:rPr>
        <w:t xml:space="preserve">and to reduce </w:t>
      </w:r>
      <w:r w:rsidR="00567975">
        <w:rPr>
          <w:rFonts w:ascii="Times New Roman" w:hAnsi="Times New Roman" w:cs="Times New Roman"/>
          <w:sz w:val="24"/>
          <w:szCs w:val="24"/>
        </w:rPr>
        <w:t xml:space="preserve">their </w:t>
      </w:r>
      <w:r>
        <w:rPr>
          <w:rFonts w:ascii="Times New Roman" w:hAnsi="Times New Roman" w:cs="Times New Roman"/>
          <w:sz w:val="24"/>
          <w:szCs w:val="24"/>
        </w:rPr>
        <w:t>costs</w:t>
      </w:r>
      <w:r w:rsidRPr="00431DCE">
        <w:rPr>
          <w:rFonts w:ascii="Times New Roman" w:hAnsi="Times New Roman" w:cs="Times New Roman"/>
          <w:sz w:val="24"/>
          <w:szCs w:val="24"/>
        </w:rPr>
        <w:t>.</w:t>
      </w:r>
    </w:p>
    <w:p w:rsidR="00431DCE" w:rsidRDefault="00431DCE" w:rsidP="00D35F41">
      <w:pPr>
        <w:spacing w:after="0" w:line="240" w:lineRule="auto"/>
        <w:jc w:val="both"/>
        <w:rPr>
          <w:rFonts w:ascii="Times New Roman" w:hAnsi="Times New Roman" w:cs="Times New Roman"/>
          <w:sz w:val="24"/>
          <w:szCs w:val="24"/>
        </w:rPr>
      </w:pPr>
    </w:p>
    <w:p w:rsidR="00AF5A26" w:rsidRDefault="00815C99" w:rsidP="00FB51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There are no other significant constraints, caveats </w:t>
      </w:r>
      <w:r w:rsidR="003953F3">
        <w:rPr>
          <w:rFonts w:ascii="Times New Roman" w:hAnsi="Times New Roman" w:cs="Times New Roman"/>
          <w:sz w:val="24"/>
          <w:szCs w:val="24"/>
        </w:rPr>
        <w:t xml:space="preserve">or </w:t>
      </w:r>
      <w:r>
        <w:rPr>
          <w:rFonts w:ascii="Times New Roman" w:hAnsi="Times New Roman" w:cs="Times New Roman"/>
          <w:sz w:val="24"/>
          <w:szCs w:val="24"/>
        </w:rPr>
        <w:t xml:space="preserve">uncertainties concerning the </w:t>
      </w:r>
      <w:r w:rsidR="00420D90">
        <w:rPr>
          <w:rFonts w:ascii="Times New Roman" w:hAnsi="Times New Roman" w:cs="Times New Roman"/>
          <w:sz w:val="24"/>
          <w:szCs w:val="24"/>
        </w:rPr>
        <w:t xml:space="preserve">regulatory analysis undertaken.  </w:t>
      </w:r>
      <w:r w:rsidR="004E532D">
        <w:rPr>
          <w:rFonts w:ascii="Times New Roman" w:hAnsi="Times New Roman" w:cs="Times New Roman"/>
          <w:sz w:val="24"/>
          <w:szCs w:val="24"/>
        </w:rPr>
        <w:t xml:space="preserve">None of the policy options considered </w:t>
      </w:r>
      <w:proofErr w:type="gramStart"/>
      <w:r w:rsidR="006127D5">
        <w:rPr>
          <w:rFonts w:ascii="Times New Roman" w:hAnsi="Times New Roman" w:cs="Times New Roman"/>
          <w:sz w:val="24"/>
          <w:szCs w:val="24"/>
        </w:rPr>
        <w:t>impair</w:t>
      </w:r>
      <w:proofErr w:type="gramEnd"/>
      <w:r w:rsidR="006127D5">
        <w:rPr>
          <w:rFonts w:ascii="Times New Roman" w:hAnsi="Times New Roman" w:cs="Times New Roman"/>
          <w:sz w:val="24"/>
          <w:szCs w:val="24"/>
        </w:rPr>
        <w:t xml:space="preserve"> private property rights </w:t>
      </w:r>
      <w:r w:rsidR="004E532D">
        <w:rPr>
          <w:rFonts w:ascii="Times New Roman" w:hAnsi="Times New Roman" w:cs="Times New Roman"/>
          <w:sz w:val="24"/>
          <w:szCs w:val="24"/>
        </w:rPr>
        <w:t>or override fundamental common law principles.</w:t>
      </w:r>
    </w:p>
    <w:p w:rsidR="003F18A0" w:rsidRDefault="003F18A0" w:rsidP="00FB514B">
      <w:pPr>
        <w:spacing w:after="0" w:line="240" w:lineRule="auto"/>
        <w:jc w:val="both"/>
        <w:rPr>
          <w:rFonts w:ascii="Times New Roman" w:hAnsi="Times New Roman" w:cs="Times New Roman"/>
          <w:sz w:val="24"/>
          <w:szCs w:val="24"/>
        </w:rPr>
      </w:pPr>
    </w:p>
    <w:p w:rsidR="00431DCE" w:rsidRDefault="00431DCE" w:rsidP="00FB514B">
      <w:pPr>
        <w:spacing w:after="0" w:line="240" w:lineRule="auto"/>
        <w:jc w:val="both"/>
        <w:rPr>
          <w:rFonts w:ascii="Times New Roman" w:hAnsi="Times New Roman" w:cs="Times New Roman"/>
          <w:sz w:val="24"/>
          <w:szCs w:val="24"/>
        </w:rPr>
      </w:pPr>
    </w:p>
    <w:p w:rsidR="00431DCE" w:rsidRDefault="00431DCE" w:rsidP="00FB514B">
      <w:pPr>
        <w:spacing w:after="0" w:line="240" w:lineRule="auto"/>
        <w:jc w:val="both"/>
        <w:rPr>
          <w:rFonts w:ascii="Times New Roman" w:hAnsi="Times New Roman" w:cs="Times New Roman"/>
          <w:sz w:val="24"/>
          <w:szCs w:val="24"/>
        </w:rPr>
      </w:pPr>
    </w:p>
    <w:p w:rsidR="00C73AA7" w:rsidRDefault="00C73AA7" w:rsidP="00FB514B">
      <w:pPr>
        <w:spacing w:after="0" w:line="240" w:lineRule="auto"/>
        <w:jc w:val="both"/>
        <w:rPr>
          <w:rFonts w:ascii="Times New Roman" w:hAnsi="Times New Roman" w:cs="Times New Roman"/>
          <w:sz w:val="24"/>
          <w:szCs w:val="24"/>
        </w:rPr>
      </w:pPr>
    </w:p>
    <w:p w:rsidR="00761FA5" w:rsidRDefault="00761FA5" w:rsidP="00FB514B">
      <w:pPr>
        <w:spacing w:after="0" w:line="240" w:lineRule="auto"/>
        <w:jc w:val="both"/>
        <w:rPr>
          <w:rFonts w:ascii="Times New Roman" w:hAnsi="Times New Roman" w:cs="Times New Roman"/>
          <w:sz w:val="24"/>
          <w:szCs w:val="24"/>
        </w:rPr>
      </w:pPr>
    </w:p>
    <w:p w:rsidR="00D6190C" w:rsidRDefault="00D6190C" w:rsidP="00FB514B">
      <w:pPr>
        <w:spacing w:after="0" w:line="240" w:lineRule="auto"/>
        <w:jc w:val="both"/>
        <w:rPr>
          <w:rFonts w:ascii="Times New Roman" w:hAnsi="Times New Roman" w:cs="Times New Roman"/>
          <w:sz w:val="24"/>
          <w:szCs w:val="24"/>
        </w:rPr>
      </w:pPr>
    </w:p>
    <w:p w:rsidR="003F18A0" w:rsidRDefault="003F18A0" w:rsidP="00FB51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Mike Nutsford</w:t>
      </w:r>
    </w:p>
    <w:p w:rsidR="003F18A0" w:rsidRDefault="003F18A0" w:rsidP="00FB51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Policy Manager, Policy and Strategy</w:t>
      </w:r>
    </w:p>
    <w:p w:rsidR="003F18A0" w:rsidRDefault="003F18A0" w:rsidP="00FB51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Inland Revenue</w:t>
      </w:r>
    </w:p>
    <w:p w:rsidR="0083068C" w:rsidRPr="00431DCE" w:rsidRDefault="00CC63CE" w:rsidP="00431D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June 2015</w:t>
      </w:r>
      <w:r w:rsidR="0083068C">
        <w:rPr>
          <w:rFonts w:ascii="Times New Roman" w:hAnsi="Times New Roman" w:cs="Times New Roman"/>
          <w:b/>
          <w:caps/>
          <w:sz w:val="24"/>
          <w:szCs w:val="24"/>
        </w:rPr>
        <w:br w:type="page"/>
      </w:r>
    </w:p>
    <w:p w:rsidR="00EF553A" w:rsidRPr="00BF4362" w:rsidRDefault="00EF553A" w:rsidP="00E155BF">
      <w:pPr>
        <w:spacing w:after="0" w:line="240" w:lineRule="auto"/>
        <w:jc w:val="both"/>
        <w:rPr>
          <w:rFonts w:ascii="Times New Roman" w:hAnsi="Times New Roman" w:cs="Times New Roman"/>
          <w:b/>
          <w:caps/>
          <w:sz w:val="24"/>
          <w:szCs w:val="24"/>
        </w:rPr>
      </w:pPr>
      <w:r w:rsidRPr="00BF4362">
        <w:rPr>
          <w:rFonts w:ascii="Times New Roman" w:hAnsi="Times New Roman" w:cs="Times New Roman"/>
          <w:b/>
          <w:caps/>
          <w:sz w:val="24"/>
          <w:szCs w:val="24"/>
        </w:rPr>
        <w:lastRenderedPageBreak/>
        <w:t>Status Quo and Problem Definition</w:t>
      </w:r>
    </w:p>
    <w:p w:rsidR="00E155BF" w:rsidRDefault="00E155BF" w:rsidP="00E155BF">
      <w:pPr>
        <w:spacing w:after="0" w:line="240" w:lineRule="auto"/>
        <w:jc w:val="both"/>
        <w:rPr>
          <w:rFonts w:ascii="Times New Roman" w:hAnsi="Times New Roman" w:cs="Times New Roman"/>
          <w:sz w:val="24"/>
          <w:szCs w:val="24"/>
        </w:rPr>
      </w:pPr>
    </w:p>
    <w:p w:rsidR="00982579" w:rsidRPr="00982579" w:rsidRDefault="0009322E" w:rsidP="00E155B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w:t>
      </w:r>
      <w:r w:rsidR="00982579" w:rsidRPr="00982579">
        <w:rPr>
          <w:rFonts w:ascii="Times New Roman" w:hAnsi="Times New Roman" w:cs="Times New Roman"/>
          <w:b/>
          <w:sz w:val="24"/>
          <w:szCs w:val="24"/>
        </w:rPr>
        <w:t xml:space="preserve">ax </w:t>
      </w:r>
      <w:r w:rsidR="008C7AA0">
        <w:rPr>
          <w:rFonts w:ascii="Times New Roman" w:hAnsi="Times New Roman" w:cs="Times New Roman"/>
          <w:b/>
          <w:sz w:val="24"/>
          <w:szCs w:val="24"/>
        </w:rPr>
        <w:t>provisions relating to</w:t>
      </w:r>
      <w:r w:rsidR="00982579" w:rsidRPr="00982579">
        <w:rPr>
          <w:rFonts w:ascii="Times New Roman" w:hAnsi="Times New Roman" w:cs="Times New Roman"/>
          <w:b/>
          <w:sz w:val="24"/>
          <w:szCs w:val="24"/>
        </w:rPr>
        <w:t xml:space="preserve"> community housing </w:t>
      </w:r>
      <w:r>
        <w:rPr>
          <w:rFonts w:ascii="Times New Roman" w:hAnsi="Times New Roman" w:cs="Times New Roman"/>
          <w:b/>
          <w:sz w:val="24"/>
          <w:szCs w:val="24"/>
        </w:rPr>
        <w:t>entities</w:t>
      </w:r>
    </w:p>
    <w:p w:rsidR="00982579" w:rsidRDefault="00982579" w:rsidP="00E155BF">
      <w:pPr>
        <w:spacing w:after="0" w:line="240" w:lineRule="auto"/>
        <w:jc w:val="both"/>
        <w:rPr>
          <w:rFonts w:ascii="Times New Roman" w:hAnsi="Times New Roman" w:cs="Times New Roman"/>
          <w:sz w:val="24"/>
          <w:szCs w:val="24"/>
        </w:rPr>
      </w:pPr>
    </w:p>
    <w:p w:rsidR="00B800AC" w:rsidRDefault="00D268BD" w:rsidP="00D268BD">
      <w:pPr>
        <w:spacing w:after="0" w:line="240" w:lineRule="auto"/>
        <w:jc w:val="both"/>
        <w:rPr>
          <w:rFonts w:ascii="Times New Roman" w:hAnsi="Times New Roman" w:cs="Times New Roman"/>
          <w:sz w:val="24"/>
          <w:szCs w:val="24"/>
        </w:rPr>
      </w:pPr>
      <w:r w:rsidRPr="00D268BD">
        <w:rPr>
          <w:rFonts w:ascii="Times New Roman" w:hAnsi="Times New Roman" w:cs="Times New Roman"/>
          <w:sz w:val="24"/>
          <w:szCs w:val="24"/>
        </w:rPr>
        <w:fldChar w:fldCharType="begin"/>
      </w:r>
      <w:r w:rsidRPr="00D268BD">
        <w:rPr>
          <w:rFonts w:ascii="Times New Roman" w:hAnsi="Times New Roman" w:cs="Times New Roman"/>
          <w:sz w:val="24"/>
          <w:szCs w:val="24"/>
        </w:rPr>
        <w:instrText xml:space="preserve"> AUTONUM  </w:instrText>
      </w:r>
      <w:r w:rsidRPr="00D268BD">
        <w:rPr>
          <w:rFonts w:ascii="Times New Roman" w:hAnsi="Times New Roman" w:cs="Times New Roman"/>
          <w:sz w:val="24"/>
          <w:szCs w:val="24"/>
        </w:rPr>
        <w:fldChar w:fldCharType="end"/>
      </w:r>
      <w:r w:rsidRPr="00D268BD">
        <w:rPr>
          <w:rFonts w:ascii="Times New Roman" w:hAnsi="Times New Roman" w:cs="Times New Roman"/>
          <w:sz w:val="24"/>
          <w:szCs w:val="24"/>
        </w:rPr>
        <w:tab/>
        <w:t xml:space="preserve">The Taxation (Annual Rates, Employee Allowances and Remedial Matters) Act was enacted on 30 June 2014. </w:t>
      </w:r>
      <w:r w:rsidR="00DE2723">
        <w:rPr>
          <w:rFonts w:ascii="Times New Roman" w:hAnsi="Times New Roman" w:cs="Times New Roman"/>
          <w:sz w:val="24"/>
          <w:szCs w:val="24"/>
        </w:rPr>
        <w:t xml:space="preserve"> I</w:t>
      </w:r>
      <w:r w:rsidRPr="00D268BD">
        <w:rPr>
          <w:rFonts w:ascii="Times New Roman" w:hAnsi="Times New Roman" w:cs="Times New Roman"/>
          <w:sz w:val="24"/>
          <w:szCs w:val="24"/>
        </w:rPr>
        <w:t xml:space="preserve">t </w:t>
      </w:r>
      <w:r w:rsidR="00CC63CE">
        <w:rPr>
          <w:rFonts w:ascii="Times New Roman" w:hAnsi="Times New Roman" w:cs="Times New Roman"/>
          <w:sz w:val="24"/>
          <w:szCs w:val="24"/>
        </w:rPr>
        <w:t>conferred</w:t>
      </w:r>
      <w:r w:rsidRPr="00D268BD">
        <w:rPr>
          <w:rFonts w:ascii="Times New Roman" w:hAnsi="Times New Roman" w:cs="Times New Roman"/>
          <w:sz w:val="24"/>
          <w:szCs w:val="24"/>
        </w:rPr>
        <w:t xml:space="preserve"> </w:t>
      </w:r>
      <w:r w:rsidR="00DE2723">
        <w:rPr>
          <w:rFonts w:ascii="Times New Roman" w:hAnsi="Times New Roman" w:cs="Times New Roman"/>
          <w:sz w:val="24"/>
          <w:szCs w:val="24"/>
        </w:rPr>
        <w:t>income</w:t>
      </w:r>
      <w:r w:rsidRPr="00D268BD">
        <w:rPr>
          <w:rFonts w:ascii="Times New Roman" w:hAnsi="Times New Roman" w:cs="Times New Roman"/>
          <w:sz w:val="24"/>
          <w:szCs w:val="24"/>
        </w:rPr>
        <w:t xml:space="preserve"> tax exemption </w:t>
      </w:r>
      <w:r w:rsidR="0009322E">
        <w:rPr>
          <w:rFonts w:ascii="Times New Roman" w:hAnsi="Times New Roman" w:cs="Times New Roman"/>
          <w:sz w:val="24"/>
          <w:szCs w:val="24"/>
        </w:rPr>
        <w:t xml:space="preserve">and </w:t>
      </w:r>
      <w:proofErr w:type="spellStart"/>
      <w:r w:rsidR="00DE2723">
        <w:rPr>
          <w:rFonts w:ascii="Times New Roman" w:hAnsi="Times New Roman" w:cs="Times New Roman"/>
          <w:sz w:val="24"/>
          <w:szCs w:val="24"/>
        </w:rPr>
        <w:t>donee</w:t>
      </w:r>
      <w:proofErr w:type="spellEnd"/>
      <w:r w:rsidR="00DE2723">
        <w:rPr>
          <w:rFonts w:ascii="Times New Roman" w:hAnsi="Times New Roman" w:cs="Times New Roman"/>
          <w:sz w:val="24"/>
          <w:szCs w:val="24"/>
        </w:rPr>
        <w:t xml:space="preserve"> </w:t>
      </w:r>
      <w:r w:rsidR="00BF4477">
        <w:rPr>
          <w:rFonts w:ascii="Times New Roman" w:hAnsi="Times New Roman" w:cs="Times New Roman"/>
          <w:sz w:val="24"/>
          <w:szCs w:val="24"/>
        </w:rPr>
        <w:t xml:space="preserve">status </w:t>
      </w:r>
      <w:r w:rsidR="0009322E">
        <w:rPr>
          <w:rFonts w:ascii="Times New Roman" w:hAnsi="Times New Roman" w:cs="Times New Roman"/>
          <w:sz w:val="24"/>
          <w:szCs w:val="24"/>
        </w:rPr>
        <w:t xml:space="preserve">for </w:t>
      </w:r>
      <w:r w:rsidR="00424EF2">
        <w:rPr>
          <w:rFonts w:ascii="Times New Roman" w:hAnsi="Times New Roman" w:cs="Times New Roman"/>
          <w:sz w:val="24"/>
          <w:szCs w:val="24"/>
        </w:rPr>
        <w:t xml:space="preserve">certain </w:t>
      </w:r>
      <w:r w:rsidR="0009322E">
        <w:rPr>
          <w:rFonts w:ascii="Times New Roman" w:hAnsi="Times New Roman" w:cs="Times New Roman"/>
          <w:sz w:val="24"/>
          <w:szCs w:val="24"/>
        </w:rPr>
        <w:t xml:space="preserve">community housing </w:t>
      </w:r>
      <w:r w:rsidR="00424EF2">
        <w:rPr>
          <w:rFonts w:ascii="Times New Roman" w:hAnsi="Times New Roman" w:cs="Times New Roman"/>
          <w:sz w:val="24"/>
          <w:szCs w:val="24"/>
        </w:rPr>
        <w:t>providers (referred to as community housing entities or CHEs)</w:t>
      </w:r>
      <w:r w:rsidR="00BF4477">
        <w:rPr>
          <w:rFonts w:ascii="Times New Roman" w:hAnsi="Times New Roman" w:cs="Times New Roman"/>
          <w:sz w:val="24"/>
          <w:szCs w:val="24"/>
        </w:rPr>
        <w:t xml:space="preserve">.  </w:t>
      </w:r>
      <w:r w:rsidR="008C7AA0">
        <w:rPr>
          <w:rFonts w:ascii="Times New Roman" w:hAnsi="Times New Roman" w:cs="Times New Roman"/>
          <w:sz w:val="24"/>
          <w:szCs w:val="24"/>
        </w:rPr>
        <w:t>Cabinet</w:t>
      </w:r>
      <w:r w:rsidR="00FC6402">
        <w:rPr>
          <w:rFonts w:ascii="Times New Roman" w:hAnsi="Times New Roman" w:cs="Times New Roman"/>
          <w:sz w:val="24"/>
          <w:szCs w:val="24"/>
        </w:rPr>
        <w:t>’s</w:t>
      </w:r>
      <w:r w:rsidR="008C7AA0">
        <w:rPr>
          <w:rFonts w:ascii="Times New Roman" w:hAnsi="Times New Roman" w:cs="Times New Roman"/>
          <w:sz w:val="24"/>
          <w:szCs w:val="24"/>
        </w:rPr>
        <w:t xml:space="preserve"> original intention was to provide a specific income tax exemption (and </w:t>
      </w:r>
      <w:proofErr w:type="spellStart"/>
      <w:r w:rsidR="008C7AA0">
        <w:rPr>
          <w:rFonts w:ascii="Times New Roman" w:hAnsi="Times New Roman" w:cs="Times New Roman"/>
          <w:sz w:val="24"/>
          <w:szCs w:val="24"/>
        </w:rPr>
        <w:t>donee</w:t>
      </w:r>
      <w:proofErr w:type="spellEnd"/>
      <w:r w:rsidR="008C7AA0">
        <w:rPr>
          <w:rFonts w:ascii="Times New Roman" w:hAnsi="Times New Roman" w:cs="Times New Roman"/>
          <w:sz w:val="24"/>
          <w:szCs w:val="24"/>
        </w:rPr>
        <w:t xml:space="preserve"> status) for a small number for CHEs </w:t>
      </w:r>
      <w:r w:rsidR="00FC6402">
        <w:rPr>
          <w:rFonts w:ascii="Times New Roman" w:hAnsi="Times New Roman" w:cs="Times New Roman"/>
          <w:sz w:val="24"/>
          <w:szCs w:val="24"/>
        </w:rPr>
        <w:t xml:space="preserve">that </w:t>
      </w:r>
      <w:r w:rsidR="00D2696A">
        <w:rPr>
          <w:rFonts w:ascii="Times New Roman" w:hAnsi="Times New Roman" w:cs="Times New Roman"/>
          <w:sz w:val="24"/>
          <w:szCs w:val="24"/>
        </w:rPr>
        <w:t>could</w:t>
      </w:r>
      <w:r w:rsidR="00FC6402">
        <w:rPr>
          <w:rFonts w:ascii="Times New Roman" w:hAnsi="Times New Roman" w:cs="Times New Roman"/>
          <w:sz w:val="24"/>
          <w:szCs w:val="24"/>
        </w:rPr>
        <w:t xml:space="preserve"> be </w:t>
      </w:r>
      <w:r w:rsidR="008C7AA0">
        <w:rPr>
          <w:rFonts w:ascii="Times New Roman" w:hAnsi="Times New Roman" w:cs="Times New Roman"/>
          <w:sz w:val="24"/>
          <w:szCs w:val="24"/>
        </w:rPr>
        <w:t>deregistered as charit</w:t>
      </w:r>
      <w:r w:rsidR="00FC6402">
        <w:rPr>
          <w:rFonts w:ascii="Times New Roman" w:hAnsi="Times New Roman" w:cs="Times New Roman"/>
          <w:sz w:val="24"/>
          <w:szCs w:val="24"/>
        </w:rPr>
        <w:t>ies</w:t>
      </w:r>
      <w:r w:rsidR="008C7AA0">
        <w:rPr>
          <w:rFonts w:ascii="Times New Roman" w:hAnsi="Times New Roman" w:cs="Times New Roman"/>
          <w:sz w:val="24"/>
          <w:szCs w:val="24"/>
        </w:rPr>
        <w:t xml:space="preserve"> because they provide affordable homeownership products aimed at low-income households.</w:t>
      </w:r>
      <w:r w:rsidR="00B800AC">
        <w:rPr>
          <w:rFonts w:ascii="Times New Roman" w:hAnsi="Times New Roman" w:cs="Times New Roman"/>
          <w:sz w:val="24"/>
          <w:szCs w:val="24"/>
        </w:rPr>
        <w:t xml:space="preserve">  [CAB Min (13) 37/10 refers].</w:t>
      </w:r>
    </w:p>
    <w:p w:rsidR="00B800AC" w:rsidRDefault="00B800AC" w:rsidP="00D268BD">
      <w:pPr>
        <w:spacing w:after="0" w:line="240" w:lineRule="auto"/>
        <w:jc w:val="both"/>
        <w:rPr>
          <w:rFonts w:ascii="Times New Roman" w:hAnsi="Times New Roman" w:cs="Times New Roman"/>
          <w:sz w:val="24"/>
          <w:szCs w:val="24"/>
        </w:rPr>
      </w:pPr>
    </w:p>
    <w:p w:rsidR="00D268BD" w:rsidRPr="005C1739" w:rsidRDefault="00B800AC" w:rsidP="00D268BD">
      <w:pPr>
        <w:spacing w:after="0" w:line="240" w:lineRule="auto"/>
        <w:jc w:val="both"/>
        <w:rPr>
          <w:rFonts w:ascii="Times New Roman" w:hAnsi="Times New Roman" w:cs="Times New Roman"/>
          <w:sz w:val="24"/>
          <w:szCs w:val="24"/>
        </w:rPr>
      </w:pPr>
      <w:r w:rsidRPr="00B800AC">
        <w:rPr>
          <w:rFonts w:ascii="Times New Roman" w:hAnsi="Times New Roman" w:cs="Times New Roman"/>
          <w:sz w:val="24"/>
          <w:szCs w:val="24"/>
        </w:rPr>
        <w:fldChar w:fldCharType="begin"/>
      </w:r>
      <w:r w:rsidRPr="00B800AC">
        <w:rPr>
          <w:rFonts w:ascii="Times New Roman" w:hAnsi="Times New Roman" w:cs="Times New Roman"/>
          <w:sz w:val="24"/>
          <w:szCs w:val="24"/>
        </w:rPr>
        <w:instrText xml:space="preserve"> AUTONUM  </w:instrText>
      </w:r>
      <w:r w:rsidRPr="00B800AC">
        <w:rPr>
          <w:rFonts w:ascii="Times New Roman" w:hAnsi="Times New Roman" w:cs="Times New Roman"/>
          <w:sz w:val="24"/>
          <w:szCs w:val="24"/>
        </w:rPr>
        <w:fldChar w:fldCharType="end"/>
      </w:r>
      <w:r w:rsidRPr="00B800AC">
        <w:rPr>
          <w:rFonts w:ascii="Times New Roman" w:hAnsi="Times New Roman" w:cs="Times New Roman"/>
          <w:sz w:val="24"/>
          <w:szCs w:val="24"/>
        </w:rPr>
        <w:tab/>
      </w:r>
      <w:r w:rsidR="00DE2723">
        <w:rPr>
          <w:rFonts w:ascii="Times New Roman" w:hAnsi="Times New Roman" w:cs="Times New Roman"/>
          <w:sz w:val="24"/>
          <w:szCs w:val="24"/>
        </w:rPr>
        <w:t xml:space="preserve">The policy rationale for </w:t>
      </w:r>
      <w:r w:rsidR="00BF4477">
        <w:rPr>
          <w:rFonts w:ascii="Times New Roman" w:hAnsi="Times New Roman" w:cs="Times New Roman"/>
          <w:sz w:val="24"/>
          <w:szCs w:val="24"/>
        </w:rPr>
        <w:t xml:space="preserve">granting </w:t>
      </w:r>
      <w:r w:rsidR="005C1739">
        <w:rPr>
          <w:rFonts w:ascii="Times New Roman" w:hAnsi="Times New Roman" w:cs="Times New Roman"/>
          <w:sz w:val="24"/>
          <w:szCs w:val="24"/>
        </w:rPr>
        <w:t xml:space="preserve">the </w:t>
      </w:r>
      <w:r w:rsidR="00BF4477">
        <w:rPr>
          <w:rFonts w:ascii="Times New Roman" w:hAnsi="Times New Roman" w:cs="Times New Roman"/>
          <w:sz w:val="24"/>
          <w:szCs w:val="24"/>
        </w:rPr>
        <w:t xml:space="preserve">income tax exemption and </w:t>
      </w:r>
      <w:proofErr w:type="spellStart"/>
      <w:r w:rsidR="00BF4477">
        <w:rPr>
          <w:rFonts w:ascii="Times New Roman" w:hAnsi="Times New Roman" w:cs="Times New Roman"/>
          <w:sz w:val="24"/>
          <w:szCs w:val="24"/>
        </w:rPr>
        <w:t>donee</w:t>
      </w:r>
      <w:proofErr w:type="spellEnd"/>
      <w:r w:rsidR="00BF4477">
        <w:rPr>
          <w:rFonts w:ascii="Times New Roman" w:hAnsi="Times New Roman" w:cs="Times New Roman"/>
          <w:sz w:val="24"/>
          <w:szCs w:val="24"/>
        </w:rPr>
        <w:t xml:space="preserve"> status to these entities is set out in a previous RIS entitled </w:t>
      </w:r>
      <w:r w:rsidR="00BF4477">
        <w:rPr>
          <w:rFonts w:ascii="Times New Roman" w:hAnsi="Times New Roman" w:cs="Times New Roman"/>
          <w:i/>
          <w:sz w:val="24"/>
          <w:szCs w:val="24"/>
        </w:rPr>
        <w:t xml:space="preserve">Tax Treatment of community housing providers </w:t>
      </w:r>
      <w:r w:rsidR="00BF4477" w:rsidRPr="00BF4477">
        <w:rPr>
          <w:rFonts w:ascii="Times New Roman" w:hAnsi="Times New Roman" w:cs="Times New Roman"/>
          <w:sz w:val="24"/>
          <w:szCs w:val="24"/>
        </w:rPr>
        <w:t>(23 October 2013)</w:t>
      </w:r>
      <w:r w:rsidR="00BF4477">
        <w:rPr>
          <w:rFonts w:ascii="Times New Roman" w:hAnsi="Times New Roman" w:cs="Times New Roman"/>
          <w:i/>
          <w:sz w:val="24"/>
          <w:szCs w:val="24"/>
        </w:rPr>
        <w:t>.</w:t>
      </w:r>
      <w:r w:rsidR="005C1739">
        <w:rPr>
          <w:rFonts w:ascii="Times New Roman" w:hAnsi="Times New Roman" w:cs="Times New Roman"/>
          <w:sz w:val="24"/>
          <w:szCs w:val="24"/>
        </w:rPr>
        <w:t xml:space="preserve">  That RIS included advice </w:t>
      </w:r>
      <w:r w:rsidR="00B61DCB">
        <w:rPr>
          <w:rFonts w:ascii="Times New Roman" w:hAnsi="Times New Roman" w:cs="Times New Roman"/>
          <w:sz w:val="24"/>
          <w:szCs w:val="24"/>
        </w:rPr>
        <w:t>on</w:t>
      </w:r>
      <w:r w:rsidR="005C1739">
        <w:rPr>
          <w:rFonts w:ascii="Times New Roman" w:hAnsi="Times New Roman" w:cs="Times New Roman"/>
          <w:sz w:val="24"/>
          <w:szCs w:val="24"/>
        </w:rPr>
        <w:t xml:space="preserve"> time-limiting </w:t>
      </w:r>
      <w:r w:rsidR="00B61DCB">
        <w:rPr>
          <w:rFonts w:ascii="Times New Roman" w:hAnsi="Times New Roman" w:cs="Times New Roman"/>
          <w:sz w:val="24"/>
          <w:szCs w:val="24"/>
        </w:rPr>
        <w:t xml:space="preserve">the tax exemption for the affected </w:t>
      </w:r>
      <w:r w:rsidR="005C1739">
        <w:rPr>
          <w:rFonts w:ascii="Times New Roman" w:hAnsi="Times New Roman" w:cs="Times New Roman"/>
          <w:sz w:val="24"/>
          <w:szCs w:val="24"/>
        </w:rPr>
        <w:t>housing providers.</w:t>
      </w:r>
    </w:p>
    <w:p w:rsidR="00D268BD" w:rsidRPr="00D268BD" w:rsidRDefault="00D268BD" w:rsidP="00D268BD">
      <w:pPr>
        <w:spacing w:after="0" w:line="240" w:lineRule="auto"/>
        <w:jc w:val="both"/>
        <w:rPr>
          <w:rFonts w:ascii="Times New Roman" w:hAnsi="Times New Roman" w:cs="Times New Roman"/>
          <w:sz w:val="24"/>
          <w:szCs w:val="24"/>
        </w:rPr>
      </w:pPr>
    </w:p>
    <w:p w:rsidR="00CC2F37" w:rsidRDefault="00D268BD" w:rsidP="00D268BD">
      <w:pPr>
        <w:spacing w:after="0" w:line="240" w:lineRule="auto"/>
        <w:jc w:val="both"/>
        <w:rPr>
          <w:rFonts w:ascii="Times New Roman" w:hAnsi="Times New Roman" w:cs="Times New Roman"/>
          <w:sz w:val="24"/>
          <w:szCs w:val="24"/>
        </w:rPr>
      </w:pPr>
      <w:r w:rsidRPr="00D268BD">
        <w:rPr>
          <w:rFonts w:ascii="Times New Roman" w:hAnsi="Times New Roman" w:cs="Times New Roman"/>
          <w:sz w:val="24"/>
          <w:szCs w:val="24"/>
        </w:rPr>
        <w:fldChar w:fldCharType="begin"/>
      </w:r>
      <w:r w:rsidRPr="00D268BD">
        <w:rPr>
          <w:rFonts w:ascii="Times New Roman" w:hAnsi="Times New Roman" w:cs="Times New Roman"/>
          <w:sz w:val="24"/>
          <w:szCs w:val="24"/>
        </w:rPr>
        <w:instrText xml:space="preserve"> AUTONUM  </w:instrText>
      </w:r>
      <w:r w:rsidRPr="00D268BD">
        <w:rPr>
          <w:rFonts w:ascii="Times New Roman" w:hAnsi="Times New Roman" w:cs="Times New Roman"/>
          <w:sz w:val="24"/>
          <w:szCs w:val="24"/>
        </w:rPr>
        <w:fldChar w:fldCharType="end"/>
      </w:r>
      <w:r w:rsidRPr="00D268BD">
        <w:rPr>
          <w:rFonts w:ascii="Times New Roman" w:hAnsi="Times New Roman" w:cs="Times New Roman"/>
          <w:sz w:val="24"/>
          <w:szCs w:val="24"/>
        </w:rPr>
        <w:tab/>
      </w:r>
      <w:r w:rsidR="00BF4477">
        <w:rPr>
          <w:rFonts w:ascii="Times New Roman" w:hAnsi="Times New Roman" w:cs="Times New Roman"/>
          <w:sz w:val="24"/>
          <w:szCs w:val="24"/>
        </w:rPr>
        <w:t xml:space="preserve">Although the </w:t>
      </w:r>
      <w:r w:rsidR="00E92DEB">
        <w:rPr>
          <w:rFonts w:ascii="Times New Roman" w:hAnsi="Times New Roman" w:cs="Times New Roman"/>
          <w:sz w:val="24"/>
          <w:szCs w:val="24"/>
        </w:rPr>
        <w:t xml:space="preserve">CHE tax provisions have </w:t>
      </w:r>
      <w:r w:rsidR="00DB6DE7">
        <w:rPr>
          <w:rFonts w:ascii="Times New Roman" w:hAnsi="Times New Roman" w:cs="Times New Roman"/>
          <w:sz w:val="24"/>
          <w:szCs w:val="24"/>
        </w:rPr>
        <w:t>been enacted</w:t>
      </w:r>
      <w:r w:rsidR="00BF4477">
        <w:rPr>
          <w:rFonts w:ascii="Times New Roman" w:hAnsi="Times New Roman" w:cs="Times New Roman"/>
          <w:sz w:val="24"/>
          <w:szCs w:val="24"/>
        </w:rPr>
        <w:t xml:space="preserve">, </w:t>
      </w:r>
      <w:r w:rsidR="00EF7E34">
        <w:rPr>
          <w:rFonts w:ascii="Times New Roman" w:hAnsi="Times New Roman" w:cs="Times New Roman"/>
          <w:sz w:val="24"/>
          <w:szCs w:val="24"/>
        </w:rPr>
        <w:t>a regulation</w:t>
      </w:r>
      <w:r w:rsidR="00CC2F37">
        <w:rPr>
          <w:rFonts w:ascii="Times New Roman" w:hAnsi="Times New Roman" w:cs="Times New Roman"/>
          <w:sz w:val="24"/>
          <w:szCs w:val="24"/>
        </w:rPr>
        <w:t xml:space="preserve"> </w:t>
      </w:r>
      <w:r w:rsidR="00D2696A">
        <w:rPr>
          <w:rFonts w:ascii="Times New Roman" w:hAnsi="Times New Roman" w:cs="Times New Roman"/>
          <w:sz w:val="24"/>
          <w:szCs w:val="24"/>
        </w:rPr>
        <w:t xml:space="preserve">by Order in Council </w:t>
      </w:r>
      <w:r w:rsidR="00BF4477">
        <w:rPr>
          <w:rFonts w:ascii="Times New Roman" w:hAnsi="Times New Roman" w:cs="Times New Roman"/>
          <w:sz w:val="24"/>
          <w:szCs w:val="24"/>
        </w:rPr>
        <w:t xml:space="preserve">is required to </w:t>
      </w:r>
      <w:r w:rsidR="00EF7E34">
        <w:rPr>
          <w:rFonts w:ascii="Times New Roman" w:hAnsi="Times New Roman" w:cs="Times New Roman"/>
          <w:sz w:val="24"/>
          <w:szCs w:val="24"/>
        </w:rPr>
        <w:t xml:space="preserve">specify </w:t>
      </w:r>
      <w:r w:rsidR="00BF4477">
        <w:rPr>
          <w:rFonts w:ascii="Times New Roman" w:hAnsi="Times New Roman" w:cs="Times New Roman"/>
          <w:sz w:val="24"/>
          <w:szCs w:val="24"/>
        </w:rPr>
        <w:t xml:space="preserve">the criteria for determining who can </w:t>
      </w:r>
      <w:r w:rsidR="00997EDD">
        <w:rPr>
          <w:rFonts w:ascii="Times New Roman" w:hAnsi="Times New Roman" w:cs="Times New Roman"/>
          <w:sz w:val="24"/>
          <w:szCs w:val="24"/>
        </w:rPr>
        <w:t xml:space="preserve">qualify as </w:t>
      </w:r>
      <w:r w:rsidR="00BF4477">
        <w:rPr>
          <w:rFonts w:ascii="Times New Roman" w:hAnsi="Times New Roman" w:cs="Times New Roman"/>
          <w:sz w:val="24"/>
          <w:szCs w:val="24"/>
        </w:rPr>
        <w:t>a</w:t>
      </w:r>
      <w:r w:rsidR="00997EDD">
        <w:rPr>
          <w:rFonts w:ascii="Times New Roman" w:hAnsi="Times New Roman" w:cs="Times New Roman"/>
          <w:sz w:val="24"/>
          <w:szCs w:val="24"/>
        </w:rPr>
        <w:t>n eligible</w:t>
      </w:r>
      <w:r w:rsidR="00BF4477">
        <w:rPr>
          <w:rFonts w:ascii="Times New Roman" w:hAnsi="Times New Roman" w:cs="Times New Roman"/>
          <w:sz w:val="24"/>
          <w:szCs w:val="24"/>
        </w:rPr>
        <w:t xml:space="preserve"> </w:t>
      </w:r>
      <w:r w:rsidR="00BF4477" w:rsidRPr="00BF4477">
        <w:rPr>
          <w:rFonts w:ascii="Times New Roman" w:hAnsi="Times New Roman" w:cs="Times New Roman"/>
          <w:sz w:val="24"/>
          <w:szCs w:val="24"/>
        </w:rPr>
        <w:t xml:space="preserve">recipient of </w:t>
      </w:r>
      <w:r w:rsidR="00997EDD">
        <w:rPr>
          <w:rFonts w:ascii="Times New Roman" w:hAnsi="Times New Roman" w:cs="Times New Roman"/>
          <w:sz w:val="24"/>
          <w:szCs w:val="24"/>
        </w:rPr>
        <w:t xml:space="preserve">a </w:t>
      </w:r>
      <w:r w:rsidR="00BF4477" w:rsidRPr="00BF4477">
        <w:rPr>
          <w:rFonts w:ascii="Times New Roman" w:hAnsi="Times New Roman" w:cs="Times New Roman"/>
          <w:sz w:val="24"/>
          <w:szCs w:val="24"/>
        </w:rPr>
        <w:t>CHE</w:t>
      </w:r>
      <w:r w:rsidR="00BF4477">
        <w:rPr>
          <w:rFonts w:ascii="Times New Roman" w:hAnsi="Times New Roman" w:cs="Times New Roman"/>
          <w:sz w:val="24"/>
          <w:szCs w:val="24"/>
        </w:rPr>
        <w:t xml:space="preserve"> </w:t>
      </w:r>
      <w:r w:rsidR="00CC2F37">
        <w:rPr>
          <w:rFonts w:ascii="Times New Roman" w:hAnsi="Times New Roman" w:cs="Times New Roman"/>
          <w:sz w:val="24"/>
          <w:szCs w:val="24"/>
        </w:rPr>
        <w:t xml:space="preserve">and bring the </w:t>
      </w:r>
      <w:r w:rsidR="00DB6DE7">
        <w:rPr>
          <w:rFonts w:ascii="Times New Roman" w:hAnsi="Times New Roman" w:cs="Times New Roman"/>
          <w:sz w:val="24"/>
          <w:szCs w:val="24"/>
        </w:rPr>
        <w:t>tax provisions</w:t>
      </w:r>
      <w:r w:rsidR="00CC2F37">
        <w:rPr>
          <w:rFonts w:ascii="Times New Roman" w:hAnsi="Times New Roman" w:cs="Times New Roman"/>
          <w:sz w:val="24"/>
          <w:szCs w:val="24"/>
        </w:rPr>
        <w:t xml:space="preserve"> into force</w:t>
      </w:r>
      <w:r w:rsidR="00BF4477" w:rsidRPr="00BF4477">
        <w:rPr>
          <w:rFonts w:ascii="Times New Roman" w:hAnsi="Times New Roman" w:cs="Times New Roman"/>
          <w:sz w:val="24"/>
          <w:szCs w:val="24"/>
        </w:rPr>
        <w:t>.</w:t>
      </w:r>
    </w:p>
    <w:p w:rsidR="00CC2F37" w:rsidRDefault="00CC2F37" w:rsidP="00D268BD">
      <w:pPr>
        <w:spacing w:after="0" w:line="240" w:lineRule="auto"/>
        <w:jc w:val="both"/>
        <w:rPr>
          <w:rFonts w:ascii="Times New Roman" w:hAnsi="Times New Roman" w:cs="Times New Roman"/>
          <w:sz w:val="24"/>
          <w:szCs w:val="24"/>
        </w:rPr>
      </w:pPr>
    </w:p>
    <w:p w:rsidR="00424EF2" w:rsidRDefault="00CC2F37" w:rsidP="00D268BD">
      <w:pPr>
        <w:spacing w:after="0" w:line="240" w:lineRule="auto"/>
        <w:jc w:val="both"/>
        <w:rPr>
          <w:rFonts w:ascii="Times New Roman" w:hAnsi="Times New Roman" w:cs="Times New Roman"/>
          <w:sz w:val="24"/>
          <w:szCs w:val="24"/>
        </w:rPr>
      </w:pPr>
      <w:r w:rsidRPr="00CC2F37">
        <w:rPr>
          <w:rFonts w:ascii="Times New Roman" w:hAnsi="Times New Roman" w:cs="Times New Roman"/>
          <w:sz w:val="24"/>
          <w:szCs w:val="24"/>
        </w:rPr>
        <w:fldChar w:fldCharType="begin"/>
      </w:r>
      <w:r w:rsidRPr="00CC2F37">
        <w:rPr>
          <w:rFonts w:ascii="Times New Roman" w:hAnsi="Times New Roman" w:cs="Times New Roman"/>
          <w:sz w:val="24"/>
          <w:szCs w:val="24"/>
        </w:rPr>
        <w:instrText xml:space="preserve"> AUTONUM  </w:instrText>
      </w:r>
      <w:r w:rsidRPr="00CC2F37">
        <w:rPr>
          <w:rFonts w:ascii="Times New Roman" w:hAnsi="Times New Roman" w:cs="Times New Roman"/>
          <w:sz w:val="24"/>
          <w:szCs w:val="24"/>
        </w:rPr>
        <w:fldChar w:fldCharType="end"/>
      </w:r>
      <w:r w:rsidRPr="00CC2F37">
        <w:rPr>
          <w:rFonts w:ascii="Times New Roman" w:hAnsi="Times New Roman" w:cs="Times New Roman"/>
          <w:sz w:val="24"/>
          <w:szCs w:val="24"/>
        </w:rPr>
        <w:tab/>
      </w:r>
      <w:r w:rsidR="00E92DEB">
        <w:rPr>
          <w:rFonts w:ascii="Times New Roman" w:hAnsi="Times New Roman" w:cs="Times New Roman"/>
          <w:sz w:val="24"/>
          <w:szCs w:val="24"/>
        </w:rPr>
        <w:t xml:space="preserve">The Minister for Social Housing </w:t>
      </w:r>
      <w:r w:rsidR="00D268BD" w:rsidRPr="00D268BD">
        <w:rPr>
          <w:rFonts w:ascii="Times New Roman" w:hAnsi="Times New Roman" w:cs="Times New Roman"/>
          <w:sz w:val="24"/>
          <w:szCs w:val="24"/>
        </w:rPr>
        <w:t xml:space="preserve">and </w:t>
      </w:r>
      <w:r w:rsidR="00E92DEB">
        <w:rPr>
          <w:rFonts w:ascii="Times New Roman" w:hAnsi="Times New Roman" w:cs="Times New Roman"/>
          <w:sz w:val="24"/>
          <w:szCs w:val="24"/>
        </w:rPr>
        <w:t xml:space="preserve">the Minister of </w:t>
      </w:r>
      <w:r w:rsidR="00D268BD" w:rsidRPr="00D268BD">
        <w:rPr>
          <w:rFonts w:ascii="Times New Roman" w:hAnsi="Times New Roman" w:cs="Times New Roman"/>
          <w:sz w:val="24"/>
          <w:szCs w:val="24"/>
        </w:rPr>
        <w:t xml:space="preserve">Revenue </w:t>
      </w:r>
      <w:r w:rsidR="00BF4477">
        <w:rPr>
          <w:rFonts w:ascii="Times New Roman" w:hAnsi="Times New Roman" w:cs="Times New Roman"/>
          <w:sz w:val="24"/>
          <w:szCs w:val="24"/>
        </w:rPr>
        <w:t xml:space="preserve">are </w:t>
      </w:r>
      <w:r w:rsidR="00EF7E34">
        <w:rPr>
          <w:rFonts w:ascii="Times New Roman" w:hAnsi="Times New Roman" w:cs="Times New Roman"/>
          <w:sz w:val="24"/>
          <w:szCs w:val="24"/>
        </w:rPr>
        <w:t xml:space="preserve">jointly </w:t>
      </w:r>
      <w:r w:rsidR="00BF4477">
        <w:rPr>
          <w:rFonts w:ascii="Times New Roman" w:hAnsi="Times New Roman" w:cs="Times New Roman"/>
          <w:sz w:val="24"/>
          <w:szCs w:val="24"/>
        </w:rPr>
        <w:t xml:space="preserve">responsible for making </w:t>
      </w:r>
      <w:r w:rsidR="00D268BD" w:rsidRPr="00D268BD">
        <w:rPr>
          <w:rFonts w:ascii="Times New Roman" w:hAnsi="Times New Roman" w:cs="Times New Roman"/>
          <w:sz w:val="24"/>
          <w:szCs w:val="24"/>
        </w:rPr>
        <w:t>recommendation</w:t>
      </w:r>
      <w:r w:rsidR="00DB6DE7">
        <w:rPr>
          <w:rFonts w:ascii="Times New Roman" w:hAnsi="Times New Roman" w:cs="Times New Roman"/>
          <w:sz w:val="24"/>
          <w:szCs w:val="24"/>
        </w:rPr>
        <w:t>s</w:t>
      </w:r>
      <w:r w:rsidR="00D268BD" w:rsidRPr="00D268BD">
        <w:rPr>
          <w:rFonts w:ascii="Times New Roman" w:hAnsi="Times New Roman" w:cs="Times New Roman"/>
          <w:sz w:val="24"/>
          <w:szCs w:val="24"/>
        </w:rPr>
        <w:t xml:space="preserve"> on the persons (or types of person) that CHEs can support in order to be eligible for the </w:t>
      </w:r>
      <w:r w:rsidR="00DB6DE7">
        <w:rPr>
          <w:rFonts w:ascii="Times New Roman" w:hAnsi="Times New Roman" w:cs="Times New Roman"/>
          <w:sz w:val="24"/>
          <w:szCs w:val="24"/>
        </w:rPr>
        <w:t xml:space="preserve">income </w:t>
      </w:r>
      <w:r w:rsidR="00D268BD" w:rsidRPr="00D268BD">
        <w:rPr>
          <w:rFonts w:ascii="Times New Roman" w:hAnsi="Times New Roman" w:cs="Times New Roman"/>
          <w:sz w:val="24"/>
          <w:szCs w:val="24"/>
        </w:rPr>
        <w:t>tax exemption</w:t>
      </w:r>
      <w:r w:rsidR="00424EF2">
        <w:rPr>
          <w:rFonts w:ascii="Times New Roman" w:hAnsi="Times New Roman" w:cs="Times New Roman"/>
          <w:sz w:val="24"/>
          <w:szCs w:val="24"/>
        </w:rPr>
        <w:t xml:space="preserve"> and </w:t>
      </w:r>
      <w:proofErr w:type="spellStart"/>
      <w:r w:rsidR="00424EF2">
        <w:rPr>
          <w:rFonts w:ascii="Times New Roman" w:hAnsi="Times New Roman" w:cs="Times New Roman"/>
          <w:sz w:val="24"/>
          <w:szCs w:val="24"/>
        </w:rPr>
        <w:t>donee</w:t>
      </w:r>
      <w:proofErr w:type="spellEnd"/>
      <w:r w:rsidR="00424EF2">
        <w:rPr>
          <w:rFonts w:ascii="Times New Roman" w:hAnsi="Times New Roman" w:cs="Times New Roman"/>
          <w:sz w:val="24"/>
          <w:szCs w:val="24"/>
        </w:rPr>
        <w:t xml:space="preserve"> status.</w:t>
      </w:r>
    </w:p>
    <w:p w:rsidR="00424EF2" w:rsidRDefault="00424EF2" w:rsidP="00D268BD">
      <w:pPr>
        <w:spacing w:after="0" w:line="240" w:lineRule="auto"/>
        <w:jc w:val="both"/>
        <w:rPr>
          <w:rFonts w:ascii="Times New Roman" w:hAnsi="Times New Roman" w:cs="Times New Roman"/>
          <w:sz w:val="24"/>
          <w:szCs w:val="24"/>
        </w:rPr>
      </w:pPr>
    </w:p>
    <w:p w:rsidR="00D268BD" w:rsidRPr="00D268BD" w:rsidRDefault="00424EF2" w:rsidP="00D268BD">
      <w:pPr>
        <w:spacing w:after="0" w:line="240" w:lineRule="auto"/>
        <w:jc w:val="both"/>
        <w:rPr>
          <w:rFonts w:ascii="Times New Roman" w:hAnsi="Times New Roman" w:cs="Times New Roman"/>
          <w:sz w:val="24"/>
          <w:szCs w:val="24"/>
        </w:rPr>
      </w:pPr>
      <w:r w:rsidRPr="00424EF2">
        <w:rPr>
          <w:rFonts w:ascii="Times New Roman" w:hAnsi="Times New Roman" w:cs="Times New Roman"/>
          <w:sz w:val="24"/>
          <w:szCs w:val="24"/>
        </w:rPr>
        <w:fldChar w:fldCharType="begin"/>
      </w:r>
      <w:r w:rsidRPr="00424EF2">
        <w:rPr>
          <w:rFonts w:ascii="Times New Roman" w:hAnsi="Times New Roman" w:cs="Times New Roman"/>
          <w:sz w:val="24"/>
          <w:szCs w:val="24"/>
        </w:rPr>
        <w:instrText xml:space="preserve"> AUTONUM  </w:instrText>
      </w:r>
      <w:r w:rsidRPr="00424EF2">
        <w:rPr>
          <w:rFonts w:ascii="Times New Roman" w:hAnsi="Times New Roman" w:cs="Times New Roman"/>
          <w:sz w:val="24"/>
          <w:szCs w:val="24"/>
        </w:rPr>
        <w:fldChar w:fldCharType="end"/>
      </w:r>
      <w:r w:rsidRPr="00424EF2">
        <w:rPr>
          <w:rFonts w:ascii="Times New Roman" w:hAnsi="Times New Roman" w:cs="Times New Roman"/>
          <w:sz w:val="24"/>
          <w:szCs w:val="24"/>
        </w:rPr>
        <w:tab/>
      </w:r>
      <w:r w:rsidR="00DB6DE7">
        <w:rPr>
          <w:rFonts w:ascii="Times New Roman" w:hAnsi="Times New Roman" w:cs="Times New Roman"/>
          <w:sz w:val="24"/>
          <w:szCs w:val="24"/>
        </w:rPr>
        <w:t>Section 225</w:t>
      </w:r>
      <w:r>
        <w:rPr>
          <w:rFonts w:ascii="Times New Roman" w:hAnsi="Times New Roman" w:cs="Times New Roman"/>
          <w:sz w:val="24"/>
          <w:szCs w:val="24"/>
        </w:rPr>
        <w:t>D</w:t>
      </w:r>
      <w:r w:rsidR="00DB6DE7">
        <w:rPr>
          <w:rFonts w:ascii="Times New Roman" w:hAnsi="Times New Roman" w:cs="Times New Roman"/>
          <w:sz w:val="24"/>
          <w:szCs w:val="24"/>
        </w:rPr>
        <w:t xml:space="preserve"> of the Tax Administration Act 1994 </w:t>
      </w:r>
      <w:r w:rsidR="00D268BD" w:rsidRPr="00D268BD">
        <w:rPr>
          <w:rFonts w:ascii="Times New Roman" w:hAnsi="Times New Roman" w:cs="Times New Roman"/>
          <w:sz w:val="24"/>
          <w:szCs w:val="24"/>
        </w:rPr>
        <w:t xml:space="preserve">sets out that the “eligible recipients” of a CHE can be defined by reference to </w:t>
      </w:r>
      <w:r w:rsidR="00D268BD" w:rsidRPr="00D268BD">
        <w:rPr>
          <w:rFonts w:ascii="Times New Roman" w:hAnsi="Times New Roman" w:cs="Times New Roman"/>
          <w:i/>
          <w:sz w:val="24"/>
          <w:szCs w:val="24"/>
        </w:rPr>
        <w:t>all or some, or a combination of all or some,</w:t>
      </w:r>
      <w:r w:rsidR="00D268BD" w:rsidRPr="00D268BD">
        <w:rPr>
          <w:rFonts w:ascii="Times New Roman" w:hAnsi="Times New Roman" w:cs="Times New Roman"/>
          <w:sz w:val="24"/>
          <w:szCs w:val="24"/>
        </w:rPr>
        <w:t xml:space="preserve"> of the following parameters:</w:t>
      </w:r>
    </w:p>
    <w:p w:rsidR="00D268BD" w:rsidRPr="00D268BD" w:rsidRDefault="00D268BD" w:rsidP="00D268BD">
      <w:pPr>
        <w:spacing w:after="0" w:line="240" w:lineRule="auto"/>
        <w:jc w:val="both"/>
        <w:rPr>
          <w:rFonts w:ascii="Times New Roman" w:hAnsi="Times New Roman" w:cs="Times New Roman"/>
          <w:sz w:val="24"/>
          <w:szCs w:val="24"/>
        </w:rPr>
      </w:pPr>
    </w:p>
    <w:p w:rsidR="00D268BD" w:rsidRDefault="00E92DEB" w:rsidP="00637F78">
      <w:pPr>
        <w:pStyle w:val="ListParagraph"/>
        <w:numPr>
          <w:ilvl w:val="0"/>
          <w:numId w:val="2"/>
        </w:numPr>
        <w:spacing w:after="0" w:line="24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geographic</w:t>
      </w:r>
      <w:proofErr w:type="gramEnd"/>
      <w:r>
        <w:rPr>
          <w:rFonts w:ascii="Times New Roman" w:hAnsi="Times New Roman" w:cs="Times New Roman"/>
          <w:sz w:val="24"/>
          <w:szCs w:val="24"/>
        </w:rPr>
        <w:t xml:space="preserve"> location.</w:t>
      </w:r>
    </w:p>
    <w:p w:rsidR="002319EB" w:rsidRDefault="002319EB" w:rsidP="002319EB">
      <w:pPr>
        <w:pStyle w:val="ListParagraph"/>
        <w:spacing w:after="0" w:line="240" w:lineRule="auto"/>
        <w:ind w:left="1080"/>
        <w:jc w:val="both"/>
        <w:rPr>
          <w:rFonts w:ascii="Times New Roman" w:hAnsi="Times New Roman" w:cs="Times New Roman"/>
          <w:sz w:val="24"/>
          <w:szCs w:val="24"/>
        </w:rPr>
      </w:pPr>
    </w:p>
    <w:p w:rsidR="00D268BD" w:rsidRPr="00D268BD" w:rsidRDefault="00D268BD" w:rsidP="00637F78">
      <w:pPr>
        <w:pStyle w:val="ListParagraph"/>
        <w:numPr>
          <w:ilvl w:val="0"/>
          <w:numId w:val="2"/>
        </w:numPr>
        <w:spacing w:after="0" w:line="240" w:lineRule="auto"/>
        <w:ind w:left="1080"/>
        <w:jc w:val="both"/>
        <w:rPr>
          <w:rFonts w:ascii="Times New Roman" w:hAnsi="Times New Roman" w:cs="Times New Roman"/>
          <w:sz w:val="24"/>
          <w:szCs w:val="24"/>
        </w:rPr>
      </w:pPr>
      <w:proofErr w:type="gramStart"/>
      <w:r w:rsidRPr="00D268BD">
        <w:rPr>
          <w:rFonts w:ascii="Times New Roman" w:hAnsi="Times New Roman" w:cs="Times New Roman"/>
          <w:sz w:val="24"/>
          <w:szCs w:val="24"/>
        </w:rPr>
        <w:t>the</w:t>
      </w:r>
      <w:proofErr w:type="gramEnd"/>
      <w:r w:rsidRPr="00D268BD">
        <w:rPr>
          <w:rFonts w:ascii="Times New Roman" w:hAnsi="Times New Roman" w:cs="Times New Roman"/>
          <w:sz w:val="24"/>
          <w:szCs w:val="24"/>
        </w:rPr>
        <w:t xml:space="preserve"> composition of the </w:t>
      </w:r>
      <w:r w:rsidR="00E92DEB">
        <w:rPr>
          <w:rFonts w:ascii="Times New Roman" w:hAnsi="Times New Roman" w:cs="Times New Roman"/>
          <w:sz w:val="24"/>
          <w:szCs w:val="24"/>
        </w:rPr>
        <w:t>household.</w:t>
      </w:r>
    </w:p>
    <w:p w:rsidR="002319EB" w:rsidRDefault="002319EB" w:rsidP="002319EB">
      <w:pPr>
        <w:pStyle w:val="ListParagraph"/>
        <w:spacing w:after="0" w:line="240" w:lineRule="auto"/>
        <w:ind w:left="1080"/>
        <w:jc w:val="both"/>
        <w:rPr>
          <w:rFonts w:ascii="Times New Roman" w:hAnsi="Times New Roman" w:cs="Times New Roman"/>
          <w:sz w:val="24"/>
          <w:szCs w:val="24"/>
        </w:rPr>
      </w:pPr>
    </w:p>
    <w:p w:rsidR="00D268BD" w:rsidRDefault="00D268BD" w:rsidP="00637F78">
      <w:pPr>
        <w:pStyle w:val="ListParagraph"/>
        <w:numPr>
          <w:ilvl w:val="0"/>
          <w:numId w:val="2"/>
        </w:numPr>
        <w:spacing w:after="0" w:line="240" w:lineRule="auto"/>
        <w:ind w:left="1080"/>
        <w:jc w:val="both"/>
        <w:rPr>
          <w:rFonts w:ascii="Times New Roman" w:hAnsi="Times New Roman" w:cs="Times New Roman"/>
          <w:sz w:val="24"/>
          <w:szCs w:val="24"/>
        </w:rPr>
      </w:pPr>
      <w:r w:rsidRPr="00D268BD">
        <w:rPr>
          <w:rFonts w:ascii="Times New Roman" w:hAnsi="Times New Roman" w:cs="Times New Roman"/>
          <w:sz w:val="24"/>
          <w:szCs w:val="24"/>
        </w:rPr>
        <w:t>the income of persons or households relative to an “income maximum”, where:</w:t>
      </w:r>
    </w:p>
    <w:p w:rsidR="002319EB" w:rsidRPr="002319EB" w:rsidRDefault="002319EB" w:rsidP="002319EB">
      <w:pPr>
        <w:spacing w:after="0" w:line="240" w:lineRule="auto"/>
        <w:jc w:val="both"/>
        <w:rPr>
          <w:rFonts w:ascii="Times New Roman" w:hAnsi="Times New Roman" w:cs="Times New Roman"/>
          <w:sz w:val="24"/>
          <w:szCs w:val="24"/>
        </w:rPr>
      </w:pPr>
    </w:p>
    <w:p w:rsidR="00D268BD" w:rsidRDefault="00D268BD" w:rsidP="00637F78">
      <w:pPr>
        <w:numPr>
          <w:ilvl w:val="1"/>
          <w:numId w:val="2"/>
        </w:numPr>
        <w:spacing w:after="0" w:line="240" w:lineRule="auto"/>
        <w:ind w:left="1800"/>
        <w:jc w:val="both"/>
        <w:rPr>
          <w:rFonts w:ascii="Times New Roman" w:hAnsi="Times New Roman" w:cs="Times New Roman"/>
          <w:sz w:val="24"/>
          <w:szCs w:val="24"/>
        </w:rPr>
      </w:pPr>
      <w:r w:rsidRPr="00D268BD">
        <w:rPr>
          <w:rFonts w:ascii="Times New Roman" w:hAnsi="Times New Roman" w:cs="Times New Roman"/>
          <w:sz w:val="24"/>
          <w:szCs w:val="24"/>
        </w:rPr>
        <w:t>the income maximum should be set by taking into account household income at the lower quartile based on data from the Household Economic Survey (HES), and</w:t>
      </w:r>
    </w:p>
    <w:p w:rsidR="002319EB" w:rsidRDefault="002319EB" w:rsidP="002319EB">
      <w:pPr>
        <w:spacing w:after="0" w:line="240" w:lineRule="auto"/>
        <w:ind w:left="1800"/>
        <w:jc w:val="both"/>
        <w:rPr>
          <w:rFonts w:ascii="Times New Roman" w:hAnsi="Times New Roman" w:cs="Times New Roman"/>
          <w:sz w:val="24"/>
          <w:szCs w:val="24"/>
        </w:rPr>
      </w:pPr>
    </w:p>
    <w:p w:rsidR="00D268BD" w:rsidRPr="00D268BD" w:rsidRDefault="00D268BD" w:rsidP="00637F78">
      <w:pPr>
        <w:numPr>
          <w:ilvl w:val="1"/>
          <w:numId w:val="2"/>
        </w:numPr>
        <w:spacing w:after="0" w:line="240" w:lineRule="auto"/>
        <w:ind w:left="1800"/>
        <w:jc w:val="both"/>
        <w:rPr>
          <w:rFonts w:ascii="Times New Roman" w:hAnsi="Times New Roman" w:cs="Times New Roman"/>
          <w:sz w:val="24"/>
          <w:szCs w:val="24"/>
        </w:rPr>
      </w:pPr>
      <w:proofErr w:type="gramStart"/>
      <w:r w:rsidRPr="00D268BD">
        <w:rPr>
          <w:rFonts w:ascii="Times New Roman" w:hAnsi="Times New Roman" w:cs="Times New Roman"/>
          <w:sz w:val="24"/>
          <w:szCs w:val="24"/>
        </w:rPr>
        <w:t>the</w:t>
      </w:r>
      <w:proofErr w:type="gramEnd"/>
      <w:r w:rsidRPr="00D268BD">
        <w:rPr>
          <w:rFonts w:ascii="Times New Roman" w:hAnsi="Times New Roman" w:cs="Times New Roman"/>
          <w:sz w:val="24"/>
          <w:szCs w:val="24"/>
        </w:rPr>
        <w:t xml:space="preserve"> income maximum can be adjusted by any appropriate economic factor, geographic, hous</w:t>
      </w:r>
      <w:r w:rsidR="00E92DEB">
        <w:rPr>
          <w:rFonts w:ascii="Times New Roman" w:hAnsi="Times New Roman" w:cs="Times New Roman"/>
          <w:sz w:val="24"/>
          <w:szCs w:val="24"/>
        </w:rPr>
        <w:t>ehold composition, or otherwise.</w:t>
      </w:r>
    </w:p>
    <w:p w:rsidR="002319EB" w:rsidRPr="002319EB" w:rsidRDefault="002319EB" w:rsidP="002319EB">
      <w:pPr>
        <w:pStyle w:val="ListParagraph"/>
        <w:spacing w:after="0" w:line="240" w:lineRule="auto"/>
        <w:ind w:left="1080"/>
        <w:jc w:val="both"/>
        <w:rPr>
          <w:rFonts w:ascii="Times New Roman" w:hAnsi="Times New Roman" w:cs="Times New Roman"/>
          <w:sz w:val="24"/>
          <w:szCs w:val="24"/>
          <w:u w:val="single"/>
        </w:rPr>
      </w:pPr>
    </w:p>
    <w:p w:rsidR="00D268BD" w:rsidRPr="00D268BD" w:rsidRDefault="00D268BD" w:rsidP="00637F78">
      <w:pPr>
        <w:pStyle w:val="ListParagraph"/>
        <w:numPr>
          <w:ilvl w:val="0"/>
          <w:numId w:val="2"/>
        </w:numPr>
        <w:spacing w:after="0" w:line="240" w:lineRule="auto"/>
        <w:ind w:left="1080"/>
        <w:jc w:val="both"/>
        <w:rPr>
          <w:rFonts w:ascii="Times New Roman" w:hAnsi="Times New Roman" w:cs="Times New Roman"/>
          <w:sz w:val="24"/>
          <w:szCs w:val="24"/>
          <w:u w:val="single"/>
        </w:rPr>
      </w:pPr>
      <w:proofErr w:type="gramStart"/>
      <w:r w:rsidRPr="00D268BD">
        <w:rPr>
          <w:rFonts w:ascii="Times New Roman" w:hAnsi="Times New Roman" w:cs="Times New Roman"/>
          <w:sz w:val="24"/>
          <w:szCs w:val="24"/>
        </w:rPr>
        <w:t>the</w:t>
      </w:r>
      <w:proofErr w:type="gramEnd"/>
      <w:r w:rsidRPr="00D268BD">
        <w:rPr>
          <w:rFonts w:ascii="Times New Roman" w:hAnsi="Times New Roman" w:cs="Times New Roman"/>
          <w:sz w:val="24"/>
          <w:szCs w:val="24"/>
        </w:rPr>
        <w:t xml:space="preserve"> assets o</w:t>
      </w:r>
      <w:r w:rsidR="00E92DEB">
        <w:rPr>
          <w:rFonts w:ascii="Times New Roman" w:hAnsi="Times New Roman" w:cs="Times New Roman"/>
          <w:sz w:val="24"/>
          <w:szCs w:val="24"/>
        </w:rPr>
        <w:t>f persons relative to a maximum.</w:t>
      </w:r>
    </w:p>
    <w:p w:rsidR="008C240D" w:rsidRDefault="008C240D" w:rsidP="00E155BF">
      <w:pPr>
        <w:spacing w:after="0" w:line="240" w:lineRule="auto"/>
        <w:jc w:val="both"/>
        <w:rPr>
          <w:rFonts w:ascii="Times New Roman" w:hAnsi="Times New Roman" w:cs="Times New Roman"/>
          <w:sz w:val="24"/>
          <w:szCs w:val="24"/>
        </w:rPr>
      </w:pPr>
    </w:p>
    <w:p w:rsidR="00600802" w:rsidRDefault="002D4220" w:rsidP="00E155BF">
      <w:pPr>
        <w:spacing w:after="0" w:line="240" w:lineRule="auto"/>
        <w:jc w:val="both"/>
        <w:rPr>
          <w:rFonts w:ascii="Times New Roman" w:hAnsi="Times New Roman" w:cs="Times New Roman"/>
          <w:sz w:val="24"/>
          <w:szCs w:val="24"/>
        </w:rPr>
      </w:pPr>
      <w:r w:rsidRPr="002D4220">
        <w:rPr>
          <w:rFonts w:ascii="Times New Roman" w:hAnsi="Times New Roman" w:cs="Times New Roman"/>
          <w:sz w:val="24"/>
          <w:szCs w:val="24"/>
        </w:rPr>
        <w:fldChar w:fldCharType="begin"/>
      </w:r>
      <w:r w:rsidRPr="002D4220">
        <w:rPr>
          <w:rFonts w:ascii="Times New Roman" w:hAnsi="Times New Roman" w:cs="Times New Roman"/>
          <w:sz w:val="24"/>
          <w:szCs w:val="24"/>
        </w:rPr>
        <w:instrText xml:space="preserve"> AUTONUM  </w:instrText>
      </w:r>
      <w:r w:rsidRPr="002D4220">
        <w:rPr>
          <w:rFonts w:ascii="Times New Roman" w:hAnsi="Times New Roman" w:cs="Times New Roman"/>
          <w:sz w:val="24"/>
          <w:szCs w:val="24"/>
        </w:rPr>
        <w:fldChar w:fldCharType="end"/>
      </w:r>
      <w:r w:rsidRPr="002D4220">
        <w:rPr>
          <w:rFonts w:ascii="Times New Roman" w:hAnsi="Times New Roman" w:cs="Times New Roman"/>
          <w:sz w:val="24"/>
          <w:szCs w:val="24"/>
        </w:rPr>
        <w:tab/>
      </w:r>
      <w:r w:rsidR="00600802">
        <w:rPr>
          <w:rFonts w:ascii="Times New Roman" w:hAnsi="Times New Roman" w:cs="Times New Roman"/>
          <w:sz w:val="24"/>
          <w:szCs w:val="24"/>
        </w:rPr>
        <w:t xml:space="preserve">To be eligible, providers must ensure that at least 85 percent of </w:t>
      </w:r>
      <w:r>
        <w:rPr>
          <w:rFonts w:ascii="Times New Roman" w:hAnsi="Times New Roman" w:cs="Times New Roman"/>
          <w:sz w:val="24"/>
          <w:szCs w:val="24"/>
        </w:rPr>
        <w:t>their</w:t>
      </w:r>
      <w:r w:rsidR="00600802">
        <w:rPr>
          <w:rFonts w:ascii="Times New Roman" w:hAnsi="Times New Roman" w:cs="Times New Roman"/>
          <w:sz w:val="24"/>
          <w:szCs w:val="24"/>
        </w:rPr>
        <w:t xml:space="preserve"> eligible recipients, at the time they first become a</w:t>
      </w:r>
      <w:r>
        <w:rPr>
          <w:rFonts w:ascii="Times New Roman" w:hAnsi="Times New Roman" w:cs="Times New Roman"/>
          <w:sz w:val="24"/>
          <w:szCs w:val="24"/>
        </w:rPr>
        <w:t>n eligible</w:t>
      </w:r>
      <w:r w:rsidR="00600802">
        <w:rPr>
          <w:rFonts w:ascii="Times New Roman" w:hAnsi="Times New Roman" w:cs="Times New Roman"/>
          <w:sz w:val="24"/>
          <w:szCs w:val="24"/>
        </w:rPr>
        <w:t xml:space="preserve"> recipient, satisfy the qualifying criteria set out in the regulation. </w:t>
      </w:r>
    </w:p>
    <w:p w:rsidR="00600802" w:rsidRDefault="00600802" w:rsidP="00E155BF">
      <w:pPr>
        <w:spacing w:after="0" w:line="240" w:lineRule="auto"/>
        <w:jc w:val="both"/>
        <w:rPr>
          <w:rFonts w:ascii="Times New Roman" w:hAnsi="Times New Roman" w:cs="Times New Roman"/>
          <w:sz w:val="24"/>
          <w:szCs w:val="24"/>
        </w:rPr>
      </w:pPr>
    </w:p>
    <w:p w:rsidR="0050068E" w:rsidRPr="0050068E" w:rsidRDefault="00CC2F37" w:rsidP="0050068E">
      <w:pPr>
        <w:spacing w:after="0" w:line="240" w:lineRule="auto"/>
        <w:jc w:val="both"/>
        <w:rPr>
          <w:rFonts w:ascii="Times New Roman" w:hAnsi="Times New Roman" w:cs="Times New Roman"/>
          <w:sz w:val="24"/>
          <w:szCs w:val="24"/>
        </w:rPr>
      </w:pPr>
      <w:r w:rsidRPr="00CC2F37">
        <w:rPr>
          <w:rFonts w:ascii="Times New Roman" w:hAnsi="Times New Roman" w:cs="Times New Roman"/>
          <w:sz w:val="24"/>
          <w:szCs w:val="24"/>
        </w:rPr>
        <w:fldChar w:fldCharType="begin"/>
      </w:r>
      <w:r w:rsidRPr="00CC2F37">
        <w:rPr>
          <w:rFonts w:ascii="Times New Roman" w:hAnsi="Times New Roman" w:cs="Times New Roman"/>
          <w:sz w:val="24"/>
          <w:szCs w:val="24"/>
        </w:rPr>
        <w:instrText xml:space="preserve"> AUTONUM  </w:instrText>
      </w:r>
      <w:r w:rsidRPr="00CC2F37">
        <w:rPr>
          <w:rFonts w:ascii="Times New Roman" w:hAnsi="Times New Roman" w:cs="Times New Roman"/>
          <w:sz w:val="24"/>
          <w:szCs w:val="24"/>
        </w:rPr>
        <w:fldChar w:fldCharType="end"/>
      </w:r>
      <w:r w:rsidRPr="00CC2F37">
        <w:rPr>
          <w:rFonts w:ascii="Times New Roman" w:hAnsi="Times New Roman" w:cs="Times New Roman"/>
          <w:sz w:val="24"/>
          <w:szCs w:val="24"/>
        </w:rPr>
        <w:tab/>
      </w:r>
      <w:r w:rsidR="006763C3">
        <w:rPr>
          <w:rFonts w:ascii="Times New Roman" w:hAnsi="Times New Roman" w:cs="Times New Roman"/>
          <w:sz w:val="24"/>
          <w:szCs w:val="24"/>
        </w:rPr>
        <w:t>D</w:t>
      </w:r>
      <w:r w:rsidR="00982579">
        <w:rPr>
          <w:rFonts w:ascii="Times New Roman" w:hAnsi="Times New Roman" w:cs="Times New Roman"/>
          <w:sz w:val="24"/>
          <w:szCs w:val="24"/>
        </w:rPr>
        <w:t xml:space="preserve">ifficulties in agreeing the qualifying criteria stalled the </w:t>
      </w:r>
      <w:r w:rsidR="00997EDD">
        <w:rPr>
          <w:rFonts w:ascii="Times New Roman" w:hAnsi="Times New Roman" w:cs="Times New Roman"/>
          <w:sz w:val="24"/>
          <w:szCs w:val="24"/>
        </w:rPr>
        <w:t xml:space="preserve">promulgation of the </w:t>
      </w:r>
      <w:r w:rsidR="00EF7E34">
        <w:rPr>
          <w:rFonts w:ascii="Times New Roman" w:hAnsi="Times New Roman" w:cs="Times New Roman"/>
          <w:sz w:val="24"/>
          <w:szCs w:val="24"/>
        </w:rPr>
        <w:t xml:space="preserve">regulation </w:t>
      </w:r>
      <w:r>
        <w:rPr>
          <w:rFonts w:ascii="Times New Roman" w:hAnsi="Times New Roman" w:cs="Times New Roman"/>
          <w:sz w:val="24"/>
          <w:szCs w:val="24"/>
        </w:rPr>
        <w:t xml:space="preserve">needed to bring the </w:t>
      </w:r>
      <w:r w:rsidR="004A66BB">
        <w:rPr>
          <w:rFonts w:ascii="Times New Roman" w:hAnsi="Times New Roman" w:cs="Times New Roman"/>
          <w:sz w:val="24"/>
          <w:szCs w:val="24"/>
        </w:rPr>
        <w:t xml:space="preserve">income tax </w:t>
      </w:r>
      <w:r>
        <w:rPr>
          <w:rFonts w:ascii="Times New Roman" w:hAnsi="Times New Roman" w:cs="Times New Roman"/>
          <w:sz w:val="24"/>
          <w:szCs w:val="24"/>
        </w:rPr>
        <w:t>exemption</w:t>
      </w:r>
      <w:r w:rsidR="004A66BB">
        <w:rPr>
          <w:rFonts w:ascii="Times New Roman" w:hAnsi="Times New Roman" w:cs="Times New Roman"/>
          <w:sz w:val="24"/>
          <w:szCs w:val="24"/>
        </w:rPr>
        <w:t xml:space="preserve"> and </w:t>
      </w:r>
      <w:proofErr w:type="spellStart"/>
      <w:r w:rsidR="004A66BB">
        <w:rPr>
          <w:rFonts w:ascii="Times New Roman" w:hAnsi="Times New Roman" w:cs="Times New Roman"/>
          <w:sz w:val="24"/>
          <w:szCs w:val="24"/>
        </w:rPr>
        <w:t>donee</w:t>
      </w:r>
      <w:proofErr w:type="spellEnd"/>
      <w:r w:rsidR="004A66BB">
        <w:rPr>
          <w:rFonts w:ascii="Times New Roman" w:hAnsi="Times New Roman" w:cs="Times New Roman"/>
          <w:sz w:val="24"/>
          <w:szCs w:val="24"/>
        </w:rPr>
        <w:t xml:space="preserve"> status</w:t>
      </w:r>
      <w:r>
        <w:rPr>
          <w:rFonts w:ascii="Times New Roman" w:hAnsi="Times New Roman" w:cs="Times New Roman"/>
          <w:sz w:val="24"/>
          <w:szCs w:val="24"/>
        </w:rPr>
        <w:t xml:space="preserve"> into force.</w:t>
      </w:r>
      <w:r w:rsidR="00BB573E">
        <w:rPr>
          <w:rFonts w:ascii="Times New Roman" w:hAnsi="Times New Roman" w:cs="Times New Roman"/>
          <w:sz w:val="24"/>
          <w:szCs w:val="24"/>
        </w:rPr>
        <w:t xml:space="preserve">  </w:t>
      </w:r>
      <w:r w:rsidR="0050068E" w:rsidRPr="0050068E">
        <w:rPr>
          <w:rFonts w:ascii="Times New Roman" w:hAnsi="Times New Roman" w:cs="Times New Roman"/>
          <w:sz w:val="24"/>
          <w:szCs w:val="24"/>
        </w:rPr>
        <w:t>The main barri</w:t>
      </w:r>
      <w:r w:rsidR="00ED4FFE">
        <w:rPr>
          <w:rFonts w:ascii="Times New Roman" w:hAnsi="Times New Roman" w:cs="Times New Roman"/>
          <w:sz w:val="24"/>
          <w:szCs w:val="24"/>
        </w:rPr>
        <w:t>er to finalising the regulation</w:t>
      </w:r>
      <w:r w:rsidR="0050068E" w:rsidRPr="0050068E">
        <w:rPr>
          <w:rFonts w:ascii="Times New Roman" w:hAnsi="Times New Roman" w:cs="Times New Roman"/>
          <w:sz w:val="24"/>
          <w:szCs w:val="24"/>
        </w:rPr>
        <w:t xml:space="preserve"> to date has been the </w:t>
      </w:r>
      <w:r w:rsidR="00314CFD">
        <w:rPr>
          <w:rFonts w:ascii="Times New Roman" w:hAnsi="Times New Roman" w:cs="Times New Roman"/>
          <w:sz w:val="24"/>
          <w:szCs w:val="24"/>
        </w:rPr>
        <w:t xml:space="preserve">maximum </w:t>
      </w:r>
      <w:r w:rsidR="0050068E" w:rsidRPr="0050068E">
        <w:rPr>
          <w:rFonts w:ascii="Times New Roman" w:hAnsi="Times New Roman" w:cs="Times New Roman"/>
          <w:sz w:val="24"/>
          <w:szCs w:val="24"/>
        </w:rPr>
        <w:t>income threshold.</w:t>
      </w:r>
    </w:p>
    <w:p w:rsidR="0050068E" w:rsidRPr="0050068E" w:rsidRDefault="0050068E" w:rsidP="0050068E">
      <w:pPr>
        <w:spacing w:after="0" w:line="240" w:lineRule="auto"/>
        <w:jc w:val="both"/>
        <w:rPr>
          <w:rFonts w:ascii="Times New Roman" w:hAnsi="Times New Roman" w:cs="Times New Roman"/>
          <w:sz w:val="24"/>
          <w:szCs w:val="24"/>
        </w:rPr>
      </w:pPr>
    </w:p>
    <w:p w:rsidR="00B800AC" w:rsidRDefault="0050068E" w:rsidP="0050068E">
      <w:pPr>
        <w:spacing w:after="0" w:line="240" w:lineRule="auto"/>
        <w:jc w:val="both"/>
        <w:rPr>
          <w:rFonts w:ascii="Times New Roman" w:hAnsi="Times New Roman" w:cs="Times New Roman"/>
          <w:sz w:val="24"/>
          <w:szCs w:val="24"/>
        </w:rPr>
      </w:pPr>
      <w:r w:rsidRPr="0050068E">
        <w:rPr>
          <w:rFonts w:ascii="Times New Roman" w:hAnsi="Times New Roman" w:cs="Times New Roman"/>
          <w:sz w:val="24"/>
          <w:szCs w:val="24"/>
        </w:rPr>
        <w:fldChar w:fldCharType="begin"/>
      </w:r>
      <w:r w:rsidRPr="0050068E">
        <w:rPr>
          <w:rFonts w:ascii="Times New Roman" w:hAnsi="Times New Roman" w:cs="Times New Roman"/>
          <w:sz w:val="24"/>
          <w:szCs w:val="24"/>
        </w:rPr>
        <w:instrText xml:space="preserve"> AUTONUM  </w:instrText>
      </w:r>
      <w:r w:rsidRPr="0050068E">
        <w:rPr>
          <w:rFonts w:ascii="Times New Roman" w:hAnsi="Times New Roman" w:cs="Times New Roman"/>
          <w:sz w:val="24"/>
          <w:szCs w:val="24"/>
        </w:rPr>
        <w:fldChar w:fldCharType="end"/>
      </w:r>
      <w:r w:rsidRPr="0050068E">
        <w:rPr>
          <w:rFonts w:ascii="Times New Roman" w:hAnsi="Times New Roman" w:cs="Times New Roman"/>
          <w:sz w:val="24"/>
          <w:szCs w:val="24"/>
        </w:rPr>
        <w:tab/>
      </w:r>
      <w:r w:rsidR="00ED4FFE">
        <w:rPr>
          <w:rFonts w:ascii="Times New Roman" w:hAnsi="Times New Roman" w:cs="Times New Roman"/>
          <w:sz w:val="24"/>
          <w:szCs w:val="24"/>
        </w:rPr>
        <w:t xml:space="preserve">Since the CHE tax provisions were enacted in June 2014, we have consulted with the </w:t>
      </w:r>
      <w:r w:rsidR="00997EDD">
        <w:rPr>
          <w:rFonts w:ascii="Times New Roman" w:hAnsi="Times New Roman" w:cs="Times New Roman"/>
          <w:sz w:val="24"/>
          <w:szCs w:val="24"/>
        </w:rPr>
        <w:t xml:space="preserve">housing </w:t>
      </w:r>
      <w:r w:rsidR="00ED4FFE">
        <w:rPr>
          <w:rFonts w:ascii="Times New Roman" w:hAnsi="Times New Roman" w:cs="Times New Roman"/>
          <w:sz w:val="24"/>
          <w:szCs w:val="24"/>
        </w:rPr>
        <w:t>sector</w:t>
      </w:r>
      <w:r w:rsidR="00997EDD">
        <w:rPr>
          <w:rFonts w:ascii="Times New Roman" w:hAnsi="Times New Roman" w:cs="Times New Roman"/>
          <w:sz w:val="24"/>
          <w:szCs w:val="24"/>
        </w:rPr>
        <w:t>’s umbrella organisation (Community Housing Aotearoa)</w:t>
      </w:r>
      <w:r w:rsidR="00ED4FFE">
        <w:rPr>
          <w:rFonts w:ascii="Times New Roman" w:hAnsi="Times New Roman" w:cs="Times New Roman"/>
          <w:sz w:val="24"/>
          <w:szCs w:val="24"/>
        </w:rPr>
        <w:t xml:space="preserve"> and individual housing providers.  These discussions identified that </w:t>
      </w:r>
      <w:r w:rsidRPr="0050068E">
        <w:rPr>
          <w:rFonts w:ascii="Times New Roman" w:hAnsi="Times New Roman" w:cs="Times New Roman"/>
          <w:sz w:val="24"/>
          <w:szCs w:val="24"/>
        </w:rPr>
        <w:t>affected providers are assisting low to moderate income families.  Affected providers have indicated that households they assist can have a gross household income somewhere in the range of 70</w:t>
      </w:r>
      <w:r w:rsidR="00E92DEB">
        <w:rPr>
          <w:rFonts w:ascii="Times New Roman" w:hAnsi="Times New Roman" w:cs="Times New Roman"/>
          <w:sz w:val="24"/>
          <w:szCs w:val="24"/>
        </w:rPr>
        <w:t xml:space="preserve"> percent</w:t>
      </w:r>
      <w:r w:rsidRPr="0050068E">
        <w:rPr>
          <w:rFonts w:ascii="Times New Roman" w:hAnsi="Times New Roman" w:cs="Times New Roman"/>
          <w:sz w:val="24"/>
          <w:szCs w:val="24"/>
        </w:rPr>
        <w:t xml:space="preserve"> to 125</w:t>
      </w:r>
      <w:r w:rsidR="00E92DEB">
        <w:rPr>
          <w:rFonts w:ascii="Times New Roman" w:hAnsi="Times New Roman" w:cs="Times New Roman"/>
          <w:sz w:val="24"/>
          <w:szCs w:val="24"/>
        </w:rPr>
        <w:t xml:space="preserve"> percent</w:t>
      </w:r>
      <w:r w:rsidRPr="0050068E">
        <w:rPr>
          <w:rFonts w:ascii="Times New Roman" w:hAnsi="Times New Roman" w:cs="Times New Roman"/>
          <w:sz w:val="24"/>
          <w:szCs w:val="24"/>
        </w:rPr>
        <w:t xml:space="preserve"> of Auckland’s Area Median Income (AMI).  In 2013, Auckland’s AMI was $75,816 per annum.</w:t>
      </w:r>
      <w:r w:rsidRPr="0050068E">
        <w:rPr>
          <w:rFonts w:ascii="Times New Roman" w:hAnsi="Times New Roman" w:cs="Times New Roman"/>
          <w:sz w:val="24"/>
          <w:szCs w:val="24"/>
          <w:vertAlign w:val="superscript"/>
        </w:rPr>
        <w:footnoteReference w:id="1"/>
      </w:r>
      <w:r w:rsidRPr="0050068E">
        <w:rPr>
          <w:rFonts w:ascii="Times New Roman" w:hAnsi="Times New Roman" w:cs="Times New Roman"/>
          <w:sz w:val="24"/>
          <w:szCs w:val="24"/>
        </w:rPr>
        <w:t xml:space="preserve">  The lower quartile national average income for the same period was $35,700</w:t>
      </w:r>
      <w:r w:rsidR="00E92DEB">
        <w:rPr>
          <w:rFonts w:ascii="Times New Roman" w:hAnsi="Times New Roman" w:cs="Times New Roman"/>
          <w:sz w:val="24"/>
          <w:szCs w:val="24"/>
        </w:rPr>
        <w:t xml:space="preserve"> and the lower quartile of household income in the Auckland region ranged from $21,000 to $64,000 (depending on the size of the household)</w:t>
      </w:r>
      <w:r w:rsidRPr="0050068E">
        <w:rPr>
          <w:rFonts w:ascii="Times New Roman" w:hAnsi="Times New Roman" w:cs="Times New Roman"/>
          <w:sz w:val="24"/>
          <w:szCs w:val="24"/>
        </w:rPr>
        <w:t xml:space="preserve">.  This means that most affected providers will not qualify for the income tax exemption or </w:t>
      </w:r>
      <w:proofErr w:type="spellStart"/>
      <w:r w:rsidRPr="0050068E">
        <w:rPr>
          <w:rFonts w:ascii="Times New Roman" w:hAnsi="Times New Roman" w:cs="Times New Roman"/>
          <w:sz w:val="24"/>
          <w:szCs w:val="24"/>
        </w:rPr>
        <w:t>donee</w:t>
      </w:r>
      <w:proofErr w:type="spellEnd"/>
      <w:r w:rsidRPr="0050068E">
        <w:rPr>
          <w:rFonts w:ascii="Times New Roman" w:hAnsi="Times New Roman" w:cs="Times New Roman"/>
          <w:sz w:val="24"/>
          <w:szCs w:val="24"/>
        </w:rPr>
        <w:t xml:space="preserve"> status if the threshold remains set at the lower quartile</w:t>
      </w:r>
      <w:r w:rsidR="00B800AC">
        <w:rPr>
          <w:rFonts w:ascii="Times New Roman" w:hAnsi="Times New Roman" w:cs="Times New Roman"/>
          <w:sz w:val="24"/>
          <w:szCs w:val="24"/>
        </w:rPr>
        <w:t xml:space="preserve"> of household income.</w:t>
      </w:r>
    </w:p>
    <w:p w:rsidR="00B800AC" w:rsidRDefault="00B800AC" w:rsidP="0050068E">
      <w:pPr>
        <w:spacing w:after="0" w:line="240" w:lineRule="auto"/>
        <w:jc w:val="both"/>
        <w:rPr>
          <w:rFonts w:ascii="Times New Roman" w:hAnsi="Times New Roman" w:cs="Times New Roman"/>
          <w:sz w:val="24"/>
          <w:szCs w:val="24"/>
        </w:rPr>
      </w:pPr>
    </w:p>
    <w:p w:rsidR="0050068E" w:rsidRPr="0050068E" w:rsidRDefault="00B800AC" w:rsidP="0050068E">
      <w:pPr>
        <w:spacing w:after="0" w:line="240" w:lineRule="auto"/>
        <w:jc w:val="both"/>
        <w:rPr>
          <w:rFonts w:ascii="Times New Roman" w:hAnsi="Times New Roman" w:cs="Times New Roman"/>
          <w:sz w:val="24"/>
          <w:szCs w:val="24"/>
        </w:rPr>
      </w:pPr>
      <w:r w:rsidRPr="00B800AC">
        <w:rPr>
          <w:rFonts w:ascii="Times New Roman" w:hAnsi="Times New Roman" w:cs="Times New Roman"/>
          <w:sz w:val="24"/>
          <w:szCs w:val="24"/>
        </w:rPr>
        <w:fldChar w:fldCharType="begin"/>
      </w:r>
      <w:r w:rsidRPr="00B800AC">
        <w:rPr>
          <w:rFonts w:ascii="Times New Roman" w:hAnsi="Times New Roman" w:cs="Times New Roman"/>
          <w:sz w:val="24"/>
          <w:szCs w:val="24"/>
        </w:rPr>
        <w:instrText xml:space="preserve"> AUTONUM  </w:instrText>
      </w:r>
      <w:r w:rsidRPr="00B800AC">
        <w:rPr>
          <w:rFonts w:ascii="Times New Roman" w:hAnsi="Times New Roman" w:cs="Times New Roman"/>
          <w:sz w:val="24"/>
          <w:szCs w:val="24"/>
        </w:rPr>
        <w:fldChar w:fldCharType="end"/>
      </w:r>
      <w:r w:rsidRPr="00B800AC">
        <w:rPr>
          <w:rFonts w:ascii="Times New Roman" w:hAnsi="Times New Roman" w:cs="Times New Roman"/>
          <w:sz w:val="24"/>
          <w:szCs w:val="24"/>
        </w:rPr>
        <w:tab/>
      </w:r>
      <w:r w:rsidR="00997EDD">
        <w:rPr>
          <w:rFonts w:ascii="Times New Roman" w:hAnsi="Times New Roman" w:cs="Times New Roman"/>
          <w:sz w:val="24"/>
          <w:szCs w:val="24"/>
        </w:rPr>
        <w:t xml:space="preserve">We note that </w:t>
      </w:r>
      <w:r w:rsidR="0050068E" w:rsidRPr="0050068E">
        <w:rPr>
          <w:rFonts w:ascii="Times New Roman" w:hAnsi="Times New Roman" w:cs="Times New Roman"/>
          <w:sz w:val="24"/>
          <w:szCs w:val="24"/>
        </w:rPr>
        <w:t>these providers assist people on incomes above the lower quartile of household income</w:t>
      </w:r>
      <w:r w:rsidR="00997EDD">
        <w:rPr>
          <w:rFonts w:ascii="Times New Roman" w:hAnsi="Times New Roman" w:cs="Times New Roman"/>
          <w:sz w:val="24"/>
          <w:szCs w:val="24"/>
        </w:rPr>
        <w:t xml:space="preserve"> because this is the level of income required to sustain a mortgage over the long-term</w:t>
      </w:r>
      <w:r w:rsidR="0050068E" w:rsidRPr="0050068E">
        <w:rPr>
          <w:rFonts w:ascii="Times New Roman" w:hAnsi="Times New Roman" w:cs="Times New Roman"/>
          <w:sz w:val="24"/>
          <w:szCs w:val="24"/>
        </w:rPr>
        <w:t xml:space="preserve">.  Households with income in the lower quartile will more than likely require social rental assistance, rather than assistance into </w:t>
      </w:r>
      <w:r w:rsidR="00DE07F5">
        <w:rPr>
          <w:rFonts w:ascii="Times New Roman" w:hAnsi="Times New Roman" w:cs="Times New Roman"/>
          <w:sz w:val="24"/>
          <w:szCs w:val="24"/>
        </w:rPr>
        <w:t>homeownership</w:t>
      </w:r>
      <w:r w:rsidR="0050068E" w:rsidRPr="0050068E">
        <w:rPr>
          <w:rFonts w:ascii="Times New Roman" w:hAnsi="Times New Roman" w:cs="Times New Roman"/>
          <w:sz w:val="24"/>
          <w:szCs w:val="24"/>
        </w:rPr>
        <w:t>.</w:t>
      </w:r>
    </w:p>
    <w:p w:rsidR="0050068E" w:rsidRPr="0050068E" w:rsidRDefault="0050068E" w:rsidP="0050068E">
      <w:pPr>
        <w:spacing w:after="0" w:line="240" w:lineRule="auto"/>
        <w:jc w:val="both"/>
        <w:rPr>
          <w:rFonts w:ascii="Times New Roman" w:hAnsi="Times New Roman" w:cs="Times New Roman"/>
          <w:sz w:val="24"/>
          <w:szCs w:val="24"/>
        </w:rPr>
      </w:pPr>
    </w:p>
    <w:p w:rsidR="0050068E" w:rsidRPr="0050068E" w:rsidRDefault="0050068E" w:rsidP="0050068E">
      <w:pPr>
        <w:spacing w:after="0" w:line="240" w:lineRule="auto"/>
        <w:jc w:val="both"/>
        <w:rPr>
          <w:rFonts w:ascii="Times New Roman" w:hAnsi="Times New Roman" w:cs="Times New Roman"/>
          <w:sz w:val="24"/>
          <w:szCs w:val="24"/>
        </w:rPr>
      </w:pPr>
      <w:r w:rsidRPr="0050068E">
        <w:rPr>
          <w:rFonts w:ascii="Times New Roman" w:hAnsi="Times New Roman" w:cs="Times New Roman"/>
          <w:sz w:val="24"/>
          <w:szCs w:val="24"/>
        </w:rPr>
        <w:fldChar w:fldCharType="begin"/>
      </w:r>
      <w:r w:rsidRPr="0050068E">
        <w:rPr>
          <w:rFonts w:ascii="Times New Roman" w:hAnsi="Times New Roman" w:cs="Times New Roman"/>
          <w:sz w:val="24"/>
          <w:szCs w:val="24"/>
        </w:rPr>
        <w:instrText xml:space="preserve"> AUTONUM  </w:instrText>
      </w:r>
      <w:r w:rsidRPr="0050068E">
        <w:rPr>
          <w:rFonts w:ascii="Times New Roman" w:hAnsi="Times New Roman" w:cs="Times New Roman"/>
          <w:sz w:val="24"/>
          <w:szCs w:val="24"/>
        </w:rPr>
        <w:fldChar w:fldCharType="end"/>
      </w:r>
      <w:r w:rsidRPr="0050068E">
        <w:rPr>
          <w:rFonts w:ascii="Times New Roman" w:hAnsi="Times New Roman" w:cs="Times New Roman"/>
          <w:sz w:val="24"/>
          <w:szCs w:val="24"/>
        </w:rPr>
        <w:tab/>
      </w:r>
      <w:r w:rsidR="00997EDD">
        <w:rPr>
          <w:rFonts w:ascii="Times New Roman" w:hAnsi="Times New Roman" w:cs="Times New Roman"/>
          <w:sz w:val="24"/>
          <w:szCs w:val="24"/>
        </w:rPr>
        <w:t>O</w:t>
      </w:r>
      <w:r w:rsidRPr="0050068E">
        <w:rPr>
          <w:rFonts w:ascii="Times New Roman" w:hAnsi="Times New Roman" w:cs="Times New Roman"/>
          <w:sz w:val="24"/>
          <w:szCs w:val="24"/>
        </w:rPr>
        <w:t xml:space="preserve">fficials </w:t>
      </w:r>
      <w:r w:rsidR="00ED4FFE">
        <w:rPr>
          <w:rFonts w:ascii="Times New Roman" w:hAnsi="Times New Roman" w:cs="Times New Roman"/>
          <w:sz w:val="24"/>
          <w:szCs w:val="24"/>
        </w:rPr>
        <w:t xml:space="preserve">from </w:t>
      </w:r>
      <w:r w:rsidR="00CC63CE">
        <w:rPr>
          <w:rFonts w:ascii="Times New Roman" w:hAnsi="Times New Roman" w:cs="Times New Roman"/>
          <w:sz w:val="24"/>
          <w:szCs w:val="24"/>
        </w:rPr>
        <w:t>the Ministry of Business, Innovation and Employment</w:t>
      </w:r>
      <w:r w:rsidR="00ED4FFE">
        <w:rPr>
          <w:rFonts w:ascii="Times New Roman" w:hAnsi="Times New Roman" w:cs="Times New Roman"/>
          <w:sz w:val="24"/>
          <w:szCs w:val="24"/>
        </w:rPr>
        <w:t>, the Treasury and Inland Revenue have spent the past 12</w:t>
      </w:r>
      <w:r w:rsidRPr="0050068E">
        <w:rPr>
          <w:rFonts w:ascii="Times New Roman" w:hAnsi="Times New Roman" w:cs="Times New Roman"/>
          <w:sz w:val="24"/>
          <w:szCs w:val="24"/>
        </w:rPr>
        <w:t xml:space="preserve"> months exploring ways to increase </w:t>
      </w:r>
      <w:r w:rsidR="00A07990">
        <w:rPr>
          <w:rFonts w:ascii="Times New Roman" w:hAnsi="Times New Roman" w:cs="Times New Roman"/>
          <w:sz w:val="24"/>
          <w:szCs w:val="24"/>
        </w:rPr>
        <w:t xml:space="preserve">the current </w:t>
      </w:r>
      <w:r w:rsidRPr="0050068E">
        <w:rPr>
          <w:rFonts w:ascii="Times New Roman" w:hAnsi="Times New Roman" w:cs="Times New Roman"/>
          <w:sz w:val="24"/>
          <w:szCs w:val="24"/>
        </w:rPr>
        <w:t xml:space="preserve">income threshold within the current </w:t>
      </w:r>
      <w:r w:rsidR="00A07990">
        <w:rPr>
          <w:rFonts w:ascii="Times New Roman" w:hAnsi="Times New Roman" w:cs="Times New Roman"/>
          <w:sz w:val="24"/>
          <w:szCs w:val="24"/>
        </w:rPr>
        <w:t>regulation-making provision of section 225D, but have concluded that increases are outside the scope of the provision</w:t>
      </w:r>
      <w:r w:rsidR="006158C5">
        <w:rPr>
          <w:rFonts w:ascii="Times New Roman" w:hAnsi="Times New Roman" w:cs="Times New Roman"/>
          <w:sz w:val="24"/>
          <w:szCs w:val="24"/>
        </w:rPr>
        <w:t xml:space="preserve"> due to the reference to the lower quartile of household income</w:t>
      </w:r>
      <w:r w:rsidR="00A07990">
        <w:rPr>
          <w:rFonts w:ascii="Times New Roman" w:hAnsi="Times New Roman" w:cs="Times New Roman"/>
          <w:sz w:val="24"/>
          <w:szCs w:val="24"/>
        </w:rPr>
        <w:t>.  In order to increase the threshold, legislative change would be required.</w:t>
      </w:r>
    </w:p>
    <w:p w:rsidR="0050068E" w:rsidRPr="0050068E" w:rsidRDefault="0050068E" w:rsidP="0050068E">
      <w:pPr>
        <w:spacing w:after="0" w:line="240" w:lineRule="auto"/>
        <w:jc w:val="both"/>
        <w:rPr>
          <w:rFonts w:ascii="Times New Roman" w:hAnsi="Times New Roman" w:cs="Times New Roman"/>
          <w:sz w:val="24"/>
          <w:szCs w:val="24"/>
        </w:rPr>
      </w:pPr>
    </w:p>
    <w:p w:rsidR="00982579" w:rsidRDefault="00BB573E" w:rsidP="00E155BF">
      <w:pPr>
        <w:spacing w:after="0" w:line="240" w:lineRule="auto"/>
        <w:jc w:val="both"/>
        <w:rPr>
          <w:rFonts w:ascii="Times New Roman" w:hAnsi="Times New Roman" w:cs="Times New Roman"/>
          <w:sz w:val="24"/>
          <w:szCs w:val="24"/>
        </w:rPr>
      </w:pPr>
      <w:r w:rsidRPr="00BB573E">
        <w:rPr>
          <w:rFonts w:ascii="Times New Roman" w:hAnsi="Times New Roman" w:cs="Times New Roman"/>
          <w:sz w:val="24"/>
          <w:szCs w:val="24"/>
        </w:rPr>
        <w:fldChar w:fldCharType="begin"/>
      </w:r>
      <w:r w:rsidRPr="00BB573E">
        <w:rPr>
          <w:rFonts w:ascii="Times New Roman" w:hAnsi="Times New Roman" w:cs="Times New Roman"/>
          <w:sz w:val="24"/>
          <w:szCs w:val="24"/>
        </w:rPr>
        <w:instrText xml:space="preserve"> AUTONUM  </w:instrText>
      </w:r>
      <w:r w:rsidRPr="00BB573E">
        <w:rPr>
          <w:rFonts w:ascii="Times New Roman" w:hAnsi="Times New Roman" w:cs="Times New Roman"/>
          <w:sz w:val="24"/>
          <w:szCs w:val="24"/>
        </w:rPr>
        <w:fldChar w:fldCharType="end"/>
      </w:r>
      <w:r w:rsidRPr="00BB573E">
        <w:rPr>
          <w:rFonts w:ascii="Times New Roman" w:hAnsi="Times New Roman" w:cs="Times New Roman"/>
          <w:sz w:val="24"/>
          <w:szCs w:val="24"/>
        </w:rPr>
        <w:tab/>
      </w:r>
      <w:r w:rsidR="00113796">
        <w:rPr>
          <w:rFonts w:ascii="Times New Roman" w:hAnsi="Times New Roman" w:cs="Times New Roman"/>
          <w:sz w:val="24"/>
          <w:szCs w:val="24"/>
        </w:rPr>
        <w:t xml:space="preserve">In addition, Ministers </w:t>
      </w:r>
      <w:r>
        <w:rPr>
          <w:rFonts w:ascii="Times New Roman" w:hAnsi="Times New Roman" w:cs="Times New Roman"/>
          <w:sz w:val="24"/>
          <w:szCs w:val="24"/>
        </w:rPr>
        <w:t xml:space="preserve">recently </w:t>
      </w:r>
      <w:r w:rsidR="00113796">
        <w:rPr>
          <w:rFonts w:ascii="Times New Roman" w:hAnsi="Times New Roman" w:cs="Times New Roman"/>
          <w:sz w:val="24"/>
          <w:szCs w:val="24"/>
        </w:rPr>
        <w:t xml:space="preserve">revisited an earlier option </w:t>
      </w:r>
      <w:r w:rsidR="002319EB">
        <w:rPr>
          <w:rFonts w:ascii="Times New Roman" w:hAnsi="Times New Roman" w:cs="Times New Roman"/>
          <w:sz w:val="24"/>
          <w:szCs w:val="24"/>
        </w:rPr>
        <w:t xml:space="preserve">that would </w:t>
      </w:r>
      <w:r>
        <w:rPr>
          <w:rFonts w:ascii="Times New Roman" w:hAnsi="Times New Roman" w:cs="Times New Roman"/>
          <w:sz w:val="24"/>
          <w:szCs w:val="24"/>
        </w:rPr>
        <w:t xml:space="preserve">recognise </w:t>
      </w:r>
      <w:r w:rsidR="00424EF2">
        <w:rPr>
          <w:rFonts w:ascii="Times New Roman" w:hAnsi="Times New Roman" w:cs="Times New Roman"/>
          <w:sz w:val="24"/>
          <w:szCs w:val="24"/>
        </w:rPr>
        <w:t xml:space="preserve">CHEs </w:t>
      </w:r>
      <w:r>
        <w:rPr>
          <w:rFonts w:ascii="Times New Roman" w:hAnsi="Times New Roman" w:cs="Times New Roman"/>
          <w:sz w:val="24"/>
          <w:szCs w:val="24"/>
        </w:rPr>
        <w:t>as having a “charitable purpose” for their housing activities (including homeownership products)</w:t>
      </w:r>
      <w:r w:rsidR="00424EF2">
        <w:rPr>
          <w:rFonts w:ascii="Times New Roman" w:hAnsi="Times New Roman" w:cs="Times New Roman"/>
          <w:sz w:val="24"/>
          <w:szCs w:val="24"/>
        </w:rPr>
        <w:t>.</w:t>
      </w:r>
      <w:r>
        <w:rPr>
          <w:rFonts w:ascii="Times New Roman" w:hAnsi="Times New Roman" w:cs="Times New Roman"/>
          <w:sz w:val="24"/>
          <w:szCs w:val="24"/>
        </w:rPr>
        <w:t xml:space="preserve">  </w:t>
      </w:r>
      <w:r w:rsidR="00113796">
        <w:rPr>
          <w:rFonts w:ascii="Times New Roman" w:hAnsi="Times New Roman" w:cs="Times New Roman"/>
          <w:sz w:val="24"/>
          <w:szCs w:val="24"/>
        </w:rPr>
        <w:t>However, this option did not proceed [CAB Min (15) 10/10</w:t>
      </w:r>
      <w:r w:rsidR="00F0181A">
        <w:rPr>
          <w:rFonts w:ascii="Times New Roman" w:hAnsi="Times New Roman" w:cs="Times New Roman"/>
          <w:sz w:val="24"/>
          <w:szCs w:val="24"/>
        </w:rPr>
        <w:t xml:space="preserve"> refers</w:t>
      </w:r>
      <w:r w:rsidR="00113796">
        <w:rPr>
          <w:rFonts w:ascii="Times New Roman" w:hAnsi="Times New Roman" w:cs="Times New Roman"/>
          <w:sz w:val="24"/>
          <w:szCs w:val="24"/>
        </w:rPr>
        <w:t>].</w:t>
      </w:r>
      <w:r>
        <w:rPr>
          <w:rFonts w:ascii="Times New Roman" w:hAnsi="Times New Roman" w:cs="Times New Roman"/>
          <w:sz w:val="24"/>
          <w:szCs w:val="24"/>
        </w:rPr>
        <w:t xml:space="preserve">  </w:t>
      </w:r>
      <w:r w:rsidR="00997EDD">
        <w:rPr>
          <w:rFonts w:ascii="Times New Roman" w:hAnsi="Times New Roman" w:cs="Times New Roman"/>
          <w:sz w:val="24"/>
          <w:szCs w:val="24"/>
        </w:rPr>
        <w:t>This option would have meant that providers would have retained thei</w:t>
      </w:r>
      <w:r w:rsidR="000E75F9">
        <w:rPr>
          <w:rFonts w:ascii="Times New Roman" w:hAnsi="Times New Roman" w:cs="Times New Roman"/>
          <w:sz w:val="24"/>
          <w:szCs w:val="24"/>
        </w:rPr>
        <w:t>r charitable status and eligibility</w:t>
      </w:r>
      <w:r w:rsidR="00997EDD">
        <w:rPr>
          <w:rFonts w:ascii="Times New Roman" w:hAnsi="Times New Roman" w:cs="Times New Roman"/>
          <w:sz w:val="24"/>
          <w:szCs w:val="24"/>
        </w:rPr>
        <w:t xml:space="preserve"> for the existing chariti</w:t>
      </w:r>
      <w:r w:rsidR="000E75F9">
        <w:rPr>
          <w:rFonts w:ascii="Times New Roman" w:hAnsi="Times New Roman" w:cs="Times New Roman"/>
          <w:sz w:val="24"/>
          <w:szCs w:val="24"/>
        </w:rPr>
        <w:t xml:space="preserve">es-related income tax exemption, </w:t>
      </w:r>
      <w:r w:rsidR="00997EDD">
        <w:rPr>
          <w:rFonts w:ascii="Times New Roman" w:hAnsi="Times New Roman" w:cs="Times New Roman"/>
          <w:sz w:val="24"/>
          <w:szCs w:val="24"/>
        </w:rPr>
        <w:t xml:space="preserve">and so the specific CHE income tax exemption </w:t>
      </w:r>
      <w:r w:rsidR="000E75F9">
        <w:rPr>
          <w:rFonts w:ascii="Times New Roman" w:hAnsi="Times New Roman" w:cs="Times New Roman"/>
          <w:sz w:val="24"/>
          <w:szCs w:val="24"/>
        </w:rPr>
        <w:t>would not have been necessary.</w:t>
      </w:r>
    </w:p>
    <w:p w:rsidR="00836B6E" w:rsidRDefault="00836B6E" w:rsidP="00E155BF">
      <w:pPr>
        <w:spacing w:after="0" w:line="240" w:lineRule="auto"/>
        <w:jc w:val="both"/>
        <w:rPr>
          <w:rFonts w:ascii="Times New Roman" w:hAnsi="Times New Roman" w:cs="Times New Roman"/>
          <w:sz w:val="24"/>
          <w:szCs w:val="24"/>
        </w:rPr>
      </w:pPr>
    </w:p>
    <w:p w:rsidR="00836B6E" w:rsidRDefault="00173C4F" w:rsidP="00E155BF">
      <w:pPr>
        <w:spacing w:after="0" w:line="240" w:lineRule="auto"/>
        <w:jc w:val="both"/>
        <w:rPr>
          <w:rFonts w:ascii="Times New Roman" w:hAnsi="Times New Roman" w:cs="Times New Roman"/>
          <w:sz w:val="24"/>
          <w:szCs w:val="24"/>
        </w:rPr>
      </w:pPr>
      <w:r w:rsidRPr="00173C4F">
        <w:rPr>
          <w:rFonts w:ascii="Times New Roman" w:hAnsi="Times New Roman" w:cs="Times New Roman"/>
          <w:sz w:val="24"/>
          <w:szCs w:val="24"/>
        </w:rPr>
        <w:fldChar w:fldCharType="begin"/>
      </w:r>
      <w:r w:rsidRPr="00173C4F">
        <w:rPr>
          <w:rFonts w:ascii="Times New Roman" w:hAnsi="Times New Roman" w:cs="Times New Roman"/>
          <w:sz w:val="24"/>
          <w:szCs w:val="24"/>
        </w:rPr>
        <w:instrText xml:space="preserve"> AUTONUM  </w:instrText>
      </w:r>
      <w:r w:rsidRPr="00173C4F">
        <w:rPr>
          <w:rFonts w:ascii="Times New Roman" w:hAnsi="Times New Roman" w:cs="Times New Roman"/>
          <w:sz w:val="24"/>
          <w:szCs w:val="24"/>
        </w:rPr>
        <w:fldChar w:fldCharType="end"/>
      </w:r>
      <w:r w:rsidRPr="00173C4F">
        <w:rPr>
          <w:rFonts w:ascii="Times New Roman" w:hAnsi="Times New Roman" w:cs="Times New Roman"/>
          <w:sz w:val="24"/>
          <w:szCs w:val="24"/>
        </w:rPr>
        <w:tab/>
      </w:r>
      <w:r w:rsidR="00BB573E">
        <w:rPr>
          <w:rFonts w:ascii="Times New Roman" w:hAnsi="Times New Roman" w:cs="Times New Roman"/>
          <w:sz w:val="24"/>
          <w:szCs w:val="24"/>
        </w:rPr>
        <w:t>Following this</w:t>
      </w:r>
      <w:r w:rsidR="008C7AA0">
        <w:rPr>
          <w:rFonts w:ascii="Times New Roman" w:hAnsi="Times New Roman" w:cs="Times New Roman"/>
          <w:sz w:val="24"/>
          <w:szCs w:val="24"/>
        </w:rPr>
        <w:t xml:space="preserve"> </w:t>
      </w:r>
      <w:r w:rsidR="000E75F9">
        <w:rPr>
          <w:rFonts w:ascii="Times New Roman" w:hAnsi="Times New Roman" w:cs="Times New Roman"/>
          <w:sz w:val="24"/>
          <w:szCs w:val="24"/>
        </w:rPr>
        <w:t>decision</w:t>
      </w:r>
      <w:r w:rsidR="00BB573E">
        <w:rPr>
          <w:rFonts w:ascii="Times New Roman" w:hAnsi="Times New Roman" w:cs="Times New Roman"/>
          <w:sz w:val="24"/>
          <w:szCs w:val="24"/>
        </w:rPr>
        <w:t xml:space="preserve">, </w:t>
      </w:r>
      <w:r w:rsidR="00836B6E">
        <w:rPr>
          <w:rFonts w:ascii="Times New Roman" w:hAnsi="Times New Roman" w:cs="Times New Roman"/>
          <w:sz w:val="24"/>
          <w:szCs w:val="24"/>
        </w:rPr>
        <w:t xml:space="preserve">Ministers </w:t>
      </w:r>
      <w:r>
        <w:rPr>
          <w:rFonts w:ascii="Times New Roman" w:hAnsi="Times New Roman" w:cs="Times New Roman"/>
          <w:sz w:val="24"/>
          <w:szCs w:val="24"/>
        </w:rPr>
        <w:t xml:space="preserve">asked </w:t>
      </w:r>
      <w:r w:rsidR="00836B6E">
        <w:rPr>
          <w:rFonts w:ascii="Times New Roman" w:hAnsi="Times New Roman" w:cs="Times New Roman"/>
          <w:sz w:val="24"/>
          <w:szCs w:val="24"/>
        </w:rPr>
        <w:t xml:space="preserve">officials </w:t>
      </w:r>
      <w:r w:rsidR="00424EF2">
        <w:rPr>
          <w:rFonts w:ascii="Times New Roman" w:hAnsi="Times New Roman" w:cs="Times New Roman"/>
          <w:sz w:val="24"/>
          <w:szCs w:val="24"/>
        </w:rPr>
        <w:t xml:space="preserve">from </w:t>
      </w:r>
      <w:r w:rsidR="00CC63CE">
        <w:rPr>
          <w:rFonts w:ascii="Times New Roman" w:hAnsi="Times New Roman" w:cs="Times New Roman"/>
          <w:sz w:val="24"/>
          <w:szCs w:val="24"/>
        </w:rPr>
        <w:t xml:space="preserve">the Ministry of Business, Innovation and Employment </w:t>
      </w:r>
      <w:r w:rsidR="00424EF2">
        <w:rPr>
          <w:rFonts w:ascii="Times New Roman" w:hAnsi="Times New Roman" w:cs="Times New Roman"/>
          <w:sz w:val="24"/>
          <w:szCs w:val="24"/>
        </w:rPr>
        <w:t xml:space="preserve">and Inland Revenue </w:t>
      </w:r>
      <w:r>
        <w:rPr>
          <w:rFonts w:ascii="Times New Roman" w:hAnsi="Times New Roman" w:cs="Times New Roman"/>
          <w:sz w:val="24"/>
          <w:szCs w:val="24"/>
        </w:rPr>
        <w:t xml:space="preserve">to </w:t>
      </w:r>
      <w:r w:rsidR="008C240D">
        <w:rPr>
          <w:rFonts w:ascii="Times New Roman" w:hAnsi="Times New Roman" w:cs="Times New Roman"/>
          <w:sz w:val="24"/>
          <w:szCs w:val="24"/>
        </w:rPr>
        <w:t xml:space="preserve">report on </w:t>
      </w:r>
      <w:r w:rsidR="000E75F9">
        <w:rPr>
          <w:rFonts w:ascii="Times New Roman" w:hAnsi="Times New Roman" w:cs="Times New Roman"/>
          <w:sz w:val="24"/>
          <w:szCs w:val="24"/>
        </w:rPr>
        <w:t xml:space="preserve">alternative mechanisms for </w:t>
      </w:r>
      <w:r w:rsidR="00424EF2">
        <w:rPr>
          <w:rFonts w:ascii="Times New Roman" w:hAnsi="Times New Roman" w:cs="Times New Roman"/>
          <w:sz w:val="24"/>
          <w:szCs w:val="24"/>
        </w:rPr>
        <w:t xml:space="preserve">increasing the income threshold </w:t>
      </w:r>
      <w:r w:rsidR="000E75F9">
        <w:rPr>
          <w:rFonts w:ascii="Times New Roman" w:hAnsi="Times New Roman" w:cs="Times New Roman"/>
          <w:sz w:val="24"/>
          <w:szCs w:val="24"/>
        </w:rPr>
        <w:t xml:space="preserve">in order </w:t>
      </w:r>
      <w:r w:rsidR="00424EF2">
        <w:rPr>
          <w:rFonts w:ascii="Times New Roman" w:hAnsi="Times New Roman" w:cs="Times New Roman"/>
          <w:sz w:val="24"/>
          <w:szCs w:val="24"/>
        </w:rPr>
        <w:t xml:space="preserve">to give </w:t>
      </w:r>
      <w:r>
        <w:rPr>
          <w:rFonts w:ascii="Times New Roman" w:hAnsi="Times New Roman" w:cs="Times New Roman"/>
          <w:sz w:val="24"/>
          <w:szCs w:val="24"/>
        </w:rPr>
        <w:t xml:space="preserve">effect to the current </w:t>
      </w:r>
      <w:r w:rsidR="000E75F9">
        <w:rPr>
          <w:rFonts w:ascii="Times New Roman" w:hAnsi="Times New Roman" w:cs="Times New Roman"/>
          <w:sz w:val="24"/>
          <w:szCs w:val="24"/>
        </w:rPr>
        <w:t>tax provisions</w:t>
      </w:r>
      <w:r>
        <w:rPr>
          <w:rFonts w:ascii="Times New Roman" w:hAnsi="Times New Roman" w:cs="Times New Roman"/>
          <w:sz w:val="24"/>
          <w:szCs w:val="24"/>
        </w:rPr>
        <w:t>.</w:t>
      </w:r>
    </w:p>
    <w:p w:rsidR="00173C4F" w:rsidRDefault="00173C4F" w:rsidP="00E155BF">
      <w:pPr>
        <w:spacing w:after="0" w:line="240" w:lineRule="auto"/>
        <w:jc w:val="both"/>
        <w:rPr>
          <w:rFonts w:ascii="Times New Roman" w:hAnsi="Times New Roman" w:cs="Times New Roman"/>
          <w:sz w:val="24"/>
          <w:szCs w:val="24"/>
        </w:rPr>
      </w:pPr>
    </w:p>
    <w:p w:rsidR="002319EB" w:rsidRPr="002319EB" w:rsidRDefault="002319EB" w:rsidP="002319EB">
      <w:pPr>
        <w:spacing w:after="0" w:line="240" w:lineRule="auto"/>
        <w:jc w:val="both"/>
        <w:rPr>
          <w:rFonts w:ascii="Times New Roman" w:hAnsi="Times New Roman" w:cs="Times New Roman"/>
          <w:sz w:val="24"/>
          <w:szCs w:val="24"/>
        </w:rPr>
      </w:pPr>
      <w:r w:rsidRPr="002319EB">
        <w:rPr>
          <w:rFonts w:ascii="Times New Roman" w:hAnsi="Times New Roman" w:cs="Times New Roman"/>
          <w:sz w:val="24"/>
          <w:szCs w:val="24"/>
        </w:rPr>
        <w:fldChar w:fldCharType="begin"/>
      </w:r>
      <w:r w:rsidRPr="002319EB">
        <w:rPr>
          <w:rFonts w:ascii="Times New Roman" w:hAnsi="Times New Roman" w:cs="Times New Roman"/>
          <w:sz w:val="24"/>
          <w:szCs w:val="24"/>
        </w:rPr>
        <w:instrText xml:space="preserve"> AUTONUM  </w:instrText>
      </w:r>
      <w:r w:rsidRPr="002319EB">
        <w:rPr>
          <w:rFonts w:ascii="Times New Roman" w:hAnsi="Times New Roman" w:cs="Times New Roman"/>
          <w:sz w:val="24"/>
          <w:szCs w:val="24"/>
        </w:rPr>
        <w:fldChar w:fldCharType="end"/>
      </w:r>
      <w:r w:rsidRPr="002319EB">
        <w:rPr>
          <w:rFonts w:ascii="Times New Roman" w:hAnsi="Times New Roman" w:cs="Times New Roman"/>
          <w:sz w:val="24"/>
          <w:szCs w:val="24"/>
        </w:rPr>
        <w:tab/>
        <w:t xml:space="preserve">This RIS is concerned with the </w:t>
      </w:r>
      <w:r>
        <w:rPr>
          <w:rFonts w:ascii="Times New Roman" w:hAnsi="Times New Roman" w:cs="Times New Roman"/>
          <w:sz w:val="24"/>
          <w:szCs w:val="24"/>
        </w:rPr>
        <w:t xml:space="preserve">implementation of the current income tax exemption and </w:t>
      </w:r>
      <w:proofErr w:type="spellStart"/>
      <w:r>
        <w:rPr>
          <w:rFonts w:ascii="Times New Roman" w:hAnsi="Times New Roman" w:cs="Times New Roman"/>
          <w:sz w:val="24"/>
          <w:szCs w:val="24"/>
        </w:rPr>
        <w:t>donee</w:t>
      </w:r>
      <w:proofErr w:type="spellEnd"/>
      <w:r>
        <w:rPr>
          <w:rFonts w:ascii="Times New Roman" w:hAnsi="Times New Roman" w:cs="Times New Roman"/>
          <w:sz w:val="24"/>
          <w:szCs w:val="24"/>
        </w:rPr>
        <w:t xml:space="preserve"> status for </w:t>
      </w:r>
      <w:proofErr w:type="spellStart"/>
      <w:r>
        <w:rPr>
          <w:rFonts w:ascii="Times New Roman" w:hAnsi="Times New Roman" w:cs="Times New Roman"/>
          <w:sz w:val="24"/>
          <w:szCs w:val="24"/>
        </w:rPr>
        <w:t>CHEs</w:t>
      </w:r>
      <w:proofErr w:type="spellEnd"/>
      <w:r>
        <w:rPr>
          <w:rFonts w:ascii="Times New Roman" w:hAnsi="Times New Roman" w:cs="Times New Roman"/>
          <w:sz w:val="24"/>
          <w:szCs w:val="24"/>
        </w:rPr>
        <w:t xml:space="preserve"> in the Income Tax Act 2007.  Specifically, it deals with the question </w:t>
      </w:r>
      <w:r w:rsidR="00B97CF0">
        <w:rPr>
          <w:rFonts w:ascii="Times New Roman" w:hAnsi="Times New Roman" w:cs="Times New Roman"/>
          <w:sz w:val="24"/>
          <w:szCs w:val="24"/>
        </w:rPr>
        <w:t xml:space="preserve">of </w:t>
      </w:r>
      <w:r w:rsidRPr="002319EB">
        <w:rPr>
          <w:rFonts w:ascii="Times New Roman" w:hAnsi="Times New Roman" w:cs="Times New Roman"/>
          <w:sz w:val="24"/>
          <w:szCs w:val="24"/>
        </w:rPr>
        <w:t xml:space="preserve">what </w:t>
      </w:r>
      <w:r w:rsidR="00997EDD">
        <w:rPr>
          <w:rFonts w:ascii="Times New Roman" w:hAnsi="Times New Roman" w:cs="Times New Roman"/>
          <w:sz w:val="24"/>
          <w:szCs w:val="24"/>
        </w:rPr>
        <w:t xml:space="preserve">mechanism should be used to set the </w:t>
      </w:r>
      <w:r w:rsidRPr="002319EB">
        <w:rPr>
          <w:rFonts w:ascii="Times New Roman" w:hAnsi="Times New Roman" w:cs="Times New Roman"/>
          <w:sz w:val="24"/>
          <w:szCs w:val="24"/>
        </w:rPr>
        <w:t xml:space="preserve">level of the income threshold for determining whether a person is </w:t>
      </w:r>
      <w:r w:rsidR="00997EDD">
        <w:rPr>
          <w:rFonts w:ascii="Times New Roman" w:hAnsi="Times New Roman" w:cs="Times New Roman"/>
          <w:sz w:val="24"/>
          <w:szCs w:val="24"/>
        </w:rPr>
        <w:t xml:space="preserve">an </w:t>
      </w:r>
      <w:r w:rsidRPr="002319EB">
        <w:rPr>
          <w:rFonts w:ascii="Times New Roman" w:hAnsi="Times New Roman" w:cs="Times New Roman"/>
          <w:sz w:val="24"/>
          <w:szCs w:val="24"/>
        </w:rPr>
        <w:t xml:space="preserve">eligible </w:t>
      </w:r>
      <w:r w:rsidR="00997EDD">
        <w:rPr>
          <w:rFonts w:ascii="Times New Roman" w:hAnsi="Times New Roman" w:cs="Times New Roman"/>
          <w:sz w:val="24"/>
          <w:szCs w:val="24"/>
        </w:rPr>
        <w:t xml:space="preserve">recipient </w:t>
      </w:r>
      <w:r w:rsidRPr="002319EB">
        <w:rPr>
          <w:rFonts w:ascii="Times New Roman" w:hAnsi="Times New Roman" w:cs="Times New Roman"/>
          <w:sz w:val="24"/>
          <w:szCs w:val="24"/>
        </w:rPr>
        <w:t xml:space="preserve">of a community housing entity </w:t>
      </w:r>
      <w:r>
        <w:rPr>
          <w:rFonts w:ascii="Times New Roman" w:hAnsi="Times New Roman" w:cs="Times New Roman"/>
          <w:sz w:val="24"/>
          <w:szCs w:val="24"/>
        </w:rPr>
        <w:t>for tax purposes.</w:t>
      </w:r>
    </w:p>
    <w:p w:rsidR="002319EB" w:rsidRDefault="002319EB" w:rsidP="00E155BF">
      <w:pPr>
        <w:spacing w:after="0" w:line="240" w:lineRule="auto"/>
        <w:jc w:val="both"/>
        <w:rPr>
          <w:rFonts w:ascii="Times New Roman" w:hAnsi="Times New Roman" w:cs="Times New Roman"/>
          <w:sz w:val="24"/>
          <w:szCs w:val="24"/>
        </w:rPr>
      </w:pPr>
    </w:p>
    <w:p w:rsidR="0096366F" w:rsidRDefault="0096366F">
      <w:pPr>
        <w:rPr>
          <w:rFonts w:ascii="Times New Roman" w:hAnsi="Times New Roman" w:cs="Times New Roman"/>
          <w:b/>
          <w:caps/>
          <w:sz w:val="24"/>
          <w:szCs w:val="24"/>
        </w:rPr>
      </w:pPr>
      <w:r>
        <w:rPr>
          <w:rFonts w:ascii="Times New Roman" w:hAnsi="Times New Roman" w:cs="Times New Roman"/>
          <w:b/>
          <w:caps/>
          <w:sz w:val="24"/>
          <w:szCs w:val="24"/>
        </w:rPr>
        <w:br w:type="page"/>
      </w:r>
    </w:p>
    <w:p w:rsidR="006763C3" w:rsidRPr="006763C3" w:rsidRDefault="006763C3" w:rsidP="00EF7E34">
      <w:pPr>
        <w:spacing w:after="0" w:line="240" w:lineRule="auto"/>
        <w:jc w:val="both"/>
        <w:rPr>
          <w:rFonts w:ascii="Times New Roman" w:hAnsi="Times New Roman" w:cs="Times New Roman"/>
          <w:b/>
          <w:caps/>
          <w:sz w:val="24"/>
          <w:szCs w:val="24"/>
        </w:rPr>
      </w:pPr>
      <w:r w:rsidRPr="006763C3">
        <w:rPr>
          <w:rFonts w:ascii="Times New Roman" w:hAnsi="Times New Roman" w:cs="Times New Roman"/>
          <w:b/>
          <w:caps/>
          <w:sz w:val="24"/>
          <w:szCs w:val="24"/>
        </w:rPr>
        <w:t>Objectives</w:t>
      </w:r>
    </w:p>
    <w:p w:rsidR="006763C3" w:rsidRDefault="006763C3" w:rsidP="00EF7E34">
      <w:pPr>
        <w:spacing w:after="0" w:line="240" w:lineRule="auto"/>
        <w:jc w:val="both"/>
        <w:rPr>
          <w:rFonts w:ascii="Times New Roman" w:hAnsi="Times New Roman" w:cs="Times New Roman"/>
          <w:sz w:val="24"/>
          <w:szCs w:val="24"/>
        </w:rPr>
      </w:pPr>
    </w:p>
    <w:p w:rsidR="006763C3" w:rsidRDefault="008C7AA0" w:rsidP="00EF7E34">
      <w:pPr>
        <w:spacing w:after="0" w:line="240" w:lineRule="auto"/>
        <w:jc w:val="both"/>
        <w:rPr>
          <w:rFonts w:ascii="Times New Roman" w:hAnsi="Times New Roman" w:cs="Times New Roman"/>
          <w:sz w:val="24"/>
          <w:szCs w:val="24"/>
        </w:rPr>
      </w:pPr>
      <w:r w:rsidRPr="008C7AA0">
        <w:rPr>
          <w:rFonts w:ascii="Times New Roman" w:hAnsi="Times New Roman" w:cs="Times New Roman"/>
          <w:sz w:val="24"/>
          <w:szCs w:val="24"/>
        </w:rPr>
        <w:fldChar w:fldCharType="begin"/>
      </w:r>
      <w:r w:rsidRPr="008C7AA0">
        <w:rPr>
          <w:rFonts w:ascii="Times New Roman" w:hAnsi="Times New Roman" w:cs="Times New Roman"/>
          <w:sz w:val="24"/>
          <w:szCs w:val="24"/>
        </w:rPr>
        <w:instrText xml:space="preserve"> AUTONUM  </w:instrText>
      </w:r>
      <w:r w:rsidRPr="008C7AA0">
        <w:rPr>
          <w:rFonts w:ascii="Times New Roman" w:hAnsi="Times New Roman" w:cs="Times New Roman"/>
          <w:sz w:val="24"/>
          <w:szCs w:val="24"/>
        </w:rPr>
        <w:fldChar w:fldCharType="end"/>
      </w:r>
      <w:r w:rsidRPr="008C7AA0">
        <w:rPr>
          <w:rFonts w:ascii="Times New Roman" w:hAnsi="Times New Roman" w:cs="Times New Roman"/>
          <w:sz w:val="24"/>
          <w:szCs w:val="24"/>
        </w:rPr>
        <w:tab/>
      </w:r>
      <w:r>
        <w:rPr>
          <w:rFonts w:ascii="Times New Roman" w:hAnsi="Times New Roman" w:cs="Times New Roman"/>
          <w:sz w:val="24"/>
          <w:szCs w:val="24"/>
        </w:rPr>
        <w:t>The key objectives are</w:t>
      </w:r>
      <w:r w:rsidR="00122828">
        <w:rPr>
          <w:rFonts w:ascii="Times New Roman" w:hAnsi="Times New Roman" w:cs="Times New Roman"/>
          <w:sz w:val="24"/>
          <w:szCs w:val="24"/>
        </w:rPr>
        <w:t xml:space="preserve">: </w:t>
      </w:r>
    </w:p>
    <w:p w:rsidR="00122828" w:rsidRDefault="00122828" w:rsidP="00122828">
      <w:pPr>
        <w:spacing w:after="0" w:line="240" w:lineRule="auto"/>
        <w:ind w:left="1440" w:hanging="720"/>
        <w:jc w:val="both"/>
        <w:rPr>
          <w:rFonts w:ascii="Times New Roman" w:hAnsi="Times New Roman" w:cs="Times New Roman"/>
          <w:sz w:val="24"/>
          <w:szCs w:val="24"/>
        </w:rPr>
      </w:pPr>
    </w:p>
    <w:p w:rsidR="00122828" w:rsidRDefault="00122828" w:rsidP="00122828">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122828">
        <w:rPr>
          <w:rFonts w:ascii="Times New Roman" w:hAnsi="Times New Roman" w:cs="Times New Roman"/>
          <w:i/>
          <w:sz w:val="24"/>
          <w:szCs w:val="24"/>
        </w:rPr>
        <w:t>Scope</w:t>
      </w:r>
      <w:r w:rsidRPr="00122828">
        <w:rPr>
          <w:rFonts w:ascii="Times New Roman" w:hAnsi="Times New Roman" w:cs="Times New Roman"/>
          <w:sz w:val="24"/>
          <w:szCs w:val="24"/>
        </w:rPr>
        <w:t xml:space="preserve"> - the </w:t>
      </w:r>
      <w:r>
        <w:rPr>
          <w:rFonts w:ascii="Times New Roman" w:hAnsi="Times New Roman" w:cs="Times New Roman"/>
          <w:sz w:val="24"/>
          <w:szCs w:val="24"/>
        </w:rPr>
        <w:t xml:space="preserve">income threshold </w:t>
      </w:r>
      <w:r w:rsidRPr="00122828">
        <w:rPr>
          <w:rFonts w:ascii="Times New Roman" w:hAnsi="Times New Roman" w:cs="Times New Roman"/>
          <w:sz w:val="24"/>
          <w:szCs w:val="24"/>
        </w:rPr>
        <w:t xml:space="preserve">should ensure that the </w:t>
      </w:r>
      <w:r w:rsidR="00E92DEB">
        <w:rPr>
          <w:rFonts w:ascii="Times New Roman" w:hAnsi="Times New Roman" w:cs="Times New Roman"/>
          <w:sz w:val="24"/>
          <w:szCs w:val="24"/>
        </w:rPr>
        <w:t xml:space="preserve">CHE tax provisions are </w:t>
      </w:r>
      <w:r w:rsidRPr="00122828">
        <w:rPr>
          <w:rFonts w:ascii="Times New Roman" w:hAnsi="Times New Roman" w:cs="Times New Roman"/>
          <w:sz w:val="24"/>
          <w:szCs w:val="24"/>
        </w:rPr>
        <w:t xml:space="preserve">appropriately targeted to those providers and eligible recipients that </w:t>
      </w:r>
      <w:r w:rsidR="000E75F9">
        <w:rPr>
          <w:rFonts w:ascii="Times New Roman" w:hAnsi="Times New Roman" w:cs="Times New Roman"/>
          <w:sz w:val="24"/>
          <w:szCs w:val="24"/>
        </w:rPr>
        <w:t>the Government</w:t>
      </w:r>
      <w:r w:rsidRPr="00122828">
        <w:rPr>
          <w:rFonts w:ascii="Times New Roman" w:hAnsi="Times New Roman" w:cs="Times New Roman"/>
          <w:sz w:val="24"/>
          <w:szCs w:val="24"/>
        </w:rPr>
        <w:t xml:space="preserve"> seek</w:t>
      </w:r>
      <w:r w:rsidR="000E75F9">
        <w:rPr>
          <w:rFonts w:ascii="Times New Roman" w:hAnsi="Times New Roman" w:cs="Times New Roman"/>
          <w:sz w:val="24"/>
          <w:szCs w:val="24"/>
        </w:rPr>
        <w:t>s</w:t>
      </w:r>
      <w:r w:rsidRPr="00122828">
        <w:rPr>
          <w:rFonts w:ascii="Times New Roman" w:hAnsi="Times New Roman" w:cs="Times New Roman"/>
          <w:sz w:val="24"/>
          <w:szCs w:val="24"/>
        </w:rPr>
        <w:t xml:space="preserve"> to support.</w:t>
      </w:r>
    </w:p>
    <w:p w:rsidR="00122828" w:rsidRPr="00122828" w:rsidRDefault="00122828" w:rsidP="00122828">
      <w:pPr>
        <w:spacing w:after="0" w:line="240" w:lineRule="auto"/>
        <w:ind w:left="1440" w:hanging="720"/>
        <w:jc w:val="both"/>
        <w:rPr>
          <w:rFonts w:ascii="Times New Roman" w:hAnsi="Times New Roman" w:cs="Times New Roman"/>
          <w:sz w:val="24"/>
          <w:szCs w:val="24"/>
        </w:rPr>
      </w:pPr>
    </w:p>
    <w:p w:rsidR="00122828" w:rsidRDefault="00122828" w:rsidP="00122828">
      <w:pPr>
        <w:spacing w:after="0" w:line="240" w:lineRule="auto"/>
        <w:ind w:left="1440" w:hanging="720"/>
        <w:jc w:val="both"/>
        <w:rPr>
          <w:rFonts w:ascii="Times New Roman" w:hAnsi="Times New Roman" w:cs="Times New Roman"/>
          <w:sz w:val="24"/>
          <w:szCs w:val="24"/>
        </w:rPr>
      </w:pPr>
      <w:r w:rsidRPr="00122828">
        <w:rPr>
          <w:rFonts w:ascii="Times New Roman" w:hAnsi="Times New Roman" w:cs="Times New Roman"/>
          <w:sz w:val="24"/>
          <w:szCs w:val="24"/>
        </w:rPr>
        <w:t>b)</w:t>
      </w:r>
      <w:r w:rsidRPr="00122828">
        <w:rPr>
          <w:rFonts w:ascii="Times New Roman" w:hAnsi="Times New Roman" w:cs="Times New Roman"/>
          <w:sz w:val="24"/>
          <w:szCs w:val="24"/>
        </w:rPr>
        <w:tab/>
      </w:r>
      <w:r w:rsidRPr="00122828">
        <w:rPr>
          <w:rFonts w:ascii="Times New Roman" w:hAnsi="Times New Roman" w:cs="Times New Roman"/>
          <w:i/>
          <w:sz w:val="24"/>
          <w:szCs w:val="24"/>
        </w:rPr>
        <w:t>Consistency with existing housing assistance mechanisms</w:t>
      </w:r>
      <w:r w:rsidRPr="00122828">
        <w:rPr>
          <w:rFonts w:ascii="Times New Roman" w:hAnsi="Times New Roman" w:cs="Times New Roman"/>
          <w:sz w:val="24"/>
          <w:szCs w:val="24"/>
        </w:rPr>
        <w:t xml:space="preserve"> </w:t>
      </w:r>
      <w:r w:rsidR="00314CFD">
        <w:rPr>
          <w:rFonts w:ascii="Times New Roman" w:hAnsi="Times New Roman" w:cs="Times New Roman"/>
          <w:sz w:val="24"/>
          <w:szCs w:val="24"/>
        </w:rPr>
        <w:t>–</w:t>
      </w:r>
      <w:r w:rsidRPr="00122828">
        <w:rPr>
          <w:rFonts w:ascii="Times New Roman" w:hAnsi="Times New Roman" w:cs="Times New Roman"/>
          <w:sz w:val="24"/>
          <w:szCs w:val="24"/>
        </w:rPr>
        <w:t xml:space="preserve"> as far as practicable, the </w:t>
      </w:r>
      <w:r>
        <w:rPr>
          <w:rFonts w:ascii="Times New Roman" w:hAnsi="Times New Roman" w:cs="Times New Roman"/>
          <w:sz w:val="24"/>
          <w:szCs w:val="24"/>
        </w:rPr>
        <w:t xml:space="preserve">income threshold </w:t>
      </w:r>
      <w:r w:rsidRPr="00122828">
        <w:rPr>
          <w:rFonts w:ascii="Times New Roman" w:hAnsi="Times New Roman" w:cs="Times New Roman"/>
          <w:sz w:val="24"/>
          <w:szCs w:val="24"/>
        </w:rPr>
        <w:t xml:space="preserve">should </w:t>
      </w:r>
      <w:r>
        <w:rPr>
          <w:rFonts w:ascii="Times New Roman" w:hAnsi="Times New Roman" w:cs="Times New Roman"/>
          <w:sz w:val="24"/>
          <w:szCs w:val="24"/>
        </w:rPr>
        <w:t xml:space="preserve">relate to </w:t>
      </w:r>
      <w:r w:rsidRPr="00122828">
        <w:rPr>
          <w:rFonts w:ascii="Times New Roman" w:hAnsi="Times New Roman" w:cs="Times New Roman"/>
          <w:sz w:val="24"/>
          <w:szCs w:val="24"/>
        </w:rPr>
        <w:t xml:space="preserve">existing mechanisms relating to </w:t>
      </w:r>
      <w:r w:rsidR="000E75F9">
        <w:rPr>
          <w:rFonts w:ascii="Times New Roman" w:hAnsi="Times New Roman" w:cs="Times New Roman"/>
          <w:sz w:val="24"/>
          <w:szCs w:val="24"/>
        </w:rPr>
        <w:t xml:space="preserve">homeownership </w:t>
      </w:r>
      <w:r w:rsidRPr="00122828">
        <w:rPr>
          <w:rFonts w:ascii="Times New Roman" w:hAnsi="Times New Roman" w:cs="Times New Roman"/>
          <w:sz w:val="24"/>
          <w:szCs w:val="24"/>
        </w:rPr>
        <w:t xml:space="preserve">assistance </w:t>
      </w:r>
      <w:r w:rsidR="000E75F9">
        <w:rPr>
          <w:rFonts w:ascii="Times New Roman" w:hAnsi="Times New Roman" w:cs="Times New Roman"/>
          <w:sz w:val="24"/>
          <w:szCs w:val="24"/>
        </w:rPr>
        <w:t xml:space="preserve">to ensure consistency </w:t>
      </w:r>
      <w:r w:rsidR="00AF5B84">
        <w:rPr>
          <w:rFonts w:ascii="Times New Roman" w:hAnsi="Times New Roman" w:cs="Times New Roman"/>
          <w:sz w:val="24"/>
          <w:szCs w:val="24"/>
        </w:rPr>
        <w:t>across</w:t>
      </w:r>
      <w:r w:rsidR="000E75F9">
        <w:rPr>
          <w:rFonts w:ascii="Times New Roman" w:hAnsi="Times New Roman" w:cs="Times New Roman"/>
          <w:sz w:val="24"/>
          <w:szCs w:val="24"/>
        </w:rPr>
        <w:t xml:space="preserve"> Government programmes and to </w:t>
      </w:r>
      <w:r w:rsidRPr="00122828">
        <w:rPr>
          <w:rFonts w:ascii="Times New Roman" w:hAnsi="Times New Roman" w:cs="Times New Roman"/>
          <w:sz w:val="24"/>
          <w:szCs w:val="24"/>
        </w:rPr>
        <w:t>help minimise administration costs for Inland Revenue and compliance costs for providers.</w:t>
      </w:r>
    </w:p>
    <w:p w:rsidR="00122828" w:rsidRPr="00122828" w:rsidRDefault="00122828" w:rsidP="00122828">
      <w:pPr>
        <w:spacing w:after="0" w:line="240" w:lineRule="auto"/>
        <w:ind w:left="1440" w:hanging="720"/>
        <w:jc w:val="both"/>
        <w:rPr>
          <w:rFonts w:ascii="Times New Roman" w:hAnsi="Times New Roman" w:cs="Times New Roman"/>
          <w:sz w:val="24"/>
          <w:szCs w:val="24"/>
        </w:rPr>
      </w:pPr>
    </w:p>
    <w:p w:rsidR="00122828" w:rsidRPr="00122828" w:rsidRDefault="00122828" w:rsidP="00122828">
      <w:pPr>
        <w:spacing w:after="0" w:line="240" w:lineRule="auto"/>
        <w:ind w:left="1440" w:hanging="720"/>
        <w:jc w:val="both"/>
        <w:rPr>
          <w:rFonts w:ascii="Times New Roman" w:hAnsi="Times New Roman" w:cs="Times New Roman"/>
          <w:sz w:val="24"/>
          <w:szCs w:val="24"/>
        </w:rPr>
      </w:pPr>
      <w:r w:rsidRPr="00122828">
        <w:rPr>
          <w:rFonts w:ascii="Times New Roman" w:hAnsi="Times New Roman" w:cs="Times New Roman"/>
          <w:sz w:val="24"/>
          <w:szCs w:val="24"/>
        </w:rPr>
        <w:t>c)</w:t>
      </w:r>
      <w:r>
        <w:rPr>
          <w:rFonts w:ascii="Times New Roman" w:hAnsi="Times New Roman" w:cs="Times New Roman"/>
          <w:i/>
          <w:sz w:val="24"/>
          <w:szCs w:val="24"/>
        </w:rPr>
        <w:tab/>
      </w:r>
      <w:r w:rsidRPr="00122828">
        <w:rPr>
          <w:rFonts w:ascii="Times New Roman" w:hAnsi="Times New Roman" w:cs="Times New Roman"/>
          <w:i/>
          <w:sz w:val="24"/>
          <w:szCs w:val="24"/>
        </w:rPr>
        <w:t>Housing affordability stress</w:t>
      </w:r>
      <w:r w:rsidRPr="00122828">
        <w:rPr>
          <w:rFonts w:ascii="Times New Roman" w:hAnsi="Times New Roman" w:cs="Times New Roman"/>
          <w:sz w:val="24"/>
          <w:szCs w:val="24"/>
        </w:rPr>
        <w:t xml:space="preserve"> – the </w:t>
      </w:r>
      <w:r>
        <w:rPr>
          <w:rFonts w:ascii="Times New Roman" w:hAnsi="Times New Roman" w:cs="Times New Roman"/>
          <w:sz w:val="24"/>
          <w:szCs w:val="24"/>
        </w:rPr>
        <w:t xml:space="preserve">income threshold </w:t>
      </w:r>
      <w:r w:rsidRPr="00122828">
        <w:rPr>
          <w:rFonts w:ascii="Times New Roman" w:hAnsi="Times New Roman" w:cs="Times New Roman"/>
          <w:sz w:val="24"/>
          <w:szCs w:val="24"/>
        </w:rPr>
        <w:t>should reflect some measure of housing affordability stress.</w:t>
      </w:r>
    </w:p>
    <w:p w:rsidR="00122828" w:rsidRDefault="00122828" w:rsidP="00122828">
      <w:pPr>
        <w:spacing w:after="0" w:line="240" w:lineRule="auto"/>
        <w:ind w:left="720"/>
        <w:jc w:val="both"/>
        <w:rPr>
          <w:rFonts w:ascii="Times New Roman" w:hAnsi="Times New Roman" w:cs="Times New Roman"/>
          <w:i/>
          <w:sz w:val="24"/>
          <w:szCs w:val="24"/>
        </w:rPr>
      </w:pPr>
    </w:p>
    <w:p w:rsidR="00122828" w:rsidRPr="00122828" w:rsidRDefault="00122828" w:rsidP="00122828">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Pr="00122828">
        <w:rPr>
          <w:rFonts w:ascii="Times New Roman" w:hAnsi="Times New Roman" w:cs="Times New Roman"/>
          <w:i/>
          <w:sz w:val="24"/>
          <w:szCs w:val="24"/>
        </w:rPr>
        <w:t>Administrative simplicity</w:t>
      </w:r>
      <w:r w:rsidRPr="00122828">
        <w:rPr>
          <w:rFonts w:ascii="Times New Roman" w:hAnsi="Times New Roman" w:cs="Times New Roman"/>
          <w:sz w:val="24"/>
          <w:szCs w:val="24"/>
        </w:rPr>
        <w:t xml:space="preserve"> – the </w:t>
      </w:r>
      <w:r>
        <w:rPr>
          <w:rFonts w:ascii="Times New Roman" w:hAnsi="Times New Roman" w:cs="Times New Roman"/>
          <w:sz w:val="24"/>
          <w:szCs w:val="24"/>
        </w:rPr>
        <w:t xml:space="preserve">income threshold </w:t>
      </w:r>
      <w:r w:rsidRPr="00122828">
        <w:rPr>
          <w:rFonts w:ascii="Times New Roman" w:hAnsi="Times New Roman" w:cs="Times New Roman"/>
          <w:sz w:val="24"/>
          <w:szCs w:val="24"/>
        </w:rPr>
        <w:t>should be simple for Inland Revenue to administer and not impose unnecessary complexity and cost.</w:t>
      </w:r>
    </w:p>
    <w:p w:rsidR="00122828" w:rsidRDefault="00122828" w:rsidP="00122828">
      <w:pPr>
        <w:spacing w:after="0" w:line="240" w:lineRule="auto"/>
        <w:ind w:left="720"/>
        <w:jc w:val="both"/>
        <w:rPr>
          <w:rFonts w:ascii="Times New Roman" w:hAnsi="Times New Roman" w:cs="Times New Roman"/>
          <w:i/>
          <w:sz w:val="24"/>
          <w:szCs w:val="24"/>
        </w:rPr>
      </w:pPr>
    </w:p>
    <w:p w:rsidR="00122828" w:rsidRPr="00122828" w:rsidRDefault="00122828" w:rsidP="00122828">
      <w:pPr>
        <w:spacing w:after="0" w:line="240" w:lineRule="auto"/>
        <w:ind w:left="1440" w:hanging="720"/>
        <w:jc w:val="both"/>
        <w:rPr>
          <w:rFonts w:ascii="Times New Roman" w:hAnsi="Times New Roman" w:cs="Times New Roman"/>
          <w:sz w:val="24"/>
          <w:szCs w:val="24"/>
        </w:rPr>
      </w:pPr>
      <w:r w:rsidRPr="00122828">
        <w:rPr>
          <w:rFonts w:ascii="Times New Roman" w:hAnsi="Times New Roman" w:cs="Times New Roman"/>
          <w:sz w:val="24"/>
          <w:szCs w:val="24"/>
        </w:rPr>
        <w:t>e)</w:t>
      </w:r>
      <w:r>
        <w:rPr>
          <w:rFonts w:ascii="Times New Roman" w:hAnsi="Times New Roman" w:cs="Times New Roman"/>
          <w:i/>
          <w:sz w:val="24"/>
          <w:szCs w:val="24"/>
        </w:rPr>
        <w:tab/>
      </w:r>
      <w:r w:rsidRPr="00122828">
        <w:rPr>
          <w:rFonts w:ascii="Times New Roman" w:hAnsi="Times New Roman" w:cs="Times New Roman"/>
          <w:i/>
          <w:sz w:val="24"/>
          <w:szCs w:val="24"/>
        </w:rPr>
        <w:t>Compliance friendly</w:t>
      </w:r>
      <w:r w:rsidRPr="00122828">
        <w:rPr>
          <w:rFonts w:ascii="Times New Roman" w:hAnsi="Times New Roman" w:cs="Times New Roman"/>
          <w:sz w:val="24"/>
          <w:szCs w:val="24"/>
        </w:rPr>
        <w:t xml:space="preserve"> – the </w:t>
      </w:r>
      <w:r>
        <w:rPr>
          <w:rFonts w:ascii="Times New Roman" w:hAnsi="Times New Roman" w:cs="Times New Roman"/>
          <w:sz w:val="24"/>
          <w:szCs w:val="24"/>
        </w:rPr>
        <w:t xml:space="preserve">income threshold </w:t>
      </w:r>
      <w:r w:rsidRPr="00122828">
        <w:rPr>
          <w:rFonts w:ascii="Times New Roman" w:hAnsi="Times New Roman" w:cs="Times New Roman"/>
          <w:sz w:val="24"/>
          <w:szCs w:val="24"/>
        </w:rPr>
        <w:t xml:space="preserve">should be easy to comply with </w:t>
      </w:r>
      <w:r w:rsidR="00AF5B84">
        <w:rPr>
          <w:rFonts w:ascii="Times New Roman" w:hAnsi="Times New Roman" w:cs="Times New Roman"/>
          <w:sz w:val="24"/>
          <w:szCs w:val="24"/>
        </w:rPr>
        <w:t>by</w:t>
      </w:r>
      <w:r w:rsidRPr="00122828">
        <w:rPr>
          <w:rFonts w:ascii="Times New Roman" w:hAnsi="Times New Roman" w:cs="Times New Roman"/>
          <w:sz w:val="24"/>
          <w:szCs w:val="24"/>
        </w:rPr>
        <w:t xml:space="preserve"> providers and not impose unnecessary complexity and cost.</w:t>
      </w:r>
    </w:p>
    <w:p w:rsidR="00F0181A" w:rsidRDefault="00F0181A" w:rsidP="00EF7E34">
      <w:pPr>
        <w:spacing w:after="0" w:line="240" w:lineRule="auto"/>
        <w:jc w:val="both"/>
        <w:rPr>
          <w:rFonts w:ascii="Times New Roman" w:hAnsi="Times New Roman" w:cs="Times New Roman"/>
          <w:sz w:val="24"/>
          <w:szCs w:val="24"/>
        </w:rPr>
      </w:pPr>
    </w:p>
    <w:p w:rsidR="00F0181A" w:rsidRDefault="00935E80" w:rsidP="00EF7E34">
      <w:pPr>
        <w:spacing w:after="0" w:line="240" w:lineRule="auto"/>
        <w:jc w:val="both"/>
        <w:rPr>
          <w:rFonts w:ascii="Times New Roman" w:hAnsi="Times New Roman" w:cs="Times New Roman"/>
          <w:sz w:val="24"/>
          <w:szCs w:val="24"/>
        </w:rPr>
      </w:pPr>
      <w:r w:rsidRPr="00935E80">
        <w:rPr>
          <w:rFonts w:ascii="Times New Roman" w:hAnsi="Times New Roman" w:cs="Times New Roman"/>
          <w:sz w:val="24"/>
          <w:szCs w:val="24"/>
        </w:rPr>
        <w:fldChar w:fldCharType="begin"/>
      </w:r>
      <w:r w:rsidRPr="00935E80">
        <w:rPr>
          <w:rFonts w:ascii="Times New Roman" w:hAnsi="Times New Roman" w:cs="Times New Roman"/>
          <w:sz w:val="24"/>
          <w:szCs w:val="24"/>
        </w:rPr>
        <w:instrText xml:space="preserve"> AUTONUM  </w:instrText>
      </w:r>
      <w:r w:rsidRPr="00935E80">
        <w:rPr>
          <w:rFonts w:ascii="Times New Roman" w:hAnsi="Times New Roman" w:cs="Times New Roman"/>
          <w:sz w:val="24"/>
          <w:szCs w:val="24"/>
        </w:rPr>
        <w:fldChar w:fldCharType="end"/>
      </w:r>
      <w:r w:rsidRPr="00935E80">
        <w:rPr>
          <w:rFonts w:ascii="Times New Roman" w:hAnsi="Times New Roman" w:cs="Times New Roman"/>
          <w:sz w:val="24"/>
          <w:szCs w:val="24"/>
        </w:rPr>
        <w:tab/>
      </w:r>
      <w:r w:rsidR="00F0181A">
        <w:rPr>
          <w:rFonts w:ascii="Times New Roman" w:hAnsi="Times New Roman" w:cs="Times New Roman"/>
          <w:sz w:val="24"/>
          <w:szCs w:val="24"/>
        </w:rPr>
        <w:t>We note there may need to be trade-off</w:t>
      </w:r>
      <w:r w:rsidR="00CC63CE">
        <w:rPr>
          <w:rFonts w:ascii="Times New Roman" w:hAnsi="Times New Roman" w:cs="Times New Roman"/>
          <w:sz w:val="24"/>
          <w:szCs w:val="24"/>
        </w:rPr>
        <w:t>s</w:t>
      </w:r>
      <w:r>
        <w:rPr>
          <w:rFonts w:ascii="Times New Roman" w:hAnsi="Times New Roman" w:cs="Times New Roman"/>
          <w:sz w:val="24"/>
          <w:szCs w:val="24"/>
        </w:rPr>
        <w:t xml:space="preserve"> </w:t>
      </w:r>
      <w:r w:rsidR="00AF5B84">
        <w:rPr>
          <w:rFonts w:ascii="Times New Roman" w:hAnsi="Times New Roman" w:cs="Times New Roman"/>
          <w:sz w:val="24"/>
          <w:szCs w:val="24"/>
        </w:rPr>
        <w:t xml:space="preserve">across </w:t>
      </w:r>
      <w:r w:rsidR="002319EB">
        <w:rPr>
          <w:rFonts w:ascii="Times New Roman" w:hAnsi="Times New Roman" w:cs="Times New Roman"/>
          <w:sz w:val="24"/>
          <w:szCs w:val="24"/>
        </w:rPr>
        <w:t>the objectives.  For example, linking the income threshold to housing affordability stress (objective c) may increase both administrative and compliance complexity (objectives d and e).</w:t>
      </w:r>
    </w:p>
    <w:p w:rsidR="00935E80" w:rsidRDefault="00935E80" w:rsidP="00EF7E34">
      <w:pPr>
        <w:spacing w:after="0" w:line="240" w:lineRule="auto"/>
        <w:jc w:val="both"/>
        <w:rPr>
          <w:rFonts w:ascii="Times New Roman" w:hAnsi="Times New Roman" w:cs="Times New Roman"/>
          <w:sz w:val="24"/>
          <w:szCs w:val="24"/>
        </w:rPr>
      </w:pPr>
    </w:p>
    <w:p w:rsidR="00935E80" w:rsidRDefault="00935E80" w:rsidP="00EF7E34">
      <w:pPr>
        <w:spacing w:after="0" w:line="240" w:lineRule="auto"/>
        <w:jc w:val="both"/>
        <w:rPr>
          <w:rFonts w:ascii="Times New Roman" w:hAnsi="Times New Roman" w:cs="Times New Roman"/>
          <w:sz w:val="24"/>
          <w:szCs w:val="24"/>
        </w:rPr>
      </w:pPr>
      <w:r w:rsidRPr="00935E80">
        <w:rPr>
          <w:rFonts w:ascii="Times New Roman" w:hAnsi="Times New Roman" w:cs="Times New Roman"/>
          <w:sz w:val="24"/>
          <w:szCs w:val="24"/>
        </w:rPr>
        <w:fldChar w:fldCharType="begin"/>
      </w:r>
      <w:r w:rsidRPr="00935E80">
        <w:rPr>
          <w:rFonts w:ascii="Times New Roman" w:hAnsi="Times New Roman" w:cs="Times New Roman"/>
          <w:sz w:val="24"/>
          <w:szCs w:val="24"/>
        </w:rPr>
        <w:instrText xml:space="preserve"> AUTONUM  </w:instrText>
      </w:r>
      <w:r w:rsidRPr="00935E80">
        <w:rPr>
          <w:rFonts w:ascii="Times New Roman" w:hAnsi="Times New Roman" w:cs="Times New Roman"/>
          <w:sz w:val="24"/>
          <w:szCs w:val="24"/>
        </w:rPr>
        <w:fldChar w:fldCharType="end"/>
      </w:r>
      <w:r w:rsidRPr="00935E80">
        <w:rPr>
          <w:rFonts w:ascii="Times New Roman" w:hAnsi="Times New Roman" w:cs="Times New Roman"/>
          <w:sz w:val="24"/>
          <w:szCs w:val="24"/>
        </w:rPr>
        <w:tab/>
      </w:r>
      <w:r>
        <w:rPr>
          <w:rFonts w:ascii="Times New Roman" w:hAnsi="Times New Roman" w:cs="Times New Roman"/>
          <w:sz w:val="24"/>
          <w:szCs w:val="24"/>
        </w:rPr>
        <w:t xml:space="preserve">A time constraint exists in relation </w:t>
      </w:r>
      <w:r w:rsidR="00BC5CE0">
        <w:rPr>
          <w:rFonts w:ascii="Times New Roman" w:hAnsi="Times New Roman" w:cs="Times New Roman"/>
          <w:sz w:val="24"/>
          <w:szCs w:val="24"/>
        </w:rPr>
        <w:t xml:space="preserve">to </w:t>
      </w:r>
      <w:r>
        <w:rPr>
          <w:rFonts w:ascii="Times New Roman" w:hAnsi="Times New Roman" w:cs="Times New Roman"/>
          <w:sz w:val="24"/>
          <w:szCs w:val="24"/>
        </w:rPr>
        <w:t xml:space="preserve">the legislative vehicle for any of the options requiring legislative amendment.  </w:t>
      </w:r>
      <w:r w:rsidR="00997EDD">
        <w:rPr>
          <w:rFonts w:ascii="Times New Roman" w:hAnsi="Times New Roman" w:cs="Times New Roman"/>
          <w:sz w:val="24"/>
          <w:szCs w:val="24"/>
        </w:rPr>
        <w:t xml:space="preserve">We understand that many providers, whether they are providing homeownership products or not, are currently seeking expensive financial advice on how they should structure their business if they were to lose their charitable status.  </w:t>
      </w:r>
      <w:r>
        <w:rPr>
          <w:rFonts w:ascii="Times New Roman" w:hAnsi="Times New Roman" w:cs="Times New Roman"/>
          <w:sz w:val="24"/>
          <w:szCs w:val="24"/>
        </w:rPr>
        <w:t>It is</w:t>
      </w:r>
      <w:r w:rsidR="00997EDD">
        <w:rPr>
          <w:rFonts w:ascii="Times New Roman" w:hAnsi="Times New Roman" w:cs="Times New Roman"/>
          <w:sz w:val="24"/>
          <w:szCs w:val="24"/>
        </w:rPr>
        <w:t>, therefore,</w:t>
      </w:r>
      <w:r>
        <w:rPr>
          <w:rFonts w:ascii="Times New Roman" w:hAnsi="Times New Roman" w:cs="Times New Roman"/>
          <w:sz w:val="24"/>
          <w:szCs w:val="24"/>
        </w:rPr>
        <w:t xml:space="preserve"> preferable </w:t>
      </w:r>
      <w:r w:rsidR="00AF5B84">
        <w:rPr>
          <w:rFonts w:ascii="Times New Roman" w:hAnsi="Times New Roman" w:cs="Times New Roman"/>
          <w:sz w:val="24"/>
          <w:szCs w:val="24"/>
        </w:rPr>
        <w:t xml:space="preserve">a </w:t>
      </w:r>
      <w:r>
        <w:rPr>
          <w:rFonts w:ascii="Times New Roman" w:hAnsi="Times New Roman" w:cs="Times New Roman"/>
          <w:sz w:val="24"/>
          <w:szCs w:val="24"/>
        </w:rPr>
        <w:t xml:space="preserve">legislative amendment </w:t>
      </w:r>
      <w:r w:rsidR="00CC63CE">
        <w:rPr>
          <w:rFonts w:ascii="Times New Roman" w:hAnsi="Times New Roman" w:cs="Times New Roman"/>
          <w:sz w:val="24"/>
          <w:szCs w:val="24"/>
        </w:rPr>
        <w:t xml:space="preserve">be implemented as soon as possible </w:t>
      </w:r>
      <w:r>
        <w:rPr>
          <w:rFonts w:ascii="Times New Roman" w:hAnsi="Times New Roman" w:cs="Times New Roman"/>
          <w:sz w:val="24"/>
          <w:szCs w:val="24"/>
        </w:rPr>
        <w:t xml:space="preserve">so that Ministers can implement the CHE tax provisions </w:t>
      </w:r>
      <w:r w:rsidR="00CC63CE">
        <w:rPr>
          <w:rFonts w:ascii="Times New Roman" w:hAnsi="Times New Roman" w:cs="Times New Roman"/>
          <w:sz w:val="24"/>
          <w:szCs w:val="24"/>
        </w:rPr>
        <w:t xml:space="preserve">and </w:t>
      </w:r>
      <w:r>
        <w:rPr>
          <w:rFonts w:ascii="Times New Roman" w:hAnsi="Times New Roman" w:cs="Times New Roman"/>
          <w:sz w:val="24"/>
          <w:szCs w:val="24"/>
        </w:rPr>
        <w:t xml:space="preserve">provide </w:t>
      </w:r>
      <w:r w:rsidR="00997EDD">
        <w:rPr>
          <w:rFonts w:ascii="Times New Roman" w:hAnsi="Times New Roman" w:cs="Times New Roman"/>
          <w:sz w:val="24"/>
          <w:szCs w:val="24"/>
        </w:rPr>
        <w:t xml:space="preserve">much </w:t>
      </w:r>
      <w:r>
        <w:rPr>
          <w:rFonts w:ascii="Times New Roman" w:hAnsi="Times New Roman" w:cs="Times New Roman"/>
          <w:sz w:val="24"/>
          <w:szCs w:val="24"/>
        </w:rPr>
        <w:t xml:space="preserve">needed certainty of tax treatment for affected </w:t>
      </w:r>
      <w:r w:rsidR="0026145E">
        <w:rPr>
          <w:rFonts w:ascii="Times New Roman" w:hAnsi="Times New Roman" w:cs="Times New Roman"/>
          <w:sz w:val="24"/>
          <w:szCs w:val="24"/>
        </w:rPr>
        <w:t>housing providers</w:t>
      </w:r>
      <w:r w:rsidR="00997EDD">
        <w:rPr>
          <w:rFonts w:ascii="Times New Roman" w:hAnsi="Times New Roman" w:cs="Times New Roman"/>
          <w:sz w:val="24"/>
          <w:szCs w:val="24"/>
        </w:rPr>
        <w:t xml:space="preserve"> in a timely manner</w:t>
      </w:r>
      <w:r>
        <w:rPr>
          <w:rFonts w:ascii="Times New Roman" w:hAnsi="Times New Roman" w:cs="Times New Roman"/>
          <w:sz w:val="24"/>
          <w:szCs w:val="24"/>
        </w:rPr>
        <w:t>.</w:t>
      </w:r>
    </w:p>
    <w:p w:rsidR="00F0181A" w:rsidRDefault="00F0181A" w:rsidP="00EF7E34">
      <w:pPr>
        <w:spacing w:after="0" w:line="240" w:lineRule="auto"/>
        <w:jc w:val="both"/>
        <w:rPr>
          <w:rFonts w:ascii="Times New Roman" w:hAnsi="Times New Roman" w:cs="Times New Roman"/>
          <w:sz w:val="24"/>
          <w:szCs w:val="24"/>
        </w:rPr>
      </w:pPr>
    </w:p>
    <w:p w:rsidR="006763C3" w:rsidRPr="00EF7E34" w:rsidRDefault="006763C3" w:rsidP="00EF7E34">
      <w:pPr>
        <w:spacing w:after="0" w:line="240" w:lineRule="auto"/>
        <w:jc w:val="both"/>
        <w:rPr>
          <w:rFonts w:ascii="Times New Roman" w:hAnsi="Times New Roman" w:cs="Times New Roman"/>
          <w:sz w:val="24"/>
          <w:szCs w:val="24"/>
        </w:rPr>
      </w:pPr>
    </w:p>
    <w:p w:rsidR="00EF7E34" w:rsidRPr="000A4C6F" w:rsidRDefault="000A4C6F" w:rsidP="00EF7E34">
      <w:pPr>
        <w:spacing w:after="0" w:line="240" w:lineRule="auto"/>
        <w:jc w:val="both"/>
        <w:rPr>
          <w:rFonts w:ascii="Times New Roman" w:hAnsi="Times New Roman" w:cs="Times New Roman"/>
          <w:b/>
          <w:caps/>
          <w:sz w:val="24"/>
          <w:szCs w:val="24"/>
        </w:rPr>
      </w:pPr>
      <w:r w:rsidRPr="000A4C6F">
        <w:rPr>
          <w:rFonts w:ascii="Times New Roman" w:hAnsi="Times New Roman" w:cs="Times New Roman"/>
          <w:b/>
          <w:caps/>
          <w:sz w:val="24"/>
          <w:szCs w:val="24"/>
        </w:rPr>
        <w:t>Regulatory impact analysis</w:t>
      </w:r>
    </w:p>
    <w:p w:rsidR="00EF7E34" w:rsidRPr="00EF7E34" w:rsidRDefault="00EF7E34" w:rsidP="00EF7E34">
      <w:pPr>
        <w:spacing w:after="0" w:line="240" w:lineRule="auto"/>
        <w:jc w:val="both"/>
        <w:rPr>
          <w:rFonts w:ascii="Times New Roman" w:hAnsi="Times New Roman" w:cs="Times New Roman"/>
          <w:sz w:val="24"/>
          <w:szCs w:val="24"/>
        </w:rPr>
      </w:pPr>
    </w:p>
    <w:p w:rsidR="00EF7E34" w:rsidRPr="00EF7E34" w:rsidRDefault="00EF7E34" w:rsidP="00EF7E34">
      <w:pPr>
        <w:spacing w:after="0" w:line="240" w:lineRule="auto"/>
        <w:jc w:val="both"/>
        <w:rPr>
          <w:rFonts w:ascii="Times New Roman" w:hAnsi="Times New Roman" w:cs="Times New Roman"/>
          <w:sz w:val="24"/>
          <w:szCs w:val="24"/>
        </w:rPr>
      </w:pPr>
      <w:r w:rsidRPr="00EF7E34">
        <w:rPr>
          <w:rFonts w:ascii="Times New Roman" w:hAnsi="Times New Roman" w:cs="Times New Roman"/>
          <w:sz w:val="24"/>
          <w:szCs w:val="24"/>
        </w:rPr>
        <w:fldChar w:fldCharType="begin"/>
      </w:r>
      <w:r w:rsidRPr="00EF7E34">
        <w:rPr>
          <w:rFonts w:ascii="Times New Roman" w:hAnsi="Times New Roman" w:cs="Times New Roman"/>
          <w:sz w:val="24"/>
          <w:szCs w:val="24"/>
        </w:rPr>
        <w:instrText xml:space="preserve"> AUTONUM  </w:instrText>
      </w:r>
      <w:r w:rsidRPr="00EF7E34">
        <w:rPr>
          <w:rFonts w:ascii="Times New Roman" w:hAnsi="Times New Roman" w:cs="Times New Roman"/>
          <w:sz w:val="24"/>
          <w:szCs w:val="24"/>
        </w:rPr>
        <w:fldChar w:fldCharType="end"/>
      </w:r>
      <w:r w:rsidRPr="00EF7E34">
        <w:rPr>
          <w:rFonts w:ascii="Times New Roman" w:hAnsi="Times New Roman" w:cs="Times New Roman"/>
          <w:sz w:val="24"/>
          <w:szCs w:val="24"/>
        </w:rPr>
        <w:tab/>
      </w:r>
      <w:r w:rsidR="000A4C6F">
        <w:rPr>
          <w:rFonts w:ascii="Times New Roman" w:hAnsi="Times New Roman" w:cs="Times New Roman"/>
          <w:sz w:val="24"/>
          <w:szCs w:val="24"/>
        </w:rPr>
        <w:t>Two options and the status quo have been considered for addressing the problem</w:t>
      </w:r>
      <w:r w:rsidR="00D035CC">
        <w:rPr>
          <w:rFonts w:ascii="Times New Roman" w:hAnsi="Times New Roman" w:cs="Times New Roman"/>
          <w:sz w:val="24"/>
          <w:szCs w:val="24"/>
        </w:rPr>
        <w:t xml:space="preserve"> definition</w:t>
      </w:r>
      <w:r w:rsidR="000A4C6F">
        <w:rPr>
          <w:rFonts w:ascii="Times New Roman" w:hAnsi="Times New Roman" w:cs="Times New Roman"/>
          <w:sz w:val="24"/>
          <w:szCs w:val="24"/>
        </w:rPr>
        <w:t xml:space="preserve"> and achieving the </w:t>
      </w:r>
      <w:r w:rsidR="00113796">
        <w:rPr>
          <w:rFonts w:ascii="Times New Roman" w:hAnsi="Times New Roman" w:cs="Times New Roman"/>
          <w:sz w:val="24"/>
          <w:szCs w:val="24"/>
        </w:rPr>
        <w:t xml:space="preserve">stated </w:t>
      </w:r>
      <w:r w:rsidR="000A4C6F">
        <w:rPr>
          <w:rFonts w:ascii="Times New Roman" w:hAnsi="Times New Roman" w:cs="Times New Roman"/>
          <w:sz w:val="24"/>
          <w:szCs w:val="24"/>
        </w:rPr>
        <w:t xml:space="preserve">objectives.  </w:t>
      </w:r>
      <w:r w:rsidRPr="00EF7E34">
        <w:rPr>
          <w:rFonts w:ascii="Times New Roman" w:hAnsi="Times New Roman" w:cs="Times New Roman"/>
          <w:sz w:val="24"/>
          <w:szCs w:val="24"/>
        </w:rPr>
        <w:t>The options are:</w:t>
      </w:r>
    </w:p>
    <w:p w:rsidR="00EF7E34" w:rsidRPr="00EF7E34" w:rsidRDefault="00EF7E34" w:rsidP="00EF7E34">
      <w:pPr>
        <w:spacing w:after="0" w:line="240" w:lineRule="auto"/>
        <w:jc w:val="both"/>
        <w:rPr>
          <w:rFonts w:ascii="Times New Roman" w:hAnsi="Times New Roman" w:cs="Times New Roman"/>
          <w:sz w:val="24"/>
          <w:szCs w:val="24"/>
        </w:rPr>
      </w:pPr>
    </w:p>
    <w:p w:rsidR="00EF7E34" w:rsidRPr="00EF7E34" w:rsidRDefault="000A4C6F" w:rsidP="00637F78">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Option 1:  </w:t>
      </w:r>
      <w:r w:rsidR="00EF7E34" w:rsidRPr="00EF7E34">
        <w:rPr>
          <w:rFonts w:ascii="Times New Roman" w:hAnsi="Times New Roman" w:cs="Times New Roman"/>
          <w:sz w:val="24"/>
          <w:szCs w:val="24"/>
        </w:rPr>
        <w:t>Accommodation Supplement (AS)</w:t>
      </w:r>
      <w:r w:rsidR="00314CFD">
        <w:rPr>
          <w:rFonts w:ascii="Times New Roman" w:hAnsi="Times New Roman" w:cs="Times New Roman"/>
          <w:sz w:val="24"/>
          <w:szCs w:val="24"/>
        </w:rPr>
        <w:t xml:space="preserve"> –</w:t>
      </w:r>
      <w:r w:rsidR="00EF7E34" w:rsidRPr="00EF7E34">
        <w:rPr>
          <w:rFonts w:ascii="Times New Roman" w:hAnsi="Times New Roman" w:cs="Times New Roman"/>
          <w:sz w:val="24"/>
          <w:szCs w:val="24"/>
        </w:rPr>
        <w:t xml:space="preserve"> </w:t>
      </w:r>
      <w:r w:rsidR="00314CFD">
        <w:rPr>
          <w:rFonts w:ascii="Times New Roman" w:hAnsi="Times New Roman" w:cs="Times New Roman"/>
          <w:sz w:val="24"/>
          <w:szCs w:val="24"/>
        </w:rPr>
        <w:t xml:space="preserve">set income threshold by reference to the AS income levels.  </w:t>
      </w:r>
    </w:p>
    <w:p w:rsidR="000A4C6F" w:rsidRDefault="000A4C6F" w:rsidP="000A4C6F">
      <w:pPr>
        <w:spacing w:after="0" w:line="240" w:lineRule="auto"/>
        <w:ind w:left="1080"/>
        <w:jc w:val="both"/>
        <w:rPr>
          <w:rFonts w:ascii="Times New Roman" w:hAnsi="Times New Roman" w:cs="Times New Roman"/>
          <w:sz w:val="24"/>
          <w:szCs w:val="24"/>
        </w:rPr>
      </w:pPr>
    </w:p>
    <w:p w:rsidR="00EF7E34" w:rsidRPr="00EF7E34" w:rsidRDefault="000A4C6F" w:rsidP="00637F78">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Option 2:  </w:t>
      </w:r>
      <w:r w:rsidR="00EF7E34" w:rsidRPr="00EF7E34">
        <w:rPr>
          <w:rFonts w:ascii="Times New Roman" w:hAnsi="Times New Roman" w:cs="Times New Roman"/>
          <w:sz w:val="24"/>
          <w:szCs w:val="24"/>
        </w:rPr>
        <w:t xml:space="preserve">KiwiSaver HomeStart </w:t>
      </w:r>
      <w:r w:rsidR="00314CFD">
        <w:rPr>
          <w:rFonts w:ascii="Times New Roman" w:hAnsi="Times New Roman" w:cs="Times New Roman"/>
          <w:sz w:val="24"/>
          <w:szCs w:val="24"/>
        </w:rPr>
        <w:t>–</w:t>
      </w:r>
      <w:r w:rsidR="00EF7E34" w:rsidRPr="00EF7E34">
        <w:rPr>
          <w:rFonts w:ascii="Times New Roman" w:hAnsi="Times New Roman" w:cs="Times New Roman"/>
          <w:sz w:val="24"/>
          <w:szCs w:val="24"/>
        </w:rPr>
        <w:t xml:space="preserve"> </w:t>
      </w:r>
      <w:r w:rsidR="00314CFD">
        <w:rPr>
          <w:rFonts w:ascii="Times New Roman" w:hAnsi="Times New Roman" w:cs="Times New Roman"/>
          <w:sz w:val="24"/>
          <w:szCs w:val="24"/>
        </w:rPr>
        <w:t>set income threshold by reference to the KiwiSaver HomeStart income levels</w:t>
      </w:r>
      <w:r w:rsidR="00EF7E34" w:rsidRPr="00EF7E34">
        <w:rPr>
          <w:rFonts w:ascii="Times New Roman" w:hAnsi="Times New Roman" w:cs="Times New Roman"/>
          <w:sz w:val="24"/>
          <w:szCs w:val="24"/>
        </w:rPr>
        <w:t>.</w:t>
      </w:r>
    </w:p>
    <w:p w:rsidR="00EF7E34" w:rsidRPr="00EF7E34" w:rsidRDefault="00EF7E34" w:rsidP="00EF7E34">
      <w:pPr>
        <w:spacing w:after="0" w:line="240" w:lineRule="auto"/>
        <w:jc w:val="both"/>
        <w:rPr>
          <w:rFonts w:ascii="Times New Roman" w:hAnsi="Times New Roman" w:cs="Times New Roman"/>
          <w:sz w:val="24"/>
          <w:szCs w:val="24"/>
        </w:rPr>
      </w:pPr>
    </w:p>
    <w:p w:rsidR="00637F78" w:rsidRDefault="00EF7E34" w:rsidP="00EF7E34">
      <w:pPr>
        <w:spacing w:after="0" w:line="240" w:lineRule="auto"/>
        <w:jc w:val="both"/>
        <w:rPr>
          <w:rFonts w:ascii="Times New Roman" w:hAnsi="Times New Roman" w:cs="Times New Roman"/>
          <w:sz w:val="24"/>
          <w:szCs w:val="24"/>
        </w:rPr>
      </w:pPr>
      <w:r w:rsidRPr="00EF7E34">
        <w:rPr>
          <w:rFonts w:ascii="Times New Roman" w:hAnsi="Times New Roman" w:cs="Times New Roman"/>
          <w:sz w:val="24"/>
          <w:szCs w:val="24"/>
        </w:rPr>
        <w:fldChar w:fldCharType="begin"/>
      </w:r>
      <w:r w:rsidRPr="00EF7E34">
        <w:rPr>
          <w:rFonts w:ascii="Times New Roman" w:hAnsi="Times New Roman" w:cs="Times New Roman"/>
          <w:sz w:val="24"/>
          <w:szCs w:val="24"/>
        </w:rPr>
        <w:instrText xml:space="preserve"> AUTONUM  </w:instrText>
      </w:r>
      <w:r w:rsidRPr="00EF7E34">
        <w:rPr>
          <w:rFonts w:ascii="Times New Roman" w:hAnsi="Times New Roman" w:cs="Times New Roman"/>
          <w:sz w:val="24"/>
          <w:szCs w:val="24"/>
        </w:rPr>
        <w:fldChar w:fldCharType="end"/>
      </w:r>
      <w:r w:rsidRPr="00EF7E34">
        <w:rPr>
          <w:rFonts w:ascii="Times New Roman" w:hAnsi="Times New Roman" w:cs="Times New Roman"/>
          <w:sz w:val="24"/>
          <w:szCs w:val="24"/>
        </w:rPr>
        <w:tab/>
      </w:r>
      <w:r w:rsidR="000A4C6F">
        <w:rPr>
          <w:rFonts w:ascii="Times New Roman" w:hAnsi="Times New Roman" w:cs="Times New Roman"/>
          <w:sz w:val="24"/>
          <w:szCs w:val="24"/>
        </w:rPr>
        <w:t>A detailed description of each option and their advantages and disadvantages are set out below.</w:t>
      </w:r>
      <w:r w:rsidR="00D035CC">
        <w:rPr>
          <w:rStyle w:val="FootnoteReference"/>
          <w:rFonts w:ascii="Times New Roman" w:hAnsi="Times New Roman" w:cs="Times New Roman"/>
          <w:sz w:val="24"/>
          <w:szCs w:val="24"/>
        </w:rPr>
        <w:footnoteReference w:id="2"/>
      </w:r>
    </w:p>
    <w:p w:rsidR="00EF7E34" w:rsidRPr="000A4C6F" w:rsidRDefault="00EF7E34" w:rsidP="00EF7E34">
      <w:pPr>
        <w:spacing w:after="0" w:line="240" w:lineRule="auto"/>
        <w:jc w:val="both"/>
        <w:rPr>
          <w:rFonts w:ascii="Times New Roman" w:hAnsi="Times New Roman" w:cs="Times New Roman"/>
          <w:b/>
          <w:sz w:val="24"/>
          <w:szCs w:val="24"/>
        </w:rPr>
      </w:pPr>
      <w:r w:rsidRPr="000A4C6F">
        <w:rPr>
          <w:rFonts w:ascii="Times New Roman" w:hAnsi="Times New Roman" w:cs="Times New Roman"/>
          <w:b/>
          <w:sz w:val="24"/>
          <w:szCs w:val="24"/>
        </w:rPr>
        <w:t xml:space="preserve">Option </w:t>
      </w:r>
      <w:r w:rsidR="000A4C6F" w:rsidRPr="000A4C6F">
        <w:rPr>
          <w:rFonts w:ascii="Times New Roman" w:hAnsi="Times New Roman" w:cs="Times New Roman"/>
          <w:b/>
          <w:sz w:val="24"/>
          <w:szCs w:val="24"/>
        </w:rPr>
        <w:t>1</w:t>
      </w:r>
      <w:r w:rsidRPr="000A4C6F">
        <w:rPr>
          <w:rFonts w:ascii="Times New Roman" w:hAnsi="Times New Roman" w:cs="Times New Roman"/>
          <w:b/>
          <w:sz w:val="24"/>
          <w:szCs w:val="24"/>
        </w:rPr>
        <w:t xml:space="preserve"> – Accommodation Supplement </w:t>
      </w:r>
    </w:p>
    <w:p w:rsidR="00EF7E34" w:rsidRPr="00EF7E34" w:rsidRDefault="00EF7E34" w:rsidP="00EF7E34">
      <w:pPr>
        <w:spacing w:after="0" w:line="240" w:lineRule="auto"/>
        <w:jc w:val="both"/>
        <w:rPr>
          <w:rFonts w:ascii="Times New Roman" w:hAnsi="Times New Roman" w:cs="Times New Roman"/>
          <w:sz w:val="24"/>
          <w:szCs w:val="24"/>
        </w:rPr>
      </w:pPr>
    </w:p>
    <w:p w:rsidR="00EF7E34" w:rsidRPr="00EF7E34" w:rsidRDefault="00EF7E34" w:rsidP="00EF7E34">
      <w:pPr>
        <w:spacing w:after="0" w:line="240" w:lineRule="auto"/>
        <w:jc w:val="both"/>
        <w:rPr>
          <w:rFonts w:ascii="Times New Roman" w:hAnsi="Times New Roman" w:cs="Times New Roman"/>
          <w:sz w:val="24"/>
          <w:szCs w:val="24"/>
        </w:rPr>
      </w:pPr>
      <w:r w:rsidRPr="00EF7E34">
        <w:rPr>
          <w:rFonts w:ascii="Times New Roman" w:hAnsi="Times New Roman" w:cs="Times New Roman"/>
          <w:sz w:val="24"/>
          <w:szCs w:val="24"/>
        </w:rPr>
        <w:fldChar w:fldCharType="begin"/>
      </w:r>
      <w:r w:rsidRPr="00EF7E34">
        <w:rPr>
          <w:rFonts w:ascii="Times New Roman" w:hAnsi="Times New Roman" w:cs="Times New Roman"/>
          <w:sz w:val="24"/>
          <w:szCs w:val="24"/>
        </w:rPr>
        <w:instrText xml:space="preserve"> AUTONUM  </w:instrText>
      </w:r>
      <w:r w:rsidRPr="00EF7E34">
        <w:rPr>
          <w:rFonts w:ascii="Times New Roman" w:hAnsi="Times New Roman" w:cs="Times New Roman"/>
          <w:sz w:val="24"/>
          <w:szCs w:val="24"/>
        </w:rPr>
        <w:fldChar w:fldCharType="end"/>
      </w:r>
      <w:r w:rsidRPr="00EF7E34">
        <w:rPr>
          <w:rFonts w:ascii="Times New Roman" w:hAnsi="Times New Roman" w:cs="Times New Roman"/>
          <w:sz w:val="24"/>
          <w:szCs w:val="24"/>
        </w:rPr>
        <w:tab/>
        <w:t>Using the AS criteria would set different income thresholds based on household composition and g</w:t>
      </w:r>
      <w:r w:rsidR="000A4C6F">
        <w:rPr>
          <w:rFonts w:ascii="Times New Roman" w:hAnsi="Times New Roman" w:cs="Times New Roman"/>
          <w:sz w:val="24"/>
          <w:szCs w:val="24"/>
        </w:rPr>
        <w:t>eographic region (see Appendix 1</w:t>
      </w:r>
      <w:r w:rsidRPr="00EF7E34">
        <w:rPr>
          <w:rFonts w:ascii="Times New Roman" w:hAnsi="Times New Roman" w:cs="Times New Roman"/>
          <w:sz w:val="24"/>
          <w:szCs w:val="24"/>
        </w:rPr>
        <w:t xml:space="preserve"> for further details).  Under this approach, a couple with children living in Auckland would be able to earn more than a couple without children living in Gore.  This is because the AS income thresholds reflect housing affordability issues in particular regions.</w:t>
      </w:r>
    </w:p>
    <w:p w:rsidR="00EF7E34" w:rsidRPr="00EF7E34" w:rsidRDefault="00EF7E34" w:rsidP="00EF7E34">
      <w:pPr>
        <w:spacing w:after="0" w:line="240" w:lineRule="auto"/>
        <w:jc w:val="both"/>
        <w:rPr>
          <w:rFonts w:ascii="Times New Roman" w:hAnsi="Times New Roman" w:cs="Times New Roman"/>
          <w:sz w:val="24"/>
          <w:szCs w:val="24"/>
        </w:rPr>
      </w:pPr>
    </w:p>
    <w:p w:rsidR="00EF7E34" w:rsidRPr="00EF7E34" w:rsidRDefault="00EF7E34" w:rsidP="00EF7E34">
      <w:pPr>
        <w:spacing w:after="0" w:line="240" w:lineRule="auto"/>
        <w:jc w:val="both"/>
        <w:rPr>
          <w:rFonts w:ascii="Times New Roman" w:hAnsi="Times New Roman" w:cs="Times New Roman"/>
          <w:sz w:val="24"/>
          <w:szCs w:val="24"/>
        </w:rPr>
      </w:pPr>
      <w:r w:rsidRPr="00EF7E34">
        <w:rPr>
          <w:rFonts w:ascii="Times New Roman" w:hAnsi="Times New Roman" w:cs="Times New Roman"/>
          <w:sz w:val="24"/>
          <w:szCs w:val="24"/>
        </w:rPr>
        <w:fldChar w:fldCharType="begin"/>
      </w:r>
      <w:r w:rsidRPr="00EF7E34">
        <w:rPr>
          <w:rFonts w:ascii="Times New Roman" w:hAnsi="Times New Roman" w:cs="Times New Roman"/>
          <w:sz w:val="24"/>
          <w:szCs w:val="24"/>
        </w:rPr>
        <w:instrText xml:space="preserve"> AUTONUM  </w:instrText>
      </w:r>
      <w:r w:rsidRPr="00EF7E34">
        <w:rPr>
          <w:rFonts w:ascii="Times New Roman" w:hAnsi="Times New Roman" w:cs="Times New Roman"/>
          <w:sz w:val="24"/>
          <w:szCs w:val="24"/>
        </w:rPr>
        <w:fldChar w:fldCharType="end"/>
      </w:r>
      <w:r w:rsidRPr="00EF7E34">
        <w:rPr>
          <w:rFonts w:ascii="Times New Roman" w:hAnsi="Times New Roman" w:cs="Times New Roman"/>
          <w:sz w:val="24"/>
          <w:szCs w:val="24"/>
        </w:rPr>
        <w:tab/>
        <w:t>The main advantages of this approach are it:</w:t>
      </w:r>
    </w:p>
    <w:p w:rsidR="00EF7E34" w:rsidRPr="00EF7E34" w:rsidRDefault="00EF7E34" w:rsidP="00EF7E34">
      <w:pPr>
        <w:spacing w:after="0" w:line="240" w:lineRule="auto"/>
        <w:jc w:val="both"/>
        <w:rPr>
          <w:rFonts w:ascii="Times New Roman" w:hAnsi="Times New Roman" w:cs="Times New Roman"/>
          <w:sz w:val="24"/>
          <w:szCs w:val="24"/>
        </w:rPr>
      </w:pPr>
    </w:p>
    <w:p w:rsidR="00EF7E34" w:rsidRDefault="000E75F9" w:rsidP="00637F78">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extends the potential coverage of the CHE tax provisions,</w:t>
      </w:r>
      <w:r w:rsidR="00EF7E34" w:rsidRPr="00EF7E34">
        <w:rPr>
          <w:rFonts w:ascii="Times New Roman" w:hAnsi="Times New Roman" w:cs="Times New Roman"/>
          <w:sz w:val="24"/>
          <w:szCs w:val="24"/>
        </w:rPr>
        <w:t xml:space="preserve"> as th</w:t>
      </w:r>
      <w:r w:rsidR="000A4C6F">
        <w:rPr>
          <w:rFonts w:ascii="Times New Roman" w:hAnsi="Times New Roman" w:cs="Times New Roman"/>
          <w:sz w:val="24"/>
          <w:szCs w:val="24"/>
        </w:rPr>
        <w:t>e income thresholds are higher;</w:t>
      </w:r>
    </w:p>
    <w:p w:rsidR="000E75F9" w:rsidRDefault="000E75F9" w:rsidP="000E75F9">
      <w:pPr>
        <w:spacing w:after="0" w:line="240" w:lineRule="auto"/>
        <w:ind w:left="1080"/>
        <w:jc w:val="both"/>
        <w:rPr>
          <w:rFonts w:ascii="Times New Roman" w:hAnsi="Times New Roman" w:cs="Times New Roman"/>
          <w:sz w:val="24"/>
          <w:szCs w:val="24"/>
        </w:rPr>
      </w:pPr>
    </w:p>
    <w:p w:rsidR="000E75F9" w:rsidRDefault="000E75F9" w:rsidP="000E75F9">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protects the integrity of the tax system to some extent, as these income thresholds ensure those earning above the specified income thresh</w:t>
      </w:r>
      <w:r w:rsidR="00C35857">
        <w:rPr>
          <w:rFonts w:ascii="Times New Roman" w:hAnsi="Times New Roman" w:cs="Times New Roman"/>
          <w:sz w:val="24"/>
          <w:szCs w:val="24"/>
        </w:rPr>
        <w:t>olds cannot receive assistance;</w:t>
      </w:r>
    </w:p>
    <w:p w:rsidR="000E75F9" w:rsidRDefault="000E75F9" w:rsidP="000E75F9">
      <w:pPr>
        <w:spacing w:after="0" w:line="240" w:lineRule="auto"/>
        <w:jc w:val="both"/>
        <w:rPr>
          <w:rFonts w:ascii="Times New Roman" w:hAnsi="Times New Roman" w:cs="Times New Roman"/>
          <w:sz w:val="24"/>
          <w:szCs w:val="24"/>
        </w:rPr>
      </w:pPr>
    </w:p>
    <w:p w:rsidR="000E75F9" w:rsidRDefault="000E75F9" w:rsidP="00637F78">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provides consistency across Government programmes aimed at homeownership assistance</w:t>
      </w:r>
      <w:r w:rsidR="00C35857">
        <w:rPr>
          <w:rFonts w:ascii="Times New Roman" w:hAnsi="Times New Roman" w:cs="Times New Roman"/>
          <w:sz w:val="24"/>
          <w:szCs w:val="24"/>
        </w:rPr>
        <w:t>;</w:t>
      </w:r>
      <w:r w:rsidR="00BC5CE0">
        <w:rPr>
          <w:rFonts w:ascii="Times New Roman" w:hAnsi="Times New Roman" w:cs="Times New Roman"/>
          <w:sz w:val="24"/>
          <w:szCs w:val="24"/>
        </w:rPr>
        <w:t xml:space="preserve"> and</w:t>
      </w:r>
    </w:p>
    <w:p w:rsidR="000A4C6F" w:rsidRPr="00EF7E34" w:rsidRDefault="000A4C6F" w:rsidP="000A4C6F">
      <w:pPr>
        <w:spacing w:after="0" w:line="240" w:lineRule="auto"/>
        <w:ind w:left="1080"/>
        <w:jc w:val="both"/>
        <w:rPr>
          <w:rFonts w:ascii="Times New Roman" w:hAnsi="Times New Roman" w:cs="Times New Roman"/>
          <w:sz w:val="24"/>
          <w:szCs w:val="24"/>
        </w:rPr>
      </w:pPr>
    </w:p>
    <w:p w:rsidR="00EF7E34" w:rsidRPr="00EF7E34" w:rsidRDefault="00EF7E34" w:rsidP="00637F78">
      <w:pPr>
        <w:numPr>
          <w:ilvl w:val="0"/>
          <w:numId w:val="9"/>
        </w:numPr>
        <w:spacing w:after="0" w:line="240" w:lineRule="auto"/>
        <w:jc w:val="both"/>
        <w:rPr>
          <w:rFonts w:ascii="Times New Roman" w:hAnsi="Times New Roman" w:cs="Times New Roman"/>
          <w:sz w:val="24"/>
          <w:szCs w:val="24"/>
        </w:rPr>
      </w:pPr>
      <w:proofErr w:type="gramStart"/>
      <w:r w:rsidRPr="00EF7E34">
        <w:rPr>
          <w:rFonts w:ascii="Times New Roman" w:hAnsi="Times New Roman" w:cs="Times New Roman"/>
          <w:sz w:val="24"/>
          <w:szCs w:val="24"/>
        </w:rPr>
        <w:t>is</w:t>
      </w:r>
      <w:proofErr w:type="gramEnd"/>
      <w:r w:rsidRPr="00EF7E34">
        <w:rPr>
          <w:rFonts w:ascii="Times New Roman" w:hAnsi="Times New Roman" w:cs="Times New Roman"/>
          <w:sz w:val="24"/>
          <w:szCs w:val="24"/>
        </w:rPr>
        <w:t xml:space="preserve"> equitable, as it ensures that assistance is targeted to providers working in areas with h</w:t>
      </w:r>
      <w:r w:rsidR="000E75F9">
        <w:rPr>
          <w:rFonts w:ascii="Times New Roman" w:hAnsi="Times New Roman" w:cs="Times New Roman"/>
          <w:sz w:val="24"/>
          <w:szCs w:val="24"/>
        </w:rPr>
        <w:t>ousing affordability issue</w:t>
      </w:r>
      <w:r w:rsidR="00C35857">
        <w:rPr>
          <w:rFonts w:ascii="Times New Roman" w:hAnsi="Times New Roman" w:cs="Times New Roman"/>
          <w:sz w:val="24"/>
          <w:szCs w:val="24"/>
        </w:rPr>
        <w:t>s.</w:t>
      </w:r>
    </w:p>
    <w:p w:rsidR="000A4C6F" w:rsidRPr="00EF7E34" w:rsidRDefault="000A4C6F" w:rsidP="000A4C6F">
      <w:pPr>
        <w:spacing w:after="0" w:line="240" w:lineRule="auto"/>
        <w:jc w:val="both"/>
        <w:rPr>
          <w:rFonts w:ascii="Times New Roman" w:hAnsi="Times New Roman" w:cs="Times New Roman"/>
          <w:sz w:val="24"/>
          <w:szCs w:val="24"/>
        </w:rPr>
      </w:pPr>
    </w:p>
    <w:p w:rsidR="00EF7E34" w:rsidRPr="00EF7E34" w:rsidRDefault="00EF7E34" w:rsidP="00EF7E34">
      <w:pPr>
        <w:spacing w:after="0" w:line="240" w:lineRule="auto"/>
        <w:jc w:val="both"/>
        <w:rPr>
          <w:rFonts w:ascii="Times New Roman" w:hAnsi="Times New Roman" w:cs="Times New Roman"/>
          <w:sz w:val="24"/>
          <w:szCs w:val="24"/>
        </w:rPr>
      </w:pPr>
      <w:r w:rsidRPr="00EF7E34">
        <w:rPr>
          <w:rFonts w:ascii="Times New Roman" w:hAnsi="Times New Roman" w:cs="Times New Roman"/>
          <w:sz w:val="24"/>
          <w:szCs w:val="24"/>
        </w:rPr>
        <w:fldChar w:fldCharType="begin"/>
      </w:r>
      <w:r w:rsidRPr="00EF7E34">
        <w:rPr>
          <w:rFonts w:ascii="Times New Roman" w:hAnsi="Times New Roman" w:cs="Times New Roman"/>
          <w:sz w:val="24"/>
          <w:szCs w:val="24"/>
        </w:rPr>
        <w:instrText xml:space="preserve"> AUTONUM  </w:instrText>
      </w:r>
      <w:r w:rsidRPr="00EF7E34">
        <w:rPr>
          <w:rFonts w:ascii="Times New Roman" w:hAnsi="Times New Roman" w:cs="Times New Roman"/>
          <w:sz w:val="24"/>
          <w:szCs w:val="24"/>
        </w:rPr>
        <w:fldChar w:fldCharType="end"/>
      </w:r>
      <w:r w:rsidRPr="00EF7E34">
        <w:rPr>
          <w:rFonts w:ascii="Times New Roman" w:hAnsi="Times New Roman" w:cs="Times New Roman"/>
          <w:sz w:val="24"/>
          <w:szCs w:val="24"/>
        </w:rPr>
        <w:tab/>
        <w:t>The main disadvantages of this approach are:</w:t>
      </w:r>
    </w:p>
    <w:p w:rsidR="00EF7E34" w:rsidRPr="00EF7E34" w:rsidRDefault="00EF7E34" w:rsidP="00EF7E34">
      <w:pPr>
        <w:spacing w:after="0" w:line="240" w:lineRule="auto"/>
        <w:jc w:val="both"/>
        <w:rPr>
          <w:rFonts w:ascii="Times New Roman" w:hAnsi="Times New Roman" w:cs="Times New Roman"/>
          <w:sz w:val="24"/>
          <w:szCs w:val="24"/>
        </w:rPr>
      </w:pPr>
    </w:p>
    <w:p w:rsidR="008672D0" w:rsidRDefault="006E6C70" w:rsidP="00637F78">
      <w:pPr>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 sets income thresholds </w:t>
      </w:r>
      <w:r w:rsidR="008672D0">
        <w:rPr>
          <w:rFonts w:ascii="Times New Roman" w:hAnsi="Times New Roman" w:cs="Times New Roman"/>
          <w:sz w:val="24"/>
          <w:szCs w:val="24"/>
        </w:rPr>
        <w:t>higher than Cabinet originally intended</w:t>
      </w:r>
      <w:r w:rsidR="00314CFD">
        <w:rPr>
          <w:rFonts w:ascii="Times New Roman" w:hAnsi="Times New Roman" w:cs="Times New Roman"/>
          <w:sz w:val="24"/>
          <w:szCs w:val="24"/>
        </w:rPr>
        <w:t xml:space="preserve"> (i.e., lower quartile of household income)</w:t>
      </w:r>
      <w:r w:rsidR="008672D0">
        <w:rPr>
          <w:rFonts w:ascii="Times New Roman" w:hAnsi="Times New Roman" w:cs="Times New Roman"/>
          <w:sz w:val="24"/>
          <w:szCs w:val="24"/>
        </w:rPr>
        <w:t>;</w:t>
      </w:r>
    </w:p>
    <w:p w:rsidR="008672D0" w:rsidRDefault="008672D0" w:rsidP="008672D0">
      <w:pPr>
        <w:spacing w:after="0" w:line="240" w:lineRule="auto"/>
        <w:ind w:left="1080"/>
        <w:jc w:val="both"/>
        <w:rPr>
          <w:rFonts w:ascii="Times New Roman" w:hAnsi="Times New Roman" w:cs="Times New Roman"/>
          <w:sz w:val="24"/>
          <w:szCs w:val="24"/>
        </w:rPr>
      </w:pPr>
    </w:p>
    <w:p w:rsidR="006158C5" w:rsidRDefault="00EF7E34" w:rsidP="00637F78">
      <w:pPr>
        <w:numPr>
          <w:ilvl w:val="0"/>
          <w:numId w:val="10"/>
        </w:numPr>
        <w:spacing w:after="0" w:line="240" w:lineRule="auto"/>
        <w:jc w:val="both"/>
        <w:rPr>
          <w:rFonts w:ascii="Times New Roman" w:hAnsi="Times New Roman" w:cs="Times New Roman"/>
          <w:sz w:val="24"/>
          <w:szCs w:val="24"/>
        </w:rPr>
      </w:pPr>
      <w:r w:rsidRPr="00EF7E34">
        <w:rPr>
          <w:rFonts w:ascii="Times New Roman" w:hAnsi="Times New Roman" w:cs="Times New Roman"/>
          <w:sz w:val="24"/>
          <w:szCs w:val="24"/>
        </w:rPr>
        <w:t xml:space="preserve">the sector advises </w:t>
      </w:r>
      <w:r w:rsidR="00CC63CE">
        <w:rPr>
          <w:rFonts w:ascii="Times New Roman" w:hAnsi="Times New Roman" w:cs="Times New Roman"/>
          <w:sz w:val="24"/>
          <w:szCs w:val="24"/>
        </w:rPr>
        <w:t xml:space="preserve">that </w:t>
      </w:r>
      <w:r w:rsidRPr="00EF7E34">
        <w:rPr>
          <w:rFonts w:ascii="Times New Roman" w:hAnsi="Times New Roman" w:cs="Times New Roman"/>
          <w:sz w:val="24"/>
          <w:szCs w:val="24"/>
        </w:rPr>
        <w:t xml:space="preserve">most affected providers will not qualify </w:t>
      </w:r>
      <w:r w:rsidR="00881BDA">
        <w:rPr>
          <w:rFonts w:ascii="Times New Roman" w:hAnsi="Times New Roman" w:cs="Times New Roman"/>
          <w:sz w:val="24"/>
          <w:szCs w:val="24"/>
        </w:rPr>
        <w:t xml:space="preserve">under this option </w:t>
      </w:r>
      <w:r w:rsidRPr="00EF7E34">
        <w:rPr>
          <w:rFonts w:ascii="Times New Roman" w:hAnsi="Times New Roman" w:cs="Times New Roman"/>
          <w:sz w:val="24"/>
          <w:szCs w:val="24"/>
        </w:rPr>
        <w:t>as many of their clients earn above these levels (depending on geographic area</w:t>
      </w:r>
      <w:r w:rsidR="006158C5">
        <w:rPr>
          <w:rFonts w:ascii="Times New Roman" w:hAnsi="Times New Roman" w:cs="Times New Roman"/>
          <w:sz w:val="24"/>
          <w:szCs w:val="24"/>
        </w:rPr>
        <w:t>) and this may in turn:</w:t>
      </w:r>
    </w:p>
    <w:p w:rsidR="006158C5" w:rsidRDefault="006158C5" w:rsidP="006158C5">
      <w:pPr>
        <w:spacing w:after="0" w:line="240" w:lineRule="auto"/>
        <w:ind w:left="1800"/>
        <w:jc w:val="both"/>
        <w:rPr>
          <w:rFonts w:ascii="Times New Roman" w:hAnsi="Times New Roman" w:cs="Times New Roman"/>
          <w:sz w:val="24"/>
          <w:szCs w:val="24"/>
        </w:rPr>
      </w:pPr>
    </w:p>
    <w:p w:rsidR="006158C5" w:rsidRPr="006158C5" w:rsidRDefault="006158C5" w:rsidP="00C73D6F">
      <w:pPr>
        <w:numPr>
          <w:ilvl w:val="0"/>
          <w:numId w:val="17"/>
        </w:numPr>
        <w:spacing w:after="0" w:line="240" w:lineRule="auto"/>
        <w:ind w:left="1440"/>
        <w:jc w:val="both"/>
        <w:rPr>
          <w:rFonts w:ascii="Times New Roman" w:hAnsi="Times New Roman" w:cs="Times New Roman"/>
          <w:sz w:val="24"/>
          <w:szCs w:val="24"/>
        </w:rPr>
      </w:pPr>
      <w:r w:rsidRPr="006158C5">
        <w:rPr>
          <w:rFonts w:ascii="Times New Roman" w:hAnsi="Times New Roman" w:cs="Times New Roman"/>
          <w:sz w:val="24"/>
          <w:szCs w:val="24"/>
        </w:rPr>
        <w:t>reduce the number of providers available to support the Social Housing Reform Programme;</w:t>
      </w:r>
    </w:p>
    <w:p w:rsidR="006158C5" w:rsidRPr="006158C5" w:rsidRDefault="006158C5" w:rsidP="00C73D6F">
      <w:pPr>
        <w:spacing w:after="0" w:line="240" w:lineRule="auto"/>
        <w:ind w:left="1800"/>
        <w:jc w:val="both"/>
        <w:rPr>
          <w:rFonts w:ascii="Times New Roman" w:hAnsi="Times New Roman" w:cs="Times New Roman"/>
          <w:sz w:val="24"/>
          <w:szCs w:val="24"/>
        </w:rPr>
      </w:pPr>
    </w:p>
    <w:p w:rsidR="006158C5" w:rsidRPr="006158C5" w:rsidRDefault="006158C5" w:rsidP="00C73D6F">
      <w:pPr>
        <w:numPr>
          <w:ilvl w:val="0"/>
          <w:numId w:val="17"/>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displace</w:t>
      </w:r>
      <w:r w:rsidRPr="006158C5">
        <w:rPr>
          <w:rFonts w:ascii="Times New Roman" w:hAnsi="Times New Roman" w:cs="Times New Roman"/>
          <w:sz w:val="24"/>
          <w:szCs w:val="24"/>
        </w:rPr>
        <w:t xml:space="preserve"> tenants if providers have to sell houses t</w:t>
      </w:r>
      <w:r w:rsidR="00B800AC">
        <w:rPr>
          <w:rFonts w:ascii="Times New Roman" w:hAnsi="Times New Roman" w:cs="Times New Roman"/>
          <w:sz w:val="24"/>
          <w:szCs w:val="24"/>
        </w:rPr>
        <w:t>o cover their tax liability;</w:t>
      </w:r>
    </w:p>
    <w:p w:rsidR="006158C5" w:rsidRPr="006158C5" w:rsidRDefault="006158C5" w:rsidP="00C73D6F">
      <w:pPr>
        <w:spacing w:after="0" w:line="240" w:lineRule="auto"/>
        <w:ind w:left="1800"/>
        <w:jc w:val="both"/>
        <w:rPr>
          <w:rFonts w:ascii="Times New Roman" w:hAnsi="Times New Roman" w:cs="Times New Roman"/>
          <w:sz w:val="24"/>
          <w:szCs w:val="24"/>
        </w:rPr>
      </w:pPr>
    </w:p>
    <w:p w:rsidR="00EF7E34" w:rsidRDefault="006158C5" w:rsidP="00C73D6F">
      <w:pPr>
        <w:numPr>
          <w:ilvl w:val="0"/>
          <w:numId w:val="17"/>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force </w:t>
      </w:r>
      <w:r w:rsidRPr="006158C5">
        <w:rPr>
          <w:rFonts w:ascii="Times New Roman" w:hAnsi="Times New Roman" w:cs="Times New Roman"/>
          <w:sz w:val="24"/>
          <w:szCs w:val="24"/>
        </w:rPr>
        <w:t>providers to repay capital grants and loans if hou</w:t>
      </w:r>
      <w:r w:rsidR="00C35857">
        <w:rPr>
          <w:rFonts w:ascii="Times New Roman" w:hAnsi="Times New Roman" w:cs="Times New Roman"/>
          <w:sz w:val="24"/>
          <w:szCs w:val="24"/>
        </w:rPr>
        <w:t xml:space="preserve">ses are sold to cover tax debt - </w:t>
      </w:r>
      <w:r w:rsidRPr="006158C5">
        <w:rPr>
          <w:rFonts w:ascii="Times New Roman" w:hAnsi="Times New Roman" w:cs="Times New Roman"/>
          <w:sz w:val="24"/>
          <w:szCs w:val="24"/>
        </w:rPr>
        <w:t>Social Housing Fund and HNZ’s Housing Innovation Fu</w:t>
      </w:r>
      <w:r>
        <w:rPr>
          <w:rFonts w:ascii="Times New Roman" w:hAnsi="Times New Roman" w:cs="Times New Roman"/>
          <w:sz w:val="24"/>
          <w:szCs w:val="24"/>
        </w:rPr>
        <w:t>nd grants and suspensory loans</w:t>
      </w:r>
      <w:r w:rsidR="00EF7E34" w:rsidRPr="00EF7E34">
        <w:rPr>
          <w:rFonts w:ascii="Times New Roman" w:hAnsi="Times New Roman" w:cs="Times New Roman"/>
          <w:sz w:val="24"/>
          <w:szCs w:val="24"/>
        </w:rPr>
        <w:t>;</w:t>
      </w:r>
    </w:p>
    <w:p w:rsidR="000A4C6F" w:rsidRPr="00EF7E34" w:rsidRDefault="000A4C6F" w:rsidP="000A4C6F">
      <w:pPr>
        <w:spacing w:after="0" w:line="240" w:lineRule="auto"/>
        <w:ind w:left="1080"/>
        <w:jc w:val="both"/>
        <w:rPr>
          <w:rFonts w:ascii="Times New Roman" w:hAnsi="Times New Roman" w:cs="Times New Roman"/>
          <w:sz w:val="24"/>
          <w:szCs w:val="24"/>
        </w:rPr>
      </w:pPr>
    </w:p>
    <w:p w:rsidR="00EF7E34" w:rsidRPr="00EF7E34" w:rsidRDefault="00881BDA" w:rsidP="00637F78">
      <w:pPr>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637F78">
        <w:rPr>
          <w:rFonts w:ascii="Times New Roman" w:hAnsi="Times New Roman" w:cs="Times New Roman"/>
          <w:sz w:val="24"/>
          <w:szCs w:val="24"/>
        </w:rPr>
        <w:t>lthough</w:t>
      </w:r>
      <w:r w:rsidR="00EF7E34" w:rsidRPr="00EF7E34">
        <w:rPr>
          <w:rFonts w:ascii="Times New Roman" w:hAnsi="Times New Roman" w:cs="Times New Roman"/>
          <w:sz w:val="24"/>
          <w:szCs w:val="24"/>
        </w:rPr>
        <w:t xml:space="preserve"> the income thresholds for AS are updated annually, the geographic areas have not been reviewed for some time and do not </w:t>
      </w:r>
      <w:r w:rsidR="00B97CF0">
        <w:rPr>
          <w:rFonts w:ascii="Times New Roman" w:hAnsi="Times New Roman" w:cs="Times New Roman"/>
          <w:sz w:val="24"/>
          <w:szCs w:val="24"/>
        </w:rPr>
        <w:t xml:space="preserve">necessarily </w:t>
      </w:r>
      <w:r w:rsidR="00EF7E34" w:rsidRPr="00EF7E34">
        <w:rPr>
          <w:rFonts w:ascii="Times New Roman" w:hAnsi="Times New Roman" w:cs="Times New Roman"/>
          <w:sz w:val="24"/>
          <w:szCs w:val="24"/>
        </w:rPr>
        <w:t>accurately reflect current housing affordabili</w:t>
      </w:r>
      <w:r w:rsidR="00B800AC">
        <w:rPr>
          <w:rFonts w:ascii="Times New Roman" w:hAnsi="Times New Roman" w:cs="Times New Roman"/>
          <w:sz w:val="24"/>
          <w:szCs w:val="24"/>
        </w:rPr>
        <w:t>ty issues in particular areas</w:t>
      </w:r>
      <w:r>
        <w:rPr>
          <w:rFonts w:ascii="Times New Roman" w:hAnsi="Times New Roman" w:cs="Times New Roman"/>
          <w:sz w:val="24"/>
          <w:szCs w:val="24"/>
        </w:rPr>
        <w:t>;</w:t>
      </w:r>
    </w:p>
    <w:p w:rsidR="000A4C6F" w:rsidRDefault="000A4C6F" w:rsidP="000A4C6F">
      <w:pPr>
        <w:spacing w:after="0" w:line="240" w:lineRule="auto"/>
        <w:ind w:left="1080"/>
        <w:jc w:val="both"/>
        <w:rPr>
          <w:rFonts w:ascii="Times New Roman" w:hAnsi="Times New Roman" w:cs="Times New Roman"/>
          <w:sz w:val="24"/>
          <w:szCs w:val="24"/>
        </w:rPr>
      </w:pPr>
    </w:p>
    <w:p w:rsidR="00EF7E34" w:rsidRPr="00EF7E34" w:rsidRDefault="00C35857" w:rsidP="00637F78">
      <w:pPr>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 is </w:t>
      </w:r>
      <w:r w:rsidR="00EF7E34" w:rsidRPr="00EF7E34">
        <w:rPr>
          <w:rFonts w:ascii="Times New Roman" w:hAnsi="Times New Roman" w:cs="Times New Roman"/>
          <w:sz w:val="24"/>
          <w:szCs w:val="24"/>
        </w:rPr>
        <w:t>potentially difficult to administer and determine e</w:t>
      </w:r>
      <w:r>
        <w:rPr>
          <w:rFonts w:ascii="Times New Roman" w:hAnsi="Times New Roman" w:cs="Times New Roman"/>
          <w:sz w:val="24"/>
          <w:szCs w:val="24"/>
        </w:rPr>
        <w:t>ligibility</w:t>
      </w:r>
      <w:r w:rsidR="00EF7E34" w:rsidRPr="00EF7E34">
        <w:rPr>
          <w:rFonts w:ascii="Times New Roman" w:hAnsi="Times New Roman" w:cs="Times New Roman"/>
          <w:sz w:val="24"/>
          <w:szCs w:val="24"/>
        </w:rPr>
        <w:t xml:space="preserve"> as there are different income levels for different family sizes in different geographical areas;</w:t>
      </w:r>
      <w:r w:rsidR="00BC5CE0">
        <w:rPr>
          <w:rFonts w:ascii="Times New Roman" w:hAnsi="Times New Roman" w:cs="Times New Roman"/>
          <w:sz w:val="24"/>
          <w:szCs w:val="24"/>
        </w:rPr>
        <w:t xml:space="preserve"> and</w:t>
      </w:r>
    </w:p>
    <w:p w:rsidR="000A4C6F" w:rsidRDefault="000A4C6F" w:rsidP="000A4C6F">
      <w:pPr>
        <w:spacing w:after="0" w:line="240" w:lineRule="auto"/>
        <w:ind w:left="1080"/>
        <w:jc w:val="both"/>
        <w:rPr>
          <w:rFonts w:ascii="Times New Roman" w:hAnsi="Times New Roman" w:cs="Times New Roman"/>
          <w:sz w:val="24"/>
          <w:szCs w:val="24"/>
        </w:rPr>
      </w:pPr>
    </w:p>
    <w:p w:rsidR="00EF7E34" w:rsidRPr="00EF7E34" w:rsidRDefault="00EF7E34" w:rsidP="00637F78">
      <w:pPr>
        <w:numPr>
          <w:ilvl w:val="0"/>
          <w:numId w:val="10"/>
        </w:numPr>
        <w:spacing w:after="0" w:line="240" w:lineRule="auto"/>
        <w:jc w:val="both"/>
        <w:rPr>
          <w:rFonts w:ascii="Times New Roman" w:hAnsi="Times New Roman" w:cs="Times New Roman"/>
          <w:sz w:val="24"/>
          <w:szCs w:val="24"/>
        </w:rPr>
      </w:pPr>
      <w:r w:rsidRPr="00EF7E34">
        <w:rPr>
          <w:rFonts w:ascii="Times New Roman" w:hAnsi="Times New Roman" w:cs="Times New Roman"/>
          <w:sz w:val="24"/>
          <w:szCs w:val="24"/>
        </w:rPr>
        <w:t>for large providers that work in different geographical areas</w:t>
      </w:r>
      <w:r w:rsidR="00BC5CE0">
        <w:rPr>
          <w:rFonts w:ascii="Times New Roman" w:hAnsi="Times New Roman" w:cs="Times New Roman"/>
          <w:sz w:val="24"/>
          <w:szCs w:val="24"/>
        </w:rPr>
        <w:t>,</w:t>
      </w:r>
      <w:r w:rsidRPr="00EF7E34">
        <w:rPr>
          <w:rFonts w:ascii="Times New Roman" w:hAnsi="Times New Roman" w:cs="Times New Roman"/>
          <w:sz w:val="24"/>
          <w:szCs w:val="24"/>
        </w:rPr>
        <w:t xml:space="preserve"> </w:t>
      </w:r>
      <w:r w:rsidR="00C35857">
        <w:rPr>
          <w:rFonts w:ascii="Times New Roman" w:hAnsi="Times New Roman" w:cs="Times New Roman"/>
          <w:sz w:val="24"/>
          <w:szCs w:val="24"/>
        </w:rPr>
        <w:t xml:space="preserve">it is resource intensive </w:t>
      </w:r>
      <w:r w:rsidRPr="00EF7E34">
        <w:rPr>
          <w:rFonts w:ascii="Times New Roman" w:hAnsi="Times New Roman" w:cs="Times New Roman"/>
          <w:sz w:val="24"/>
          <w:szCs w:val="24"/>
        </w:rPr>
        <w:t xml:space="preserve">- they will have to determine which of their clients fall within the income threshold for the area they live in and </w:t>
      </w:r>
      <w:r w:rsidR="00E92DEB">
        <w:rPr>
          <w:rFonts w:ascii="Times New Roman" w:hAnsi="Times New Roman" w:cs="Times New Roman"/>
          <w:sz w:val="24"/>
          <w:szCs w:val="24"/>
        </w:rPr>
        <w:t>whether 85 percent</w:t>
      </w:r>
      <w:r w:rsidR="00600802">
        <w:rPr>
          <w:rFonts w:ascii="Times New Roman" w:hAnsi="Times New Roman" w:cs="Times New Roman"/>
          <w:sz w:val="24"/>
          <w:szCs w:val="24"/>
        </w:rPr>
        <w:t xml:space="preserve"> or less of their cl</w:t>
      </w:r>
      <w:r w:rsidR="006158C5">
        <w:rPr>
          <w:rFonts w:ascii="Times New Roman" w:hAnsi="Times New Roman" w:cs="Times New Roman"/>
          <w:sz w:val="24"/>
          <w:szCs w:val="24"/>
        </w:rPr>
        <w:t>ients are eligible recipients</w:t>
      </w:r>
      <w:r w:rsidR="00C73D6F">
        <w:rPr>
          <w:rFonts w:ascii="Times New Roman" w:hAnsi="Times New Roman" w:cs="Times New Roman"/>
          <w:sz w:val="24"/>
          <w:szCs w:val="24"/>
        </w:rPr>
        <w:t>.</w:t>
      </w:r>
    </w:p>
    <w:p w:rsidR="000A4C6F" w:rsidRDefault="000A4C6F" w:rsidP="000A4C6F">
      <w:pPr>
        <w:spacing w:after="0" w:line="240" w:lineRule="auto"/>
        <w:ind w:left="1080"/>
        <w:jc w:val="both"/>
        <w:rPr>
          <w:rFonts w:ascii="Times New Roman" w:hAnsi="Times New Roman" w:cs="Times New Roman"/>
          <w:sz w:val="24"/>
          <w:szCs w:val="24"/>
        </w:rPr>
      </w:pPr>
    </w:p>
    <w:p w:rsidR="006158C5" w:rsidRDefault="006158C5" w:rsidP="000A4C6F">
      <w:pPr>
        <w:spacing w:after="0" w:line="240" w:lineRule="auto"/>
        <w:ind w:left="1080"/>
        <w:jc w:val="both"/>
        <w:rPr>
          <w:rFonts w:ascii="Times New Roman" w:hAnsi="Times New Roman" w:cs="Times New Roman"/>
          <w:sz w:val="24"/>
          <w:szCs w:val="24"/>
        </w:rPr>
      </w:pPr>
    </w:p>
    <w:p w:rsidR="00EF7E34" w:rsidRPr="00637F78" w:rsidRDefault="00637F78" w:rsidP="00EF7E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Option 2</w:t>
      </w:r>
      <w:r w:rsidR="00EF7E34" w:rsidRPr="00637F78">
        <w:rPr>
          <w:rFonts w:ascii="Times New Roman" w:hAnsi="Times New Roman" w:cs="Times New Roman"/>
          <w:b/>
          <w:sz w:val="24"/>
          <w:szCs w:val="24"/>
        </w:rPr>
        <w:t xml:space="preserve"> - KiwiSaver HomeStart</w:t>
      </w:r>
    </w:p>
    <w:p w:rsidR="00EF7E34" w:rsidRPr="00EF7E34" w:rsidRDefault="00EF7E34" w:rsidP="00EF7E34">
      <w:pPr>
        <w:spacing w:after="0" w:line="240" w:lineRule="auto"/>
        <w:jc w:val="both"/>
        <w:rPr>
          <w:rFonts w:ascii="Times New Roman" w:hAnsi="Times New Roman" w:cs="Times New Roman"/>
          <w:sz w:val="24"/>
          <w:szCs w:val="24"/>
        </w:rPr>
      </w:pPr>
    </w:p>
    <w:p w:rsidR="00EF7E34" w:rsidRPr="00EF7E34" w:rsidRDefault="00EF7E34" w:rsidP="00EF7E34">
      <w:pPr>
        <w:spacing w:after="0" w:line="240" w:lineRule="auto"/>
        <w:jc w:val="both"/>
        <w:rPr>
          <w:rFonts w:ascii="Times New Roman" w:hAnsi="Times New Roman" w:cs="Times New Roman"/>
          <w:sz w:val="24"/>
          <w:szCs w:val="24"/>
        </w:rPr>
      </w:pPr>
      <w:r w:rsidRPr="00EF7E34">
        <w:rPr>
          <w:rFonts w:ascii="Times New Roman" w:hAnsi="Times New Roman" w:cs="Times New Roman"/>
          <w:sz w:val="24"/>
          <w:szCs w:val="24"/>
        </w:rPr>
        <w:fldChar w:fldCharType="begin"/>
      </w:r>
      <w:r w:rsidRPr="00EF7E34">
        <w:rPr>
          <w:rFonts w:ascii="Times New Roman" w:hAnsi="Times New Roman" w:cs="Times New Roman"/>
          <w:sz w:val="24"/>
          <w:szCs w:val="24"/>
        </w:rPr>
        <w:instrText xml:space="preserve"> AUTONUM  </w:instrText>
      </w:r>
      <w:r w:rsidRPr="00EF7E34">
        <w:rPr>
          <w:rFonts w:ascii="Times New Roman" w:hAnsi="Times New Roman" w:cs="Times New Roman"/>
          <w:sz w:val="24"/>
          <w:szCs w:val="24"/>
        </w:rPr>
        <w:fldChar w:fldCharType="end"/>
      </w:r>
      <w:r w:rsidRPr="00EF7E34">
        <w:rPr>
          <w:rFonts w:ascii="Times New Roman" w:hAnsi="Times New Roman" w:cs="Times New Roman"/>
          <w:sz w:val="24"/>
          <w:szCs w:val="24"/>
        </w:rPr>
        <w:tab/>
      </w:r>
      <w:r w:rsidR="00C35857">
        <w:rPr>
          <w:rFonts w:ascii="Times New Roman" w:hAnsi="Times New Roman" w:cs="Times New Roman"/>
          <w:sz w:val="24"/>
          <w:szCs w:val="24"/>
        </w:rPr>
        <w:t xml:space="preserve">KiwiSaver </w:t>
      </w:r>
      <w:r w:rsidRPr="00EF7E34">
        <w:rPr>
          <w:rFonts w:ascii="Times New Roman" w:hAnsi="Times New Roman" w:cs="Times New Roman"/>
          <w:sz w:val="24"/>
          <w:szCs w:val="24"/>
        </w:rPr>
        <w:t xml:space="preserve">HomeStart provides financial assistance to first-home buyers who meet specified criteria, including income thresholds of $80,000 for a single person and $120,000 for </w:t>
      </w:r>
      <w:r w:rsidR="00BC5CE0">
        <w:rPr>
          <w:rFonts w:ascii="Times New Roman" w:hAnsi="Times New Roman" w:cs="Times New Roman"/>
          <w:sz w:val="24"/>
          <w:szCs w:val="24"/>
        </w:rPr>
        <w:t>two or more borrowers</w:t>
      </w:r>
      <w:r w:rsidRPr="00EF7E34">
        <w:rPr>
          <w:rFonts w:ascii="Times New Roman" w:hAnsi="Times New Roman" w:cs="Times New Roman"/>
          <w:sz w:val="24"/>
          <w:szCs w:val="24"/>
        </w:rPr>
        <w:t xml:space="preserve">.  Adopting this approach would mean using the HomeStart income thresholds to determine </w:t>
      </w:r>
      <w:r w:rsidR="00881BDA">
        <w:rPr>
          <w:rFonts w:ascii="Times New Roman" w:hAnsi="Times New Roman" w:cs="Times New Roman"/>
          <w:sz w:val="24"/>
          <w:szCs w:val="24"/>
        </w:rPr>
        <w:t>the eligible recipients.</w:t>
      </w:r>
    </w:p>
    <w:p w:rsidR="00EF7E34" w:rsidRPr="00EF7E34" w:rsidRDefault="00EF7E34" w:rsidP="00EF7E34">
      <w:pPr>
        <w:spacing w:after="0" w:line="240" w:lineRule="auto"/>
        <w:jc w:val="both"/>
        <w:rPr>
          <w:rFonts w:ascii="Times New Roman" w:hAnsi="Times New Roman" w:cs="Times New Roman"/>
          <w:sz w:val="24"/>
          <w:szCs w:val="24"/>
        </w:rPr>
      </w:pPr>
    </w:p>
    <w:p w:rsidR="00EF7E34" w:rsidRPr="00EF7E34" w:rsidRDefault="00EF7E34" w:rsidP="00EF7E34">
      <w:pPr>
        <w:spacing w:after="0" w:line="240" w:lineRule="auto"/>
        <w:jc w:val="both"/>
        <w:rPr>
          <w:rFonts w:ascii="Times New Roman" w:hAnsi="Times New Roman" w:cs="Times New Roman"/>
          <w:sz w:val="24"/>
          <w:szCs w:val="24"/>
        </w:rPr>
      </w:pPr>
      <w:r w:rsidRPr="00EF7E34">
        <w:rPr>
          <w:rFonts w:ascii="Times New Roman" w:hAnsi="Times New Roman" w:cs="Times New Roman"/>
          <w:sz w:val="24"/>
          <w:szCs w:val="24"/>
        </w:rPr>
        <w:fldChar w:fldCharType="begin"/>
      </w:r>
      <w:r w:rsidRPr="00EF7E34">
        <w:rPr>
          <w:rFonts w:ascii="Times New Roman" w:hAnsi="Times New Roman" w:cs="Times New Roman"/>
          <w:sz w:val="24"/>
          <w:szCs w:val="24"/>
        </w:rPr>
        <w:instrText xml:space="preserve"> AUTONUM  </w:instrText>
      </w:r>
      <w:r w:rsidRPr="00EF7E34">
        <w:rPr>
          <w:rFonts w:ascii="Times New Roman" w:hAnsi="Times New Roman" w:cs="Times New Roman"/>
          <w:sz w:val="24"/>
          <w:szCs w:val="24"/>
        </w:rPr>
        <w:fldChar w:fldCharType="end"/>
      </w:r>
      <w:r w:rsidRPr="00EF7E34">
        <w:rPr>
          <w:rFonts w:ascii="Times New Roman" w:hAnsi="Times New Roman" w:cs="Times New Roman"/>
          <w:sz w:val="24"/>
          <w:szCs w:val="24"/>
        </w:rPr>
        <w:tab/>
        <w:t>The main ad</w:t>
      </w:r>
      <w:r w:rsidR="00C35857">
        <w:rPr>
          <w:rFonts w:ascii="Times New Roman" w:hAnsi="Times New Roman" w:cs="Times New Roman"/>
          <w:sz w:val="24"/>
          <w:szCs w:val="24"/>
        </w:rPr>
        <w:t>vantages of this approach are</w:t>
      </w:r>
      <w:r w:rsidR="006E6C70">
        <w:rPr>
          <w:rFonts w:ascii="Times New Roman" w:hAnsi="Times New Roman" w:cs="Times New Roman"/>
          <w:sz w:val="24"/>
          <w:szCs w:val="24"/>
        </w:rPr>
        <w:t xml:space="preserve"> that it</w:t>
      </w:r>
      <w:r w:rsidRPr="00EF7E34">
        <w:rPr>
          <w:rFonts w:ascii="Times New Roman" w:hAnsi="Times New Roman" w:cs="Times New Roman"/>
          <w:sz w:val="24"/>
          <w:szCs w:val="24"/>
        </w:rPr>
        <w:t>:</w:t>
      </w:r>
    </w:p>
    <w:p w:rsidR="00EF7E34" w:rsidRPr="00EF7E34" w:rsidRDefault="00EF7E34" w:rsidP="00EF7E34">
      <w:pPr>
        <w:spacing w:after="0" w:line="240" w:lineRule="auto"/>
        <w:jc w:val="both"/>
        <w:rPr>
          <w:rFonts w:ascii="Times New Roman" w:hAnsi="Times New Roman" w:cs="Times New Roman"/>
          <w:sz w:val="24"/>
          <w:szCs w:val="24"/>
        </w:rPr>
      </w:pPr>
    </w:p>
    <w:p w:rsidR="00FF449F" w:rsidRPr="000E75F9" w:rsidRDefault="000E75F9" w:rsidP="000E75F9">
      <w:pPr>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extends the potential coverage of the CHE tax provisions</w:t>
      </w:r>
      <w:r w:rsidR="00C73D6F">
        <w:rPr>
          <w:rFonts w:ascii="Times New Roman" w:hAnsi="Times New Roman" w:cs="Times New Roman"/>
          <w:sz w:val="24"/>
          <w:szCs w:val="24"/>
        </w:rPr>
        <w:t xml:space="preserve"> further than option 1</w:t>
      </w:r>
      <w:r w:rsidR="00E92DEB">
        <w:rPr>
          <w:rFonts w:ascii="Times New Roman" w:hAnsi="Times New Roman" w:cs="Times New Roman"/>
          <w:sz w:val="24"/>
          <w:szCs w:val="24"/>
        </w:rPr>
        <w:t xml:space="preserve"> and the status quo</w:t>
      </w:r>
      <w:r>
        <w:rPr>
          <w:rFonts w:ascii="Times New Roman" w:hAnsi="Times New Roman" w:cs="Times New Roman"/>
          <w:sz w:val="24"/>
          <w:szCs w:val="24"/>
        </w:rPr>
        <w:t>,</w:t>
      </w:r>
      <w:r w:rsidRPr="00EF7E34">
        <w:rPr>
          <w:rFonts w:ascii="Times New Roman" w:hAnsi="Times New Roman" w:cs="Times New Roman"/>
          <w:sz w:val="24"/>
          <w:szCs w:val="24"/>
        </w:rPr>
        <w:t xml:space="preserve"> as th</w:t>
      </w:r>
      <w:r>
        <w:rPr>
          <w:rFonts w:ascii="Times New Roman" w:hAnsi="Times New Roman" w:cs="Times New Roman"/>
          <w:sz w:val="24"/>
          <w:szCs w:val="24"/>
        </w:rPr>
        <w:t>e income thresholds are higher;</w:t>
      </w:r>
      <w:r w:rsidR="00FF449F">
        <w:rPr>
          <w:rStyle w:val="FootnoteReference"/>
          <w:rFonts w:ascii="Times New Roman" w:hAnsi="Times New Roman" w:cs="Times New Roman"/>
          <w:sz w:val="24"/>
          <w:szCs w:val="24"/>
        </w:rPr>
        <w:footnoteReference w:id="3"/>
      </w:r>
    </w:p>
    <w:p w:rsidR="00FF449F" w:rsidRDefault="00FF449F" w:rsidP="00FF449F">
      <w:pPr>
        <w:spacing w:after="0" w:line="240" w:lineRule="auto"/>
        <w:ind w:left="720"/>
        <w:jc w:val="both"/>
        <w:rPr>
          <w:rFonts w:ascii="Times New Roman" w:hAnsi="Times New Roman" w:cs="Times New Roman"/>
          <w:sz w:val="24"/>
          <w:szCs w:val="24"/>
        </w:rPr>
      </w:pPr>
    </w:p>
    <w:p w:rsidR="00FF449F" w:rsidRDefault="00FF449F" w:rsidP="00FF449F">
      <w:pPr>
        <w:numPr>
          <w:ilvl w:val="0"/>
          <w:numId w:val="11"/>
        </w:numPr>
        <w:spacing w:after="0" w:line="240" w:lineRule="auto"/>
        <w:jc w:val="both"/>
        <w:rPr>
          <w:rFonts w:ascii="Times New Roman" w:hAnsi="Times New Roman" w:cs="Times New Roman"/>
          <w:sz w:val="24"/>
          <w:szCs w:val="24"/>
        </w:rPr>
      </w:pPr>
      <w:r w:rsidRPr="00FF449F">
        <w:rPr>
          <w:rFonts w:ascii="Times New Roman" w:hAnsi="Times New Roman" w:cs="Times New Roman"/>
          <w:sz w:val="24"/>
          <w:szCs w:val="24"/>
        </w:rPr>
        <w:t>protects the integrity of the tax system to some extent, as these income thresholds ensure those earning above the specified income thresholds cannot receive assistance</w:t>
      </w:r>
      <w:r w:rsidR="00E92DEB">
        <w:rPr>
          <w:rFonts w:ascii="Times New Roman" w:hAnsi="Times New Roman" w:cs="Times New Roman"/>
          <w:sz w:val="24"/>
          <w:szCs w:val="24"/>
        </w:rPr>
        <w:t>;</w:t>
      </w:r>
    </w:p>
    <w:p w:rsidR="00FF449F" w:rsidRPr="00FF449F" w:rsidRDefault="00FF449F" w:rsidP="00FF449F">
      <w:pPr>
        <w:spacing w:after="0" w:line="240" w:lineRule="auto"/>
        <w:jc w:val="both"/>
        <w:rPr>
          <w:rFonts w:ascii="Times New Roman" w:hAnsi="Times New Roman" w:cs="Times New Roman"/>
          <w:sz w:val="24"/>
          <w:szCs w:val="24"/>
        </w:rPr>
      </w:pPr>
    </w:p>
    <w:p w:rsidR="00EF7E34" w:rsidRDefault="00EF7E34" w:rsidP="00637F78">
      <w:pPr>
        <w:numPr>
          <w:ilvl w:val="0"/>
          <w:numId w:val="11"/>
        </w:numPr>
        <w:spacing w:after="0" w:line="240" w:lineRule="auto"/>
        <w:jc w:val="both"/>
        <w:rPr>
          <w:rFonts w:ascii="Times New Roman" w:hAnsi="Times New Roman" w:cs="Times New Roman"/>
          <w:sz w:val="24"/>
          <w:szCs w:val="24"/>
        </w:rPr>
      </w:pPr>
      <w:r w:rsidRPr="00EF7E34">
        <w:rPr>
          <w:rFonts w:ascii="Times New Roman" w:hAnsi="Times New Roman" w:cs="Times New Roman"/>
          <w:sz w:val="24"/>
          <w:szCs w:val="24"/>
        </w:rPr>
        <w:t xml:space="preserve">provides consistency across Government programmes aimed at </w:t>
      </w:r>
      <w:r w:rsidR="00DE07F5">
        <w:rPr>
          <w:rFonts w:ascii="Times New Roman" w:hAnsi="Times New Roman" w:cs="Times New Roman"/>
          <w:sz w:val="24"/>
          <w:szCs w:val="24"/>
        </w:rPr>
        <w:t>homeownership</w:t>
      </w:r>
      <w:r w:rsidRPr="00EF7E34">
        <w:rPr>
          <w:rFonts w:ascii="Times New Roman" w:hAnsi="Times New Roman" w:cs="Times New Roman"/>
          <w:sz w:val="24"/>
          <w:szCs w:val="24"/>
        </w:rPr>
        <w:t xml:space="preserve"> assistance;</w:t>
      </w:r>
    </w:p>
    <w:p w:rsidR="00637F78" w:rsidRPr="00EF7E34" w:rsidRDefault="00637F78" w:rsidP="00637F78">
      <w:pPr>
        <w:spacing w:after="0" w:line="240" w:lineRule="auto"/>
        <w:ind w:left="1080"/>
        <w:jc w:val="both"/>
        <w:rPr>
          <w:rFonts w:ascii="Times New Roman" w:hAnsi="Times New Roman" w:cs="Times New Roman"/>
          <w:sz w:val="24"/>
          <w:szCs w:val="24"/>
        </w:rPr>
      </w:pPr>
    </w:p>
    <w:p w:rsidR="00EF7E34" w:rsidRDefault="00EF7E34" w:rsidP="00637F78">
      <w:pPr>
        <w:numPr>
          <w:ilvl w:val="0"/>
          <w:numId w:val="11"/>
        </w:numPr>
        <w:spacing w:after="0" w:line="240" w:lineRule="auto"/>
        <w:jc w:val="both"/>
        <w:rPr>
          <w:rFonts w:ascii="Times New Roman" w:hAnsi="Times New Roman" w:cs="Times New Roman"/>
          <w:sz w:val="24"/>
          <w:szCs w:val="24"/>
        </w:rPr>
      </w:pPr>
      <w:r w:rsidRPr="00EF7E34">
        <w:rPr>
          <w:rFonts w:ascii="Times New Roman" w:hAnsi="Times New Roman" w:cs="Times New Roman"/>
          <w:sz w:val="24"/>
          <w:szCs w:val="24"/>
        </w:rPr>
        <w:t>is supported by the sector;</w:t>
      </w:r>
    </w:p>
    <w:p w:rsidR="00881BDA" w:rsidRDefault="00881BDA" w:rsidP="00881BDA">
      <w:pPr>
        <w:spacing w:after="0" w:line="240" w:lineRule="auto"/>
        <w:ind w:left="1080"/>
        <w:jc w:val="both"/>
        <w:rPr>
          <w:rFonts w:ascii="Times New Roman" w:hAnsi="Times New Roman" w:cs="Times New Roman"/>
          <w:sz w:val="24"/>
          <w:szCs w:val="24"/>
        </w:rPr>
      </w:pPr>
    </w:p>
    <w:p w:rsidR="00EF7E34" w:rsidRPr="00EF7E34" w:rsidRDefault="006E6C70" w:rsidP="00637F78">
      <w:pPr>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sets income thresholds </w:t>
      </w:r>
      <w:r w:rsidR="00EF7E34" w:rsidRPr="00EF7E34">
        <w:rPr>
          <w:rFonts w:ascii="Times New Roman" w:hAnsi="Times New Roman" w:cs="Times New Roman"/>
          <w:sz w:val="24"/>
          <w:szCs w:val="24"/>
        </w:rPr>
        <w:t>at the minimum level to enable innovation, growth an</w:t>
      </w:r>
      <w:r w:rsidR="00881BDA">
        <w:rPr>
          <w:rFonts w:ascii="Times New Roman" w:hAnsi="Times New Roman" w:cs="Times New Roman"/>
          <w:sz w:val="24"/>
          <w:szCs w:val="24"/>
        </w:rPr>
        <w:t>d delivery of affordable homes;</w:t>
      </w:r>
      <w:r w:rsidR="00FF449F">
        <w:rPr>
          <w:rFonts w:ascii="Times New Roman" w:hAnsi="Times New Roman" w:cs="Times New Roman"/>
          <w:sz w:val="24"/>
          <w:szCs w:val="24"/>
        </w:rPr>
        <w:t xml:space="preserve"> and</w:t>
      </w:r>
    </w:p>
    <w:p w:rsidR="00637F78" w:rsidRDefault="00637F78" w:rsidP="00637F78">
      <w:pPr>
        <w:spacing w:after="0" w:line="240" w:lineRule="auto"/>
        <w:ind w:left="1080"/>
        <w:jc w:val="both"/>
        <w:rPr>
          <w:rFonts w:ascii="Times New Roman" w:hAnsi="Times New Roman" w:cs="Times New Roman"/>
          <w:sz w:val="24"/>
          <w:szCs w:val="24"/>
        </w:rPr>
      </w:pPr>
    </w:p>
    <w:p w:rsidR="00EF7E34" w:rsidRDefault="00EF7E34" w:rsidP="002B6D9C">
      <w:pPr>
        <w:numPr>
          <w:ilvl w:val="0"/>
          <w:numId w:val="11"/>
        </w:numPr>
        <w:spacing w:after="0" w:line="240" w:lineRule="auto"/>
        <w:jc w:val="both"/>
        <w:rPr>
          <w:rFonts w:ascii="Times New Roman" w:hAnsi="Times New Roman" w:cs="Times New Roman"/>
          <w:sz w:val="24"/>
          <w:szCs w:val="24"/>
        </w:rPr>
      </w:pPr>
      <w:proofErr w:type="gramStart"/>
      <w:r w:rsidRPr="00EF7E34">
        <w:rPr>
          <w:rFonts w:ascii="Times New Roman" w:hAnsi="Times New Roman" w:cs="Times New Roman"/>
          <w:sz w:val="24"/>
          <w:szCs w:val="24"/>
        </w:rPr>
        <w:t>is</w:t>
      </w:r>
      <w:proofErr w:type="gramEnd"/>
      <w:r w:rsidRPr="00EF7E34">
        <w:rPr>
          <w:rFonts w:ascii="Times New Roman" w:hAnsi="Times New Roman" w:cs="Times New Roman"/>
          <w:sz w:val="24"/>
          <w:szCs w:val="24"/>
        </w:rPr>
        <w:t xml:space="preserve"> easy to implement and administer on an ongoing basis</w:t>
      </w:r>
      <w:r w:rsidR="00FF449F">
        <w:rPr>
          <w:rFonts w:ascii="Times New Roman" w:hAnsi="Times New Roman" w:cs="Times New Roman"/>
          <w:sz w:val="24"/>
          <w:szCs w:val="24"/>
        </w:rPr>
        <w:t>.</w:t>
      </w:r>
    </w:p>
    <w:p w:rsidR="00637F78" w:rsidRPr="00EF7E34" w:rsidRDefault="00637F78" w:rsidP="00637F78">
      <w:pPr>
        <w:spacing w:after="0" w:line="240" w:lineRule="auto"/>
        <w:jc w:val="both"/>
        <w:rPr>
          <w:rFonts w:ascii="Times New Roman" w:hAnsi="Times New Roman" w:cs="Times New Roman"/>
          <w:sz w:val="24"/>
          <w:szCs w:val="24"/>
        </w:rPr>
      </w:pPr>
    </w:p>
    <w:p w:rsidR="00EF7E34" w:rsidRDefault="00EF7E34" w:rsidP="00EF7E34">
      <w:pPr>
        <w:spacing w:after="0" w:line="240" w:lineRule="auto"/>
        <w:jc w:val="both"/>
        <w:rPr>
          <w:rFonts w:ascii="Times New Roman" w:hAnsi="Times New Roman" w:cs="Times New Roman"/>
          <w:sz w:val="24"/>
          <w:szCs w:val="24"/>
        </w:rPr>
      </w:pPr>
      <w:r w:rsidRPr="00EF7E34">
        <w:rPr>
          <w:rFonts w:ascii="Times New Roman" w:hAnsi="Times New Roman" w:cs="Times New Roman"/>
          <w:sz w:val="24"/>
          <w:szCs w:val="24"/>
        </w:rPr>
        <w:fldChar w:fldCharType="begin"/>
      </w:r>
      <w:r w:rsidRPr="00EF7E34">
        <w:rPr>
          <w:rFonts w:ascii="Times New Roman" w:hAnsi="Times New Roman" w:cs="Times New Roman"/>
          <w:sz w:val="24"/>
          <w:szCs w:val="24"/>
        </w:rPr>
        <w:instrText xml:space="preserve"> AUTONUM  </w:instrText>
      </w:r>
      <w:r w:rsidRPr="00EF7E34">
        <w:rPr>
          <w:rFonts w:ascii="Times New Roman" w:hAnsi="Times New Roman" w:cs="Times New Roman"/>
          <w:sz w:val="24"/>
          <w:szCs w:val="24"/>
        </w:rPr>
        <w:fldChar w:fldCharType="end"/>
      </w:r>
      <w:r w:rsidRPr="00EF7E34">
        <w:rPr>
          <w:rFonts w:ascii="Times New Roman" w:hAnsi="Times New Roman" w:cs="Times New Roman"/>
          <w:sz w:val="24"/>
          <w:szCs w:val="24"/>
        </w:rPr>
        <w:tab/>
        <w:t>The main disadvantage</w:t>
      </w:r>
      <w:r w:rsidR="00EC1BC5">
        <w:rPr>
          <w:rFonts w:ascii="Times New Roman" w:hAnsi="Times New Roman" w:cs="Times New Roman"/>
          <w:sz w:val="24"/>
          <w:szCs w:val="24"/>
        </w:rPr>
        <w:t>s</w:t>
      </w:r>
      <w:r w:rsidRPr="00EF7E34">
        <w:rPr>
          <w:rFonts w:ascii="Times New Roman" w:hAnsi="Times New Roman" w:cs="Times New Roman"/>
          <w:sz w:val="24"/>
          <w:szCs w:val="24"/>
        </w:rPr>
        <w:t xml:space="preserve"> of this approach are:</w:t>
      </w:r>
    </w:p>
    <w:p w:rsidR="00EC1BC5" w:rsidRPr="00EF7E34" w:rsidRDefault="00EC1BC5" w:rsidP="00EF7E34">
      <w:pPr>
        <w:spacing w:after="0" w:line="240" w:lineRule="auto"/>
        <w:jc w:val="both"/>
        <w:rPr>
          <w:rFonts w:ascii="Times New Roman" w:hAnsi="Times New Roman" w:cs="Times New Roman"/>
          <w:sz w:val="24"/>
          <w:szCs w:val="24"/>
        </w:rPr>
      </w:pPr>
    </w:p>
    <w:p w:rsidR="00EF7E34" w:rsidRPr="00EF7E34" w:rsidRDefault="006E6C70" w:rsidP="00637F78">
      <w:pPr>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 </w:t>
      </w:r>
      <w:r w:rsidR="00AF5B84">
        <w:rPr>
          <w:rFonts w:ascii="Times New Roman" w:hAnsi="Times New Roman" w:cs="Times New Roman"/>
          <w:sz w:val="24"/>
          <w:szCs w:val="24"/>
        </w:rPr>
        <w:t xml:space="preserve">sets </w:t>
      </w:r>
      <w:r w:rsidR="00EF7E34" w:rsidRPr="00EF7E34">
        <w:rPr>
          <w:rFonts w:ascii="Times New Roman" w:hAnsi="Times New Roman" w:cs="Times New Roman"/>
          <w:sz w:val="24"/>
          <w:szCs w:val="24"/>
        </w:rPr>
        <w:t xml:space="preserve">higher </w:t>
      </w:r>
      <w:r w:rsidR="00AF5B84">
        <w:rPr>
          <w:rFonts w:ascii="Times New Roman" w:hAnsi="Times New Roman" w:cs="Times New Roman"/>
          <w:sz w:val="24"/>
          <w:szCs w:val="24"/>
        </w:rPr>
        <w:t xml:space="preserve">income thresholds </w:t>
      </w:r>
      <w:r w:rsidR="00EF7E34" w:rsidRPr="00EF7E34">
        <w:rPr>
          <w:rFonts w:ascii="Times New Roman" w:hAnsi="Times New Roman" w:cs="Times New Roman"/>
          <w:sz w:val="24"/>
          <w:szCs w:val="24"/>
        </w:rPr>
        <w:t>than Cabinet originally intended;</w:t>
      </w:r>
    </w:p>
    <w:p w:rsidR="00EC1BC5" w:rsidRDefault="00EC1BC5" w:rsidP="00EC1BC5">
      <w:pPr>
        <w:spacing w:after="0" w:line="240" w:lineRule="auto"/>
        <w:ind w:left="1080"/>
        <w:jc w:val="both"/>
        <w:rPr>
          <w:rFonts w:ascii="Times New Roman" w:hAnsi="Times New Roman" w:cs="Times New Roman"/>
          <w:sz w:val="24"/>
          <w:szCs w:val="24"/>
        </w:rPr>
      </w:pPr>
    </w:p>
    <w:p w:rsidR="00FF449F" w:rsidRDefault="006E6C70" w:rsidP="00FF449F">
      <w:pPr>
        <w:numPr>
          <w:ilvl w:val="0"/>
          <w:numId w:val="12"/>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does </w:t>
      </w:r>
      <w:r w:rsidR="00EF7E34" w:rsidRPr="00EF7E34">
        <w:rPr>
          <w:rFonts w:ascii="Times New Roman" w:hAnsi="Times New Roman" w:cs="Times New Roman"/>
          <w:sz w:val="24"/>
          <w:szCs w:val="24"/>
        </w:rPr>
        <w:t>not r</w:t>
      </w:r>
      <w:r w:rsidR="00EC1BC5">
        <w:rPr>
          <w:rFonts w:ascii="Times New Roman" w:hAnsi="Times New Roman" w:cs="Times New Roman"/>
          <w:sz w:val="24"/>
          <w:szCs w:val="24"/>
        </w:rPr>
        <w:t>eflect housing affordability</w:t>
      </w:r>
      <w:r>
        <w:rPr>
          <w:rFonts w:ascii="Times New Roman" w:hAnsi="Times New Roman" w:cs="Times New Roman"/>
          <w:sz w:val="24"/>
          <w:szCs w:val="24"/>
        </w:rPr>
        <w:t xml:space="preserve"> issues</w:t>
      </w:r>
      <w:r w:rsidR="00EC1BC5">
        <w:rPr>
          <w:rFonts w:ascii="Times New Roman" w:hAnsi="Times New Roman" w:cs="Times New Roman"/>
          <w:sz w:val="24"/>
          <w:szCs w:val="24"/>
        </w:rPr>
        <w:t xml:space="preserve">.  </w:t>
      </w:r>
      <w:r w:rsidR="00EF7E34" w:rsidRPr="00EF7E34">
        <w:rPr>
          <w:rFonts w:ascii="Times New Roman" w:hAnsi="Times New Roman" w:cs="Times New Roman"/>
          <w:sz w:val="24"/>
          <w:szCs w:val="24"/>
        </w:rPr>
        <w:t xml:space="preserve">For example, under this option a single person on $80,000 living in Gore would be entitled to assistance, whereas a single </w:t>
      </w:r>
      <w:r w:rsidR="00B97CF0">
        <w:rPr>
          <w:rFonts w:ascii="Times New Roman" w:hAnsi="Times New Roman" w:cs="Times New Roman"/>
          <w:sz w:val="24"/>
          <w:szCs w:val="24"/>
        </w:rPr>
        <w:t>parent</w:t>
      </w:r>
      <w:r w:rsidR="00B97CF0" w:rsidRPr="00EF7E34">
        <w:rPr>
          <w:rFonts w:ascii="Times New Roman" w:hAnsi="Times New Roman" w:cs="Times New Roman"/>
          <w:sz w:val="24"/>
          <w:szCs w:val="24"/>
        </w:rPr>
        <w:t xml:space="preserve"> </w:t>
      </w:r>
      <w:r w:rsidR="00EF7E34" w:rsidRPr="00EF7E34">
        <w:rPr>
          <w:rFonts w:ascii="Times New Roman" w:hAnsi="Times New Roman" w:cs="Times New Roman"/>
          <w:sz w:val="24"/>
          <w:szCs w:val="24"/>
        </w:rPr>
        <w:t>earning $81,000 with five children living in Auckland would not be</w:t>
      </w:r>
      <w:r w:rsidR="00A07990">
        <w:rPr>
          <w:rFonts w:ascii="Times New Roman" w:hAnsi="Times New Roman" w:cs="Times New Roman"/>
          <w:sz w:val="24"/>
          <w:szCs w:val="24"/>
        </w:rPr>
        <w:t>;</w:t>
      </w:r>
      <w:r w:rsidR="00BC5CE0">
        <w:rPr>
          <w:rFonts w:ascii="Times New Roman" w:hAnsi="Times New Roman" w:cs="Times New Roman"/>
          <w:sz w:val="24"/>
          <w:szCs w:val="24"/>
        </w:rPr>
        <w:t xml:space="preserve"> and</w:t>
      </w:r>
    </w:p>
    <w:p w:rsidR="00FF449F" w:rsidRPr="00FF449F" w:rsidRDefault="00FF449F" w:rsidP="00FF449F">
      <w:pPr>
        <w:spacing w:after="0" w:line="240" w:lineRule="auto"/>
        <w:ind w:left="1080"/>
        <w:jc w:val="both"/>
      </w:pPr>
    </w:p>
    <w:p w:rsidR="00C73D6F" w:rsidRDefault="00AF5B84" w:rsidP="00FF449F">
      <w:pPr>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C73D6F">
        <w:rPr>
          <w:rFonts w:ascii="Times New Roman" w:hAnsi="Times New Roman" w:cs="Times New Roman"/>
          <w:sz w:val="24"/>
          <w:szCs w:val="24"/>
        </w:rPr>
        <w:t xml:space="preserve">here is still a risk that some providers will not qualify for the CHE tax provisions, which may mean:  </w:t>
      </w:r>
    </w:p>
    <w:p w:rsidR="00C73D6F" w:rsidRDefault="00C73D6F" w:rsidP="00C73D6F">
      <w:pPr>
        <w:spacing w:after="0" w:line="240" w:lineRule="auto"/>
        <w:ind w:left="1440"/>
        <w:jc w:val="both"/>
        <w:rPr>
          <w:rFonts w:ascii="Times New Roman" w:hAnsi="Times New Roman" w:cs="Times New Roman"/>
          <w:sz w:val="24"/>
          <w:szCs w:val="24"/>
        </w:rPr>
      </w:pPr>
    </w:p>
    <w:p w:rsidR="00C73D6F" w:rsidRPr="006158C5" w:rsidRDefault="00E92DEB" w:rsidP="00C73D6F">
      <w:pPr>
        <w:numPr>
          <w:ilvl w:val="0"/>
          <w:numId w:val="18"/>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 reduced </w:t>
      </w:r>
      <w:r w:rsidR="00C73D6F" w:rsidRPr="006158C5">
        <w:rPr>
          <w:rFonts w:ascii="Times New Roman" w:hAnsi="Times New Roman" w:cs="Times New Roman"/>
          <w:sz w:val="24"/>
          <w:szCs w:val="24"/>
        </w:rPr>
        <w:t>number of providers available to support the Social Housing Reform Programme;</w:t>
      </w:r>
    </w:p>
    <w:p w:rsidR="00C73D6F" w:rsidRPr="006158C5" w:rsidRDefault="00C73D6F" w:rsidP="00C73D6F">
      <w:pPr>
        <w:spacing w:after="0" w:line="240" w:lineRule="auto"/>
        <w:ind w:left="2520"/>
        <w:jc w:val="both"/>
        <w:rPr>
          <w:rFonts w:ascii="Times New Roman" w:hAnsi="Times New Roman" w:cs="Times New Roman"/>
          <w:sz w:val="24"/>
          <w:szCs w:val="24"/>
        </w:rPr>
      </w:pPr>
    </w:p>
    <w:p w:rsidR="00C73D6F" w:rsidRPr="006158C5" w:rsidRDefault="00C73D6F" w:rsidP="00C73D6F">
      <w:pPr>
        <w:numPr>
          <w:ilvl w:val="0"/>
          <w:numId w:val="18"/>
        </w:numPr>
        <w:spacing w:after="0" w:line="240" w:lineRule="auto"/>
        <w:ind w:left="1440"/>
        <w:jc w:val="both"/>
        <w:rPr>
          <w:rFonts w:ascii="Times New Roman" w:hAnsi="Times New Roman" w:cs="Times New Roman"/>
          <w:sz w:val="24"/>
          <w:szCs w:val="24"/>
        </w:rPr>
      </w:pPr>
      <w:r w:rsidRPr="006158C5">
        <w:rPr>
          <w:rFonts w:ascii="Times New Roman" w:hAnsi="Times New Roman" w:cs="Times New Roman"/>
          <w:sz w:val="24"/>
          <w:szCs w:val="24"/>
        </w:rPr>
        <w:t>potential</w:t>
      </w:r>
      <w:r>
        <w:rPr>
          <w:rFonts w:ascii="Times New Roman" w:hAnsi="Times New Roman" w:cs="Times New Roman"/>
          <w:sz w:val="24"/>
          <w:szCs w:val="24"/>
        </w:rPr>
        <w:t xml:space="preserve"> displace</w:t>
      </w:r>
      <w:r w:rsidR="00E92DEB">
        <w:rPr>
          <w:rFonts w:ascii="Times New Roman" w:hAnsi="Times New Roman" w:cs="Times New Roman"/>
          <w:sz w:val="24"/>
          <w:szCs w:val="24"/>
        </w:rPr>
        <w:t>ment of</w:t>
      </w:r>
      <w:r w:rsidRPr="006158C5">
        <w:rPr>
          <w:rFonts w:ascii="Times New Roman" w:hAnsi="Times New Roman" w:cs="Times New Roman"/>
          <w:sz w:val="24"/>
          <w:szCs w:val="24"/>
        </w:rPr>
        <w:t xml:space="preserve"> tenants if providers have to sell houses t</w:t>
      </w:r>
      <w:r w:rsidR="00B800AC">
        <w:rPr>
          <w:rFonts w:ascii="Times New Roman" w:hAnsi="Times New Roman" w:cs="Times New Roman"/>
          <w:sz w:val="24"/>
          <w:szCs w:val="24"/>
        </w:rPr>
        <w:t>o cover their tax liability;</w:t>
      </w:r>
    </w:p>
    <w:p w:rsidR="00C73D6F" w:rsidRPr="006158C5" w:rsidRDefault="00C73D6F" w:rsidP="00C73D6F">
      <w:pPr>
        <w:spacing w:after="0" w:line="240" w:lineRule="auto"/>
        <w:ind w:left="2520"/>
        <w:jc w:val="both"/>
        <w:rPr>
          <w:rFonts w:ascii="Times New Roman" w:hAnsi="Times New Roman" w:cs="Times New Roman"/>
          <w:sz w:val="24"/>
          <w:szCs w:val="24"/>
        </w:rPr>
      </w:pPr>
    </w:p>
    <w:p w:rsidR="00FF449F" w:rsidRPr="00EF7E34" w:rsidRDefault="00C73D6F" w:rsidP="00C73D6F">
      <w:pPr>
        <w:numPr>
          <w:ilvl w:val="0"/>
          <w:numId w:val="18"/>
        </w:numPr>
        <w:spacing w:after="0" w:line="240" w:lineRule="auto"/>
        <w:ind w:left="1440"/>
        <w:jc w:val="both"/>
        <w:rPr>
          <w:rFonts w:ascii="Times New Roman" w:hAnsi="Times New Roman" w:cs="Times New Roman"/>
          <w:sz w:val="24"/>
          <w:szCs w:val="24"/>
        </w:rPr>
      </w:pPr>
      <w:proofErr w:type="gramStart"/>
      <w:r w:rsidRPr="006158C5">
        <w:rPr>
          <w:rFonts w:ascii="Times New Roman" w:hAnsi="Times New Roman" w:cs="Times New Roman"/>
          <w:sz w:val="24"/>
          <w:szCs w:val="24"/>
        </w:rPr>
        <w:t>providers</w:t>
      </w:r>
      <w:proofErr w:type="gramEnd"/>
      <w:r w:rsidRPr="006158C5">
        <w:rPr>
          <w:rFonts w:ascii="Times New Roman" w:hAnsi="Times New Roman" w:cs="Times New Roman"/>
          <w:sz w:val="24"/>
          <w:szCs w:val="24"/>
        </w:rPr>
        <w:t xml:space="preserve"> </w:t>
      </w:r>
      <w:r w:rsidR="00E92DEB">
        <w:rPr>
          <w:rFonts w:ascii="Times New Roman" w:hAnsi="Times New Roman" w:cs="Times New Roman"/>
          <w:sz w:val="24"/>
          <w:szCs w:val="24"/>
        </w:rPr>
        <w:t xml:space="preserve">are forced </w:t>
      </w:r>
      <w:r w:rsidRPr="006158C5">
        <w:rPr>
          <w:rFonts w:ascii="Times New Roman" w:hAnsi="Times New Roman" w:cs="Times New Roman"/>
          <w:sz w:val="24"/>
          <w:szCs w:val="24"/>
        </w:rPr>
        <w:t>to repay capital grants and loans if houses are sold to cover tax debt (Social Housing Fund and HNZ’s Housing Innovation Fu</w:t>
      </w:r>
      <w:r>
        <w:rPr>
          <w:rFonts w:ascii="Times New Roman" w:hAnsi="Times New Roman" w:cs="Times New Roman"/>
          <w:sz w:val="24"/>
          <w:szCs w:val="24"/>
        </w:rPr>
        <w:t>nd grants and suspensory loans)</w:t>
      </w:r>
      <w:r w:rsidR="00E92DEB">
        <w:rPr>
          <w:rFonts w:ascii="Times New Roman" w:hAnsi="Times New Roman" w:cs="Times New Roman"/>
          <w:sz w:val="24"/>
          <w:szCs w:val="24"/>
        </w:rPr>
        <w:t>.</w:t>
      </w:r>
    </w:p>
    <w:p w:rsidR="00FF449F" w:rsidRDefault="00FF449F" w:rsidP="00FF449F">
      <w:pPr>
        <w:spacing w:after="0" w:line="240" w:lineRule="auto"/>
        <w:ind w:left="1080"/>
        <w:jc w:val="both"/>
        <w:rPr>
          <w:rFonts w:ascii="Times New Roman" w:hAnsi="Times New Roman" w:cs="Times New Roman"/>
          <w:sz w:val="24"/>
          <w:szCs w:val="24"/>
        </w:rPr>
      </w:pPr>
    </w:p>
    <w:p w:rsidR="00A07990" w:rsidRDefault="00A07990" w:rsidP="00EC1BC5">
      <w:pPr>
        <w:spacing w:after="0" w:line="240" w:lineRule="auto"/>
        <w:jc w:val="both"/>
        <w:rPr>
          <w:rFonts w:ascii="Times New Roman" w:hAnsi="Times New Roman" w:cs="Times New Roman"/>
          <w:sz w:val="24"/>
          <w:szCs w:val="24"/>
        </w:rPr>
      </w:pPr>
    </w:p>
    <w:p w:rsidR="00EC1BC5" w:rsidRPr="00EC1BC5" w:rsidRDefault="00EC1BC5" w:rsidP="00EC1BC5">
      <w:pPr>
        <w:spacing w:after="0" w:line="240" w:lineRule="auto"/>
        <w:jc w:val="both"/>
        <w:rPr>
          <w:rFonts w:ascii="Times New Roman" w:hAnsi="Times New Roman" w:cs="Times New Roman"/>
          <w:b/>
          <w:sz w:val="24"/>
          <w:szCs w:val="24"/>
        </w:rPr>
      </w:pPr>
      <w:r w:rsidRPr="00EC1BC5">
        <w:rPr>
          <w:rFonts w:ascii="Times New Roman" w:hAnsi="Times New Roman" w:cs="Times New Roman"/>
          <w:b/>
          <w:sz w:val="24"/>
          <w:szCs w:val="24"/>
        </w:rPr>
        <w:t>Option 3 – status quo</w:t>
      </w:r>
    </w:p>
    <w:p w:rsidR="00EC1BC5" w:rsidRDefault="00EC1BC5" w:rsidP="00EC1BC5">
      <w:pPr>
        <w:spacing w:after="0" w:line="240" w:lineRule="auto"/>
        <w:jc w:val="both"/>
        <w:rPr>
          <w:rFonts w:ascii="Times New Roman" w:hAnsi="Times New Roman" w:cs="Times New Roman"/>
          <w:sz w:val="24"/>
          <w:szCs w:val="24"/>
        </w:rPr>
      </w:pPr>
    </w:p>
    <w:p w:rsidR="00EC1BC5" w:rsidRDefault="00881BDA" w:rsidP="00EC1BC5">
      <w:pPr>
        <w:spacing w:after="0" w:line="240" w:lineRule="auto"/>
        <w:jc w:val="both"/>
        <w:rPr>
          <w:rFonts w:ascii="Times New Roman" w:hAnsi="Times New Roman" w:cs="Times New Roman"/>
          <w:sz w:val="24"/>
          <w:szCs w:val="24"/>
        </w:rPr>
      </w:pPr>
      <w:r w:rsidRPr="00881BDA">
        <w:rPr>
          <w:rFonts w:ascii="Times New Roman" w:hAnsi="Times New Roman" w:cs="Times New Roman"/>
          <w:sz w:val="24"/>
          <w:szCs w:val="24"/>
        </w:rPr>
        <w:fldChar w:fldCharType="begin"/>
      </w:r>
      <w:r w:rsidRPr="00881BDA">
        <w:rPr>
          <w:rFonts w:ascii="Times New Roman" w:hAnsi="Times New Roman" w:cs="Times New Roman"/>
          <w:sz w:val="24"/>
          <w:szCs w:val="24"/>
        </w:rPr>
        <w:instrText xml:space="preserve"> AUTONUM  </w:instrText>
      </w:r>
      <w:r w:rsidRPr="00881BDA">
        <w:rPr>
          <w:rFonts w:ascii="Times New Roman" w:hAnsi="Times New Roman" w:cs="Times New Roman"/>
          <w:sz w:val="24"/>
          <w:szCs w:val="24"/>
        </w:rPr>
        <w:fldChar w:fldCharType="end"/>
      </w:r>
      <w:r w:rsidRPr="00881BDA">
        <w:rPr>
          <w:rFonts w:ascii="Times New Roman" w:hAnsi="Times New Roman" w:cs="Times New Roman"/>
          <w:sz w:val="24"/>
          <w:szCs w:val="24"/>
        </w:rPr>
        <w:tab/>
      </w:r>
      <w:r w:rsidR="00113796">
        <w:rPr>
          <w:rFonts w:ascii="Times New Roman" w:hAnsi="Times New Roman" w:cs="Times New Roman"/>
          <w:sz w:val="24"/>
          <w:szCs w:val="24"/>
        </w:rPr>
        <w:t xml:space="preserve">If the status quo were maintained, the regulation would be set by Order in Council.  This means the income threshold would be based on the lower quartile of household income and most affected providers will not qualify for the income tax exemption or </w:t>
      </w:r>
      <w:proofErr w:type="spellStart"/>
      <w:r w:rsidR="00113796">
        <w:rPr>
          <w:rFonts w:ascii="Times New Roman" w:hAnsi="Times New Roman" w:cs="Times New Roman"/>
          <w:sz w:val="24"/>
          <w:szCs w:val="24"/>
        </w:rPr>
        <w:t>donee</w:t>
      </w:r>
      <w:proofErr w:type="spellEnd"/>
      <w:r w:rsidR="00113796">
        <w:rPr>
          <w:rFonts w:ascii="Times New Roman" w:hAnsi="Times New Roman" w:cs="Times New Roman"/>
          <w:sz w:val="24"/>
          <w:szCs w:val="24"/>
        </w:rPr>
        <w:t xml:space="preserve"> status</w:t>
      </w:r>
      <w:r w:rsidR="0050068E">
        <w:rPr>
          <w:rFonts w:ascii="Times New Roman" w:hAnsi="Times New Roman" w:cs="Times New Roman"/>
          <w:sz w:val="24"/>
          <w:szCs w:val="24"/>
        </w:rPr>
        <w:t xml:space="preserve"> for </w:t>
      </w:r>
      <w:proofErr w:type="spellStart"/>
      <w:r w:rsidR="0050068E">
        <w:rPr>
          <w:rFonts w:ascii="Times New Roman" w:hAnsi="Times New Roman" w:cs="Times New Roman"/>
          <w:sz w:val="24"/>
          <w:szCs w:val="24"/>
        </w:rPr>
        <w:t>CHEs</w:t>
      </w:r>
      <w:r w:rsidR="00113796">
        <w:rPr>
          <w:rFonts w:ascii="Times New Roman" w:hAnsi="Times New Roman" w:cs="Times New Roman"/>
          <w:sz w:val="24"/>
          <w:szCs w:val="24"/>
        </w:rPr>
        <w:t>.</w:t>
      </w:r>
      <w:proofErr w:type="spellEnd"/>
      <w:r w:rsidR="00B97CF0">
        <w:rPr>
          <w:rFonts w:ascii="Times New Roman" w:hAnsi="Times New Roman" w:cs="Times New Roman"/>
          <w:sz w:val="24"/>
          <w:szCs w:val="24"/>
        </w:rPr>
        <w:t xml:space="preserve">  We consider that the status quo is not sustainable.</w:t>
      </w:r>
    </w:p>
    <w:p w:rsidR="00113796" w:rsidRDefault="00113796" w:rsidP="00EC1BC5">
      <w:pPr>
        <w:spacing w:after="0" w:line="240" w:lineRule="auto"/>
        <w:jc w:val="both"/>
        <w:rPr>
          <w:rFonts w:ascii="Times New Roman" w:hAnsi="Times New Roman" w:cs="Times New Roman"/>
          <w:sz w:val="24"/>
          <w:szCs w:val="24"/>
        </w:rPr>
      </w:pPr>
    </w:p>
    <w:p w:rsidR="00A07990" w:rsidRDefault="00A07990" w:rsidP="00EC1BC5">
      <w:pPr>
        <w:spacing w:after="0" w:line="240" w:lineRule="auto"/>
        <w:jc w:val="both"/>
        <w:rPr>
          <w:rFonts w:ascii="Times New Roman" w:hAnsi="Times New Roman" w:cs="Times New Roman"/>
          <w:sz w:val="24"/>
          <w:szCs w:val="24"/>
        </w:rPr>
      </w:pPr>
    </w:p>
    <w:p w:rsidR="00EC1BC5" w:rsidRPr="00EC1BC5" w:rsidRDefault="00B8123E" w:rsidP="00EC1BC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Summary of a</w:t>
      </w:r>
      <w:r w:rsidR="00EC1BC5" w:rsidRPr="00EC1BC5">
        <w:rPr>
          <w:rFonts w:ascii="Times New Roman" w:hAnsi="Times New Roman" w:cs="Times New Roman"/>
          <w:b/>
          <w:sz w:val="24"/>
          <w:szCs w:val="24"/>
        </w:rPr>
        <w:t>nalysis of the options and status quo</w:t>
      </w:r>
    </w:p>
    <w:p w:rsidR="00EC1BC5" w:rsidRDefault="00EC1BC5" w:rsidP="00EC1BC5">
      <w:pPr>
        <w:spacing w:after="0" w:line="240" w:lineRule="auto"/>
        <w:jc w:val="both"/>
        <w:rPr>
          <w:rFonts w:ascii="Times New Roman" w:hAnsi="Times New Roman" w:cs="Times New Roman"/>
          <w:sz w:val="24"/>
          <w:szCs w:val="24"/>
        </w:rPr>
      </w:pPr>
    </w:p>
    <w:p w:rsidR="00EC1BC5" w:rsidRDefault="00881BDA" w:rsidP="00EC1BC5">
      <w:pPr>
        <w:spacing w:after="0" w:line="240" w:lineRule="auto"/>
        <w:jc w:val="both"/>
        <w:rPr>
          <w:rFonts w:ascii="Times New Roman" w:hAnsi="Times New Roman" w:cs="Times New Roman"/>
          <w:sz w:val="24"/>
          <w:szCs w:val="24"/>
        </w:rPr>
      </w:pPr>
      <w:r w:rsidRPr="00881BDA">
        <w:rPr>
          <w:rFonts w:ascii="Times New Roman" w:hAnsi="Times New Roman" w:cs="Times New Roman"/>
          <w:sz w:val="24"/>
          <w:szCs w:val="24"/>
        </w:rPr>
        <w:fldChar w:fldCharType="begin"/>
      </w:r>
      <w:r w:rsidRPr="00881BDA">
        <w:rPr>
          <w:rFonts w:ascii="Times New Roman" w:hAnsi="Times New Roman" w:cs="Times New Roman"/>
          <w:sz w:val="24"/>
          <w:szCs w:val="24"/>
        </w:rPr>
        <w:instrText xml:space="preserve"> AUTONUM  </w:instrText>
      </w:r>
      <w:r w:rsidRPr="00881BDA">
        <w:rPr>
          <w:rFonts w:ascii="Times New Roman" w:hAnsi="Times New Roman" w:cs="Times New Roman"/>
          <w:sz w:val="24"/>
          <w:szCs w:val="24"/>
        </w:rPr>
        <w:fldChar w:fldCharType="end"/>
      </w:r>
      <w:r w:rsidRPr="00881BDA">
        <w:rPr>
          <w:rFonts w:ascii="Times New Roman" w:hAnsi="Times New Roman" w:cs="Times New Roman"/>
          <w:sz w:val="24"/>
          <w:szCs w:val="24"/>
        </w:rPr>
        <w:tab/>
      </w:r>
      <w:r w:rsidR="00B8123E">
        <w:rPr>
          <w:rFonts w:ascii="Times New Roman" w:hAnsi="Times New Roman" w:cs="Times New Roman"/>
          <w:sz w:val="24"/>
          <w:szCs w:val="24"/>
        </w:rPr>
        <w:t xml:space="preserve">Our analysis of the options and status quo is </w:t>
      </w:r>
      <w:r w:rsidR="00EC1BC5">
        <w:rPr>
          <w:rFonts w:ascii="Times New Roman" w:hAnsi="Times New Roman" w:cs="Times New Roman"/>
          <w:sz w:val="24"/>
          <w:szCs w:val="24"/>
        </w:rPr>
        <w:t>summarised in the table below.</w:t>
      </w:r>
    </w:p>
    <w:p w:rsidR="00EC1BC5" w:rsidRDefault="00EC1BC5" w:rsidP="00EC1BC5">
      <w:pPr>
        <w:spacing w:after="0" w:line="240" w:lineRule="auto"/>
        <w:jc w:val="both"/>
        <w:rPr>
          <w:rFonts w:ascii="Times New Roman" w:hAnsi="Times New Roman" w:cs="Times New Roman"/>
          <w:sz w:val="24"/>
          <w:szCs w:val="24"/>
        </w:rPr>
      </w:pPr>
    </w:p>
    <w:p w:rsidR="00222DF7" w:rsidRPr="00222DF7" w:rsidRDefault="00222DF7" w:rsidP="00222DF7">
      <w:pPr>
        <w:spacing w:after="0" w:line="240" w:lineRule="auto"/>
        <w:jc w:val="both"/>
        <w:rPr>
          <w:rFonts w:ascii="Times New Roman" w:hAnsi="Times New Roman" w:cs="Times New Roman"/>
          <w:sz w:val="24"/>
          <w:szCs w:val="24"/>
        </w:rPr>
        <w:sectPr w:rsidR="00222DF7" w:rsidRPr="00222DF7" w:rsidSect="00EA5A52">
          <w:headerReference w:type="default" r:id="rId9"/>
          <w:footerReference w:type="default" r:id="rId10"/>
          <w:headerReference w:type="first" r:id="rId11"/>
          <w:pgSz w:w="11906" w:h="16838" w:code="9"/>
          <w:pgMar w:top="1021" w:right="1588" w:bottom="1135" w:left="1418" w:header="720" w:footer="720" w:gutter="0"/>
          <w:cols w:space="720"/>
          <w:titlePg/>
          <w:docGrid w:linePitch="299"/>
        </w:sectPr>
      </w:pPr>
    </w:p>
    <w:p w:rsidR="00222DF7" w:rsidRPr="00B8123E" w:rsidRDefault="00B8123E" w:rsidP="00222DF7">
      <w:pPr>
        <w:spacing w:after="0" w:line="240" w:lineRule="auto"/>
        <w:jc w:val="both"/>
        <w:rPr>
          <w:rFonts w:ascii="Times New Roman" w:hAnsi="Times New Roman" w:cs="Times New Roman"/>
          <w:b/>
          <w:sz w:val="24"/>
          <w:szCs w:val="24"/>
        </w:rPr>
      </w:pPr>
      <w:r w:rsidRPr="00B8123E">
        <w:rPr>
          <w:rFonts w:ascii="Times New Roman" w:hAnsi="Times New Roman" w:cs="Times New Roman"/>
          <w:b/>
          <w:sz w:val="24"/>
          <w:szCs w:val="24"/>
        </w:rPr>
        <w:t>Table:  Summary of analysis</w:t>
      </w:r>
    </w:p>
    <w:tbl>
      <w:tblPr>
        <w:tblStyle w:val="TableGrid"/>
        <w:tblW w:w="0" w:type="auto"/>
        <w:tblLook w:val="04A0" w:firstRow="1" w:lastRow="0" w:firstColumn="1" w:lastColumn="0" w:noHBand="0" w:noVBand="1"/>
      </w:tblPr>
      <w:tblGrid>
        <w:gridCol w:w="1951"/>
        <w:gridCol w:w="1589"/>
        <w:gridCol w:w="1376"/>
        <w:gridCol w:w="3075"/>
        <w:gridCol w:w="2932"/>
        <w:gridCol w:w="2246"/>
        <w:gridCol w:w="1730"/>
      </w:tblGrid>
      <w:tr w:rsidR="00222DF7" w:rsidRPr="00222DF7" w:rsidTr="00B8123E">
        <w:tc>
          <w:tcPr>
            <w:tcW w:w="1951" w:type="dxa"/>
            <w:vMerge w:val="restart"/>
            <w:vAlign w:val="center"/>
          </w:tcPr>
          <w:p w:rsidR="00222DF7" w:rsidRPr="00222DF7" w:rsidRDefault="00222DF7" w:rsidP="00222DF7">
            <w:pPr>
              <w:rPr>
                <w:rFonts w:ascii="Times New Roman" w:hAnsi="Times New Roman" w:cs="Times New Roman"/>
                <w:b/>
                <w:i/>
                <w:sz w:val="20"/>
                <w:szCs w:val="24"/>
                <w:lang w:val="en-GB"/>
              </w:rPr>
            </w:pPr>
            <w:r w:rsidRPr="00222DF7">
              <w:rPr>
                <w:rFonts w:ascii="Times New Roman" w:hAnsi="Times New Roman" w:cs="Times New Roman"/>
                <w:b/>
                <w:i/>
                <w:sz w:val="20"/>
                <w:szCs w:val="24"/>
                <w:lang w:val="en-GB"/>
              </w:rPr>
              <w:t>Option</w:t>
            </w:r>
          </w:p>
        </w:tc>
        <w:tc>
          <w:tcPr>
            <w:tcW w:w="1589" w:type="dxa"/>
            <w:vMerge w:val="restart"/>
            <w:vAlign w:val="center"/>
          </w:tcPr>
          <w:p w:rsidR="00222DF7" w:rsidRPr="00222DF7" w:rsidRDefault="00222DF7" w:rsidP="00222DF7">
            <w:pPr>
              <w:jc w:val="both"/>
              <w:rPr>
                <w:rFonts w:ascii="Times New Roman" w:hAnsi="Times New Roman" w:cs="Times New Roman"/>
                <w:b/>
                <w:i/>
                <w:sz w:val="20"/>
                <w:szCs w:val="24"/>
                <w:lang w:val="en-GB"/>
              </w:rPr>
            </w:pPr>
            <w:r w:rsidRPr="00222DF7">
              <w:rPr>
                <w:rFonts w:ascii="Times New Roman" w:hAnsi="Times New Roman" w:cs="Times New Roman"/>
                <w:b/>
                <w:i/>
                <w:sz w:val="20"/>
                <w:szCs w:val="24"/>
                <w:lang w:val="en-GB"/>
              </w:rPr>
              <w:t>Meets objectives a, b, c, d or e?</w:t>
            </w:r>
          </w:p>
        </w:tc>
        <w:tc>
          <w:tcPr>
            <w:tcW w:w="9629" w:type="dxa"/>
            <w:gridSpan w:val="4"/>
          </w:tcPr>
          <w:p w:rsidR="00222DF7" w:rsidRPr="00222DF7" w:rsidRDefault="00222DF7" w:rsidP="00222DF7">
            <w:pPr>
              <w:jc w:val="center"/>
              <w:rPr>
                <w:rFonts w:ascii="Times New Roman" w:hAnsi="Times New Roman" w:cs="Times New Roman"/>
                <w:b/>
                <w:i/>
                <w:sz w:val="20"/>
                <w:szCs w:val="24"/>
                <w:lang w:val="en-GB"/>
              </w:rPr>
            </w:pPr>
            <w:r w:rsidRPr="00222DF7">
              <w:rPr>
                <w:rFonts w:ascii="Times New Roman" w:hAnsi="Times New Roman" w:cs="Times New Roman"/>
                <w:b/>
                <w:i/>
                <w:sz w:val="20"/>
                <w:szCs w:val="24"/>
                <w:lang w:val="en-GB"/>
              </w:rPr>
              <w:t>Impacts</w:t>
            </w:r>
          </w:p>
        </w:tc>
        <w:tc>
          <w:tcPr>
            <w:tcW w:w="1730" w:type="dxa"/>
            <w:vMerge w:val="restart"/>
            <w:vAlign w:val="center"/>
          </w:tcPr>
          <w:p w:rsidR="00222DF7" w:rsidRPr="00222DF7" w:rsidRDefault="00222DF7" w:rsidP="00222DF7">
            <w:pPr>
              <w:jc w:val="both"/>
              <w:rPr>
                <w:rFonts w:ascii="Times New Roman" w:hAnsi="Times New Roman" w:cs="Times New Roman"/>
                <w:b/>
                <w:i/>
                <w:sz w:val="20"/>
                <w:szCs w:val="24"/>
                <w:lang w:val="en-GB"/>
              </w:rPr>
            </w:pPr>
            <w:r w:rsidRPr="00222DF7">
              <w:rPr>
                <w:rFonts w:ascii="Times New Roman" w:hAnsi="Times New Roman" w:cs="Times New Roman"/>
                <w:b/>
                <w:i/>
                <w:sz w:val="20"/>
                <w:szCs w:val="24"/>
                <w:lang w:val="en-GB"/>
              </w:rPr>
              <w:t>Net impact</w:t>
            </w:r>
          </w:p>
        </w:tc>
      </w:tr>
      <w:tr w:rsidR="00222DF7" w:rsidRPr="00222DF7" w:rsidTr="00B8123E">
        <w:trPr>
          <w:trHeight w:val="669"/>
        </w:trPr>
        <w:tc>
          <w:tcPr>
            <w:tcW w:w="1951" w:type="dxa"/>
            <w:vMerge/>
          </w:tcPr>
          <w:p w:rsidR="00222DF7" w:rsidRPr="00222DF7" w:rsidRDefault="00222DF7" w:rsidP="00222DF7">
            <w:pPr>
              <w:rPr>
                <w:rFonts w:ascii="Times New Roman" w:hAnsi="Times New Roman" w:cs="Times New Roman"/>
                <w:b/>
                <w:sz w:val="20"/>
                <w:szCs w:val="24"/>
                <w:lang w:val="en-GB"/>
              </w:rPr>
            </w:pPr>
          </w:p>
        </w:tc>
        <w:tc>
          <w:tcPr>
            <w:tcW w:w="1589" w:type="dxa"/>
            <w:vMerge/>
          </w:tcPr>
          <w:p w:rsidR="00222DF7" w:rsidRPr="00222DF7" w:rsidRDefault="00222DF7" w:rsidP="00222DF7">
            <w:pPr>
              <w:jc w:val="both"/>
              <w:rPr>
                <w:rFonts w:ascii="Times New Roman" w:hAnsi="Times New Roman" w:cs="Times New Roman"/>
                <w:sz w:val="20"/>
                <w:szCs w:val="24"/>
                <w:lang w:val="en-GB"/>
              </w:rPr>
            </w:pPr>
          </w:p>
        </w:tc>
        <w:tc>
          <w:tcPr>
            <w:tcW w:w="1376" w:type="dxa"/>
          </w:tcPr>
          <w:p w:rsidR="00222DF7" w:rsidRPr="00222DF7" w:rsidRDefault="00222DF7" w:rsidP="00222DF7">
            <w:pPr>
              <w:jc w:val="both"/>
              <w:rPr>
                <w:rFonts w:ascii="Times New Roman" w:hAnsi="Times New Roman" w:cs="Times New Roman"/>
                <w:b/>
                <w:i/>
                <w:sz w:val="20"/>
                <w:szCs w:val="24"/>
                <w:lang w:val="en-GB"/>
              </w:rPr>
            </w:pPr>
          </w:p>
        </w:tc>
        <w:tc>
          <w:tcPr>
            <w:tcW w:w="3075" w:type="dxa"/>
            <w:vAlign w:val="center"/>
          </w:tcPr>
          <w:p w:rsidR="00222DF7" w:rsidRPr="00222DF7" w:rsidRDefault="00222DF7" w:rsidP="00222DF7">
            <w:pPr>
              <w:jc w:val="both"/>
              <w:rPr>
                <w:rFonts w:ascii="Times New Roman" w:hAnsi="Times New Roman" w:cs="Times New Roman"/>
                <w:b/>
                <w:i/>
                <w:sz w:val="20"/>
                <w:szCs w:val="24"/>
                <w:lang w:val="en-GB"/>
              </w:rPr>
            </w:pPr>
            <w:r w:rsidRPr="00222DF7">
              <w:rPr>
                <w:rFonts w:ascii="Times New Roman" w:hAnsi="Times New Roman" w:cs="Times New Roman"/>
                <w:b/>
                <w:i/>
                <w:sz w:val="20"/>
                <w:szCs w:val="24"/>
                <w:lang w:val="en-GB"/>
              </w:rPr>
              <w:t>Fiscal/economic impact</w:t>
            </w:r>
          </w:p>
        </w:tc>
        <w:tc>
          <w:tcPr>
            <w:tcW w:w="2932" w:type="dxa"/>
            <w:vAlign w:val="center"/>
          </w:tcPr>
          <w:p w:rsidR="00222DF7" w:rsidRPr="00222DF7" w:rsidRDefault="00222DF7" w:rsidP="00222DF7">
            <w:pPr>
              <w:jc w:val="both"/>
              <w:rPr>
                <w:rFonts w:ascii="Times New Roman" w:hAnsi="Times New Roman" w:cs="Times New Roman"/>
                <w:b/>
                <w:i/>
                <w:sz w:val="20"/>
                <w:szCs w:val="24"/>
                <w:lang w:val="en-GB"/>
              </w:rPr>
            </w:pPr>
            <w:r w:rsidRPr="00222DF7">
              <w:rPr>
                <w:rFonts w:ascii="Times New Roman" w:hAnsi="Times New Roman" w:cs="Times New Roman"/>
                <w:b/>
                <w:i/>
                <w:sz w:val="20"/>
                <w:szCs w:val="24"/>
                <w:lang w:val="en-GB"/>
              </w:rPr>
              <w:t>Administrative and compliance impacts</w:t>
            </w:r>
          </w:p>
        </w:tc>
        <w:tc>
          <w:tcPr>
            <w:tcW w:w="2246" w:type="dxa"/>
            <w:tcBorders>
              <w:bottom w:val="single" w:sz="4" w:space="0" w:color="auto"/>
            </w:tcBorders>
            <w:vAlign w:val="center"/>
          </w:tcPr>
          <w:p w:rsidR="00222DF7" w:rsidRPr="00222DF7" w:rsidRDefault="00222DF7" w:rsidP="0050068E">
            <w:pPr>
              <w:rPr>
                <w:rFonts w:ascii="Times New Roman" w:hAnsi="Times New Roman" w:cs="Times New Roman"/>
                <w:b/>
                <w:i/>
                <w:sz w:val="20"/>
                <w:szCs w:val="24"/>
                <w:lang w:val="en-GB"/>
              </w:rPr>
            </w:pPr>
            <w:r w:rsidRPr="00222DF7">
              <w:rPr>
                <w:rFonts w:ascii="Times New Roman" w:hAnsi="Times New Roman" w:cs="Times New Roman"/>
                <w:b/>
                <w:i/>
                <w:sz w:val="20"/>
                <w:szCs w:val="24"/>
                <w:lang w:val="en-GB"/>
              </w:rPr>
              <w:t>Risks</w:t>
            </w:r>
          </w:p>
        </w:tc>
        <w:tc>
          <w:tcPr>
            <w:tcW w:w="1730" w:type="dxa"/>
            <w:vMerge/>
            <w:tcBorders>
              <w:bottom w:val="single" w:sz="4" w:space="0" w:color="auto"/>
            </w:tcBorders>
          </w:tcPr>
          <w:p w:rsidR="00222DF7" w:rsidRPr="00222DF7" w:rsidRDefault="00222DF7" w:rsidP="00222DF7">
            <w:pPr>
              <w:jc w:val="both"/>
              <w:rPr>
                <w:rFonts w:ascii="Times New Roman" w:hAnsi="Times New Roman" w:cs="Times New Roman"/>
                <w:sz w:val="20"/>
                <w:szCs w:val="24"/>
                <w:lang w:val="en-GB"/>
              </w:rPr>
            </w:pPr>
          </w:p>
        </w:tc>
      </w:tr>
      <w:tr w:rsidR="00222DF7" w:rsidRPr="00222DF7" w:rsidTr="00B8123E">
        <w:trPr>
          <w:trHeight w:val="615"/>
        </w:trPr>
        <w:tc>
          <w:tcPr>
            <w:tcW w:w="1951" w:type="dxa"/>
            <w:vMerge w:val="restart"/>
          </w:tcPr>
          <w:p w:rsidR="00222DF7" w:rsidRPr="00DE0B2E" w:rsidRDefault="00222DF7" w:rsidP="00222DF7">
            <w:pPr>
              <w:rPr>
                <w:rFonts w:ascii="Times New Roman" w:hAnsi="Times New Roman" w:cs="Times New Roman"/>
                <w:b/>
                <w:sz w:val="20"/>
                <w:szCs w:val="24"/>
                <w:lang w:val="en-GB"/>
              </w:rPr>
            </w:pPr>
            <w:r w:rsidRPr="00222DF7">
              <w:rPr>
                <w:rFonts w:ascii="Times New Roman" w:hAnsi="Times New Roman" w:cs="Times New Roman"/>
                <w:b/>
                <w:sz w:val="20"/>
                <w:szCs w:val="24"/>
                <w:lang w:val="en-GB"/>
              </w:rPr>
              <w:t>1 –</w:t>
            </w:r>
            <w:r w:rsidR="00DE0B2E">
              <w:rPr>
                <w:rFonts w:ascii="Times New Roman" w:hAnsi="Times New Roman" w:cs="Times New Roman"/>
                <w:b/>
                <w:sz w:val="20"/>
                <w:szCs w:val="24"/>
                <w:lang w:val="en-GB"/>
              </w:rPr>
              <w:t xml:space="preserve"> Accommodation supplement</w:t>
            </w:r>
          </w:p>
        </w:tc>
        <w:tc>
          <w:tcPr>
            <w:tcW w:w="1589" w:type="dxa"/>
            <w:vMerge w:val="restart"/>
          </w:tcPr>
          <w:p w:rsidR="00222DF7" w:rsidRDefault="00FF449F" w:rsidP="00DE0B2E">
            <w:pPr>
              <w:rPr>
                <w:rFonts w:ascii="Times New Roman" w:hAnsi="Times New Roman" w:cs="Times New Roman"/>
                <w:sz w:val="20"/>
                <w:szCs w:val="24"/>
                <w:lang w:val="en-GB"/>
              </w:rPr>
            </w:pPr>
            <w:r>
              <w:rPr>
                <w:rFonts w:ascii="Times New Roman" w:hAnsi="Times New Roman" w:cs="Times New Roman"/>
                <w:sz w:val="20"/>
                <w:szCs w:val="24"/>
                <w:lang w:val="en-GB"/>
              </w:rPr>
              <w:t>Partial</w:t>
            </w:r>
            <w:r w:rsidR="00314CFD">
              <w:rPr>
                <w:rFonts w:ascii="Times New Roman" w:hAnsi="Times New Roman" w:cs="Times New Roman"/>
                <w:sz w:val="20"/>
                <w:szCs w:val="24"/>
                <w:lang w:val="en-GB"/>
              </w:rPr>
              <w:t>ly</w:t>
            </w:r>
            <w:r>
              <w:rPr>
                <w:rFonts w:ascii="Times New Roman" w:hAnsi="Times New Roman" w:cs="Times New Roman"/>
                <w:sz w:val="20"/>
                <w:szCs w:val="24"/>
                <w:lang w:val="en-GB"/>
              </w:rPr>
              <w:t xml:space="preserve"> </w:t>
            </w:r>
            <w:r w:rsidR="00314CFD">
              <w:rPr>
                <w:rFonts w:ascii="Times New Roman" w:hAnsi="Times New Roman" w:cs="Times New Roman"/>
                <w:sz w:val="20"/>
                <w:szCs w:val="24"/>
                <w:lang w:val="en-GB"/>
              </w:rPr>
              <w:t>meets</w:t>
            </w:r>
            <w:r>
              <w:rPr>
                <w:rFonts w:ascii="Times New Roman" w:hAnsi="Times New Roman" w:cs="Times New Roman"/>
                <w:sz w:val="20"/>
                <w:szCs w:val="24"/>
                <w:lang w:val="en-GB"/>
              </w:rPr>
              <w:t xml:space="preserve"> </w:t>
            </w:r>
            <w:r w:rsidR="00222DF7">
              <w:rPr>
                <w:rFonts w:ascii="Times New Roman" w:hAnsi="Times New Roman" w:cs="Times New Roman"/>
                <w:sz w:val="20"/>
                <w:szCs w:val="24"/>
                <w:lang w:val="en-GB"/>
              </w:rPr>
              <w:t>a</w:t>
            </w:r>
            <w:r w:rsidR="00314CFD">
              <w:rPr>
                <w:rFonts w:ascii="Times New Roman" w:hAnsi="Times New Roman" w:cs="Times New Roman"/>
                <w:sz w:val="20"/>
                <w:szCs w:val="24"/>
                <w:lang w:val="en-GB"/>
              </w:rPr>
              <w:t>.</w:t>
            </w:r>
            <w:r w:rsidR="00DE0B2E">
              <w:rPr>
                <w:rFonts w:ascii="Times New Roman" w:hAnsi="Times New Roman" w:cs="Times New Roman"/>
                <w:sz w:val="20"/>
                <w:szCs w:val="24"/>
                <w:lang w:val="en-GB"/>
              </w:rPr>
              <w:t xml:space="preserve"> </w:t>
            </w:r>
          </w:p>
          <w:p w:rsidR="00222DF7" w:rsidRPr="00222DF7" w:rsidRDefault="00314CFD" w:rsidP="00DE0B2E">
            <w:pPr>
              <w:rPr>
                <w:rFonts w:ascii="Times New Roman" w:hAnsi="Times New Roman" w:cs="Times New Roman"/>
                <w:sz w:val="20"/>
                <w:szCs w:val="24"/>
                <w:lang w:val="en-GB"/>
              </w:rPr>
            </w:pPr>
            <w:r>
              <w:rPr>
                <w:rFonts w:ascii="Times New Roman" w:hAnsi="Times New Roman" w:cs="Times New Roman"/>
                <w:sz w:val="20"/>
                <w:szCs w:val="24"/>
                <w:lang w:val="en-GB"/>
              </w:rPr>
              <w:t xml:space="preserve">Fully meets </w:t>
            </w:r>
            <w:r w:rsidR="00DE0B2E">
              <w:rPr>
                <w:rFonts w:ascii="Times New Roman" w:hAnsi="Times New Roman" w:cs="Times New Roman"/>
                <w:sz w:val="20"/>
                <w:szCs w:val="24"/>
                <w:lang w:val="en-GB"/>
              </w:rPr>
              <w:t>b, and c</w:t>
            </w:r>
            <w:r>
              <w:rPr>
                <w:rFonts w:ascii="Times New Roman" w:hAnsi="Times New Roman" w:cs="Times New Roman"/>
                <w:sz w:val="20"/>
                <w:szCs w:val="24"/>
                <w:lang w:val="en-GB"/>
              </w:rPr>
              <w:t>.</w:t>
            </w:r>
            <w:r w:rsidR="00DE0B2E">
              <w:rPr>
                <w:rFonts w:ascii="Times New Roman" w:hAnsi="Times New Roman" w:cs="Times New Roman"/>
                <w:sz w:val="20"/>
                <w:szCs w:val="24"/>
                <w:lang w:val="en-GB"/>
              </w:rPr>
              <w:t xml:space="preserve"> </w:t>
            </w:r>
          </w:p>
        </w:tc>
        <w:tc>
          <w:tcPr>
            <w:tcW w:w="1376" w:type="dxa"/>
          </w:tcPr>
          <w:p w:rsidR="00222DF7" w:rsidRPr="00222DF7" w:rsidRDefault="00222DF7" w:rsidP="00DE0B2E">
            <w:pPr>
              <w:rPr>
                <w:rFonts w:ascii="Times New Roman" w:hAnsi="Times New Roman" w:cs="Times New Roman"/>
                <w:sz w:val="20"/>
                <w:szCs w:val="24"/>
                <w:lang w:val="en-GB"/>
              </w:rPr>
            </w:pPr>
            <w:r w:rsidRPr="00222DF7">
              <w:rPr>
                <w:rFonts w:ascii="Times New Roman" w:hAnsi="Times New Roman" w:cs="Times New Roman"/>
                <w:sz w:val="20"/>
                <w:szCs w:val="24"/>
                <w:lang w:val="en-GB"/>
              </w:rPr>
              <w:t>Tax system</w:t>
            </w:r>
          </w:p>
        </w:tc>
        <w:tc>
          <w:tcPr>
            <w:tcW w:w="3075" w:type="dxa"/>
          </w:tcPr>
          <w:p w:rsidR="00222DF7" w:rsidRPr="00222DF7" w:rsidRDefault="00DE0B2E" w:rsidP="00DE0B2E">
            <w:pPr>
              <w:rPr>
                <w:rFonts w:ascii="Times New Roman" w:hAnsi="Times New Roman" w:cs="Times New Roman"/>
                <w:sz w:val="20"/>
                <w:szCs w:val="24"/>
                <w:lang w:val="en-GB"/>
              </w:rPr>
            </w:pPr>
            <w:r>
              <w:rPr>
                <w:rFonts w:ascii="Times New Roman" w:hAnsi="Times New Roman" w:cs="Times New Roman"/>
                <w:sz w:val="20"/>
                <w:szCs w:val="24"/>
              </w:rPr>
              <w:t>Additional f</w:t>
            </w:r>
            <w:r w:rsidR="00222DF7" w:rsidRPr="00222DF7">
              <w:rPr>
                <w:rFonts w:ascii="Times New Roman" w:hAnsi="Times New Roman" w:cs="Times New Roman"/>
                <w:sz w:val="20"/>
                <w:szCs w:val="24"/>
              </w:rPr>
              <w:t>iscal cost of $500,000</w:t>
            </w:r>
            <w:r w:rsidR="0084417A">
              <w:rPr>
                <w:rFonts w:ascii="Times New Roman" w:hAnsi="Times New Roman" w:cs="Times New Roman"/>
                <w:sz w:val="20"/>
                <w:szCs w:val="24"/>
              </w:rPr>
              <w:t xml:space="preserve"> p</w:t>
            </w:r>
            <w:r w:rsidR="00FF449F">
              <w:rPr>
                <w:rFonts w:ascii="Times New Roman" w:hAnsi="Times New Roman" w:cs="Times New Roman"/>
                <w:sz w:val="20"/>
                <w:szCs w:val="24"/>
              </w:rPr>
              <w:t xml:space="preserve">er </w:t>
            </w:r>
            <w:r w:rsidR="0084417A">
              <w:rPr>
                <w:rFonts w:ascii="Times New Roman" w:hAnsi="Times New Roman" w:cs="Times New Roman"/>
                <w:sz w:val="20"/>
                <w:szCs w:val="24"/>
              </w:rPr>
              <w:t>a</w:t>
            </w:r>
            <w:r w:rsidR="00FF449F">
              <w:rPr>
                <w:rFonts w:ascii="Times New Roman" w:hAnsi="Times New Roman" w:cs="Times New Roman"/>
                <w:sz w:val="20"/>
                <w:szCs w:val="24"/>
              </w:rPr>
              <w:t>nnum</w:t>
            </w:r>
            <w:r w:rsidR="00314CFD">
              <w:rPr>
                <w:rFonts w:ascii="Times New Roman" w:hAnsi="Times New Roman" w:cs="Times New Roman"/>
                <w:sz w:val="20"/>
                <w:szCs w:val="24"/>
              </w:rPr>
              <w:t>.</w:t>
            </w:r>
          </w:p>
        </w:tc>
        <w:tc>
          <w:tcPr>
            <w:tcW w:w="2932" w:type="dxa"/>
            <w:tcBorders>
              <w:right w:val="single" w:sz="4" w:space="0" w:color="auto"/>
            </w:tcBorders>
          </w:tcPr>
          <w:p w:rsidR="00222DF7" w:rsidRPr="00222DF7" w:rsidRDefault="00222DF7" w:rsidP="00DE0B2E">
            <w:pPr>
              <w:rPr>
                <w:rFonts w:ascii="Times New Roman" w:hAnsi="Times New Roman" w:cs="Times New Roman"/>
                <w:sz w:val="20"/>
                <w:szCs w:val="24"/>
                <w:lang w:val="en-GB"/>
              </w:rPr>
            </w:pPr>
            <w:r w:rsidRPr="00222DF7">
              <w:rPr>
                <w:rFonts w:ascii="Times New Roman" w:hAnsi="Times New Roman" w:cs="Times New Roman"/>
                <w:sz w:val="20"/>
                <w:szCs w:val="24"/>
                <w:lang w:val="en-GB"/>
              </w:rPr>
              <w:t xml:space="preserve">No additional administrative costs </w:t>
            </w:r>
            <w:r w:rsidR="008241FD">
              <w:rPr>
                <w:rFonts w:ascii="Times New Roman" w:hAnsi="Times New Roman" w:cs="Times New Roman"/>
                <w:sz w:val="20"/>
                <w:szCs w:val="24"/>
                <w:lang w:val="en-GB"/>
              </w:rPr>
              <w:t>– this option is as complex as the status quo</w:t>
            </w:r>
            <w:r w:rsidR="00314CFD">
              <w:rPr>
                <w:rFonts w:ascii="Times New Roman" w:hAnsi="Times New Roman" w:cs="Times New Roman"/>
                <w:sz w:val="20"/>
                <w:szCs w:val="24"/>
                <w:lang w:val="en-GB"/>
              </w:rPr>
              <w:t>.</w:t>
            </w:r>
          </w:p>
        </w:tc>
        <w:tc>
          <w:tcPr>
            <w:tcW w:w="2246" w:type="dxa"/>
            <w:vMerge w:val="restart"/>
            <w:tcBorders>
              <w:top w:val="single" w:sz="4" w:space="0" w:color="auto"/>
              <w:left w:val="single" w:sz="4" w:space="0" w:color="auto"/>
              <w:right w:val="single" w:sz="4" w:space="0" w:color="auto"/>
            </w:tcBorders>
          </w:tcPr>
          <w:p w:rsidR="00222DF7" w:rsidRPr="00222DF7" w:rsidRDefault="00E92DEB" w:rsidP="00E92DEB">
            <w:pPr>
              <w:rPr>
                <w:rFonts w:ascii="Times New Roman" w:hAnsi="Times New Roman" w:cs="Times New Roman"/>
                <w:sz w:val="20"/>
                <w:szCs w:val="24"/>
                <w:lang w:val="en-GB"/>
              </w:rPr>
            </w:pPr>
            <w:r>
              <w:rPr>
                <w:rFonts w:ascii="Times New Roman" w:hAnsi="Times New Roman" w:cs="Times New Roman"/>
                <w:sz w:val="20"/>
                <w:szCs w:val="24"/>
                <w:lang w:val="en-GB"/>
              </w:rPr>
              <w:t xml:space="preserve">Medium risk of some </w:t>
            </w:r>
            <w:r w:rsidR="00222DF7">
              <w:rPr>
                <w:rFonts w:ascii="Times New Roman" w:hAnsi="Times New Roman" w:cs="Times New Roman"/>
                <w:sz w:val="20"/>
                <w:szCs w:val="24"/>
                <w:lang w:val="en-GB"/>
              </w:rPr>
              <w:t xml:space="preserve">affected housing providers </w:t>
            </w:r>
            <w:r>
              <w:rPr>
                <w:rFonts w:ascii="Times New Roman" w:hAnsi="Times New Roman" w:cs="Times New Roman"/>
                <w:sz w:val="20"/>
                <w:szCs w:val="24"/>
                <w:lang w:val="en-GB"/>
              </w:rPr>
              <w:t>being in</w:t>
            </w:r>
            <w:r w:rsidR="00222DF7">
              <w:rPr>
                <w:rFonts w:ascii="Times New Roman" w:hAnsi="Times New Roman" w:cs="Times New Roman"/>
                <w:sz w:val="20"/>
                <w:szCs w:val="24"/>
                <w:lang w:val="en-GB"/>
              </w:rPr>
              <w:t xml:space="preserve">eligible for the income tax exemption and </w:t>
            </w:r>
            <w:proofErr w:type="spellStart"/>
            <w:r w:rsidR="00222DF7">
              <w:rPr>
                <w:rFonts w:ascii="Times New Roman" w:hAnsi="Times New Roman" w:cs="Times New Roman"/>
                <w:sz w:val="20"/>
                <w:szCs w:val="24"/>
                <w:lang w:val="en-GB"/>
              </w:rPr>
              <w:t>donee</w:t>
            </w:r>
            <w:proofErr w:type="spellEnd"/>
            <w:r w:rsidR="00222DF7">
              <w:rPr>
                <w:rFonts w:ascii="Times New Roman" w:hAnsi="Times New Roman" w:cs="Times New Roman"/>
                <w:sz w:val="20"/>
                <w:szCs w:val="24"/>
                <w:lang w:val="en-GB"/>
              </w:rPr>
              <w:t xml:space="preserve"> status</w:t>
            </w:r>
            <w:r w:rsidR="0050068E">
              <w:rPr>
                <w:rFonts w:ascii="Times New Roman" w:hAnsi="Times New Roman" w:cs="Times New Roman"/>
                <w:sz w:val="20"/>
                <w:szCs w:val="24"/>
                <w:lang w:val="en-GB"/>
              </w:rPr>
              <w:t xml:space="preserve"> if the income threshold is linked to accommodation supplement income </w:t>
            </w:r>
            <w:r w:rsidR="00FF449F">
              <w:rPr>
                <w:rFonts w:ascii="Times New Roman" w:hAnsi="Times New Roman" w:cs="Times New Roman"/>
                <w:sz w:val="20"/>
                <w:szCs w:val="24"/>
                <w:lang w:val="en-GB"/>
              </w:rPr>
              <w:t>levels</w:t>
            </w:r>
            <w:r w:rsidR="00314CFD">
              <w:rPr>
                <w:rFonts w:ascii="Times New Roman" w:hAnsi="Times New Roman" w:cs="Times New Roman"/>
                <w:sz w:val="20"/>
                <w:szCs w:val="24"/>
                <w:lang w:val="en-GB"/>
              </w:rPr>
              <w:t>.</w:t>
            </w:r>
          </w:p>
        </w:tc>
        <w:tc>
          <w:tcPr>
            <w:tcW w:w="1730" w:type="dxa"/>
            <w:vMerge w:val="restart"/>
            <w:tcBorders>
              <w:top w:val="single" w:sz="4" w:space="0" w:color="auto"/>
              <w:left w:val="single" w:sz="4" w:space="0" w:color="auto"/>
              <w:right w:val="single" w:sz="4" w:space="0" w:color="auto"/>
            </w:tcBorders>
          </w:tcPr>
          <w:p w:rsidR="00ED4FFE" w:rsidRPr="00222DF7" w:rsidRDefault="00222DF7" w:rsidP="00E92DEB">
            <w:pPr>
              <w:rPr>
                <w:rFonts w:ascii="Times New Roman" w:hAnsi="Times New Roman" w:cs="Times New Roman"/>
                <w:sz w:val="20"/>
                <w:szCs w:val="24"/>
                <w:lang w:val="en-GB"/>
              </w:rPr>
            </w:pPr>
            <w:r>
              <w:rPr>
                <w:rFonts w:ascii="Times New Roman" w:hAnsi="Times New Roman" w:cs="Times New Roman"/>
                <w:sz w:val="20"/>
                <w:szCs w:val="24"/>
                <w:lang w:val="en-GB"/>
              </w:rPr>
              <w:t xml:space="preserve">Does not address the problem definition and </w:t>
            </w:r>
            <w:r w:rsidR="00ED4FFE">
              <w:rPr>
                <w:rFonts w:ascii="Times New Roman" w:hAnsi="Times New Roman" w:cs="Times New Roman"/>
                <w:sz w:val="20"/>
                <w:szCs w:val="24"/>
                <w:lang w:val="en-GB"/>
              </w:rPr>
              <w:t xml:space="preserve">meets </w:t>
            </w:r>
            <w:r w:rsidR="00E92DEB">
              <w:rPr>
                <w:rFonts w:ascii="Times New Roman" w:hAnsi="Times New Roman" w:cs="Times New Roman"/>
                <w:sz w:val="20"/>
                <w:szCs w:val="24"/>
                <w:lang w:val="en-GB"/>
              </w:rPr>
              <w:t>three</w:t>
            </w:r>
            <w:r w:rsidR="00ED4FFE">
              <w:rPr>
                <w:rFonts w:ascii="Times New Roman" w:hAnsi="Times New Roman" w:cs="Times New Roman"/>
                <w:sz w:val="20"/>
                <w:szCs w:val="24"/>
                <w:lang w:val="en-GB"/>
              </w:rPr>
              <w:t xml:space="preserve"> of the five </w:t>
            </w:r>
            <w:r>
              <w:rPr>
                <w:rFonts w:ascii="Times New Roman" w:hAnsi="Times New Roman" w:cs="Times New Roman"/>
                <w:sz w:val="20"/>
                <w:szCs w:val="24"/>
                <w:lang w:val="en-GB"/>
              </w:rPr>
              <w:t>objectives</w:t>
            </w:r>
            <w:r w:rsidR="00314CFD">
              <w:rPr>
                <w:rFonts w:ascii="Times New Roman" w:hAnsi="Times New Roman" w:cs="Times New Roman"/>
                <w:sz w:val="20"/>
                <w:szCs w:val="24"/>
                <w:lang w:val="en-GB"/>
              </w:rPr>
              <w:t>.</w:t>
            </w:r>
          </w:p>
        </w:tc>
      </w:tr>
      <w:tr w:rsidR="00222DF7" w:rsidRPr="00222DF7" w:rsidTr="00B8123E">
        <w:trPr>
          <w:trHeight w:val="682"/>
        </w:trPr>
        <w:tc>
          <w:tcPr>
            <w:tcW w:w="1951" w:type="dxa"/>
            <w:vMerge/>
            <w:tcBorders>
              <w:bottom w:val="single" w:sz="4" w:space="0" w:color="auto"/>
            </w:tcBorders>
          </w:tcPr>
          <w:p w:rsidR="00222DF7" w:rsidRPr="00222DF7" w:rsidRDefault="00222DF7" w:rsidP="00222DF7">
            <w:pPr>
              <w:rPr>
                <w:rFonts w:ascii="Times New Roman" w:hAnsi="Times New Roman" w:cs="Times New Roman"/>
                <w:b/>
                <w:sz w:val="20"/>
                <w:szCs w:val="24"/>
                <w:lang w:val="en-GB"/>
              </w:rPr>
            </w:pPr>
          </w:p>
        </w:tc>
        <w:tc>
          <w:tcPr>
            <w:tcW w:w="1589" w:type="dxa"/>
            <w:vMerge/>
            <w:tcBorders>
              <w:bottom w:val="single" w:sz="4" w:space="0" w:color="auto"/>
            </w:tcBorders>
          </w:tcPr>
          <w:p w:rsidR="00222DF7" w:rsidRPr="00222DF7" w:rsidRDefault="00222DF7" w:rsidP="00DE0B2E">
            <w:pPr>
              <w:rPr>
                <w:rFonts w:ascii="Times New Roman" w:hAnsi="Times New Roman" w:cs="Times New Roman"/>
                <w:sz w:val="20"/>
                <w:szCs w:val="24"/>
                <w:lang w:val="en-GB"/>
              </w:rPr>
            </w:pPr>
          </w:p>
        </w:tc>
        <w:tc>
          <w:tcPr>
            <w:tcW w:w="1376" w:type="dxa"/>
            <w:tcBorders>
              <w:bottom w:val="single" w:sz="4" w:space="0" w:color="auto"/>
            </w:tcBorders>
          </w:tcPr>
          <w:p w:rsidR="00222DF7" w:rsidRPr="00222DF7" w:rsidRDefault="00DE0B2E" w:rsidP="00DE0B2E">
            <w:pPr>
              <w:rPr>
                <w:rFonts w:ascii="Times New Roman" w:hAnsi="Times New Roman" w:cs="Times New Roman"/>
                <w:sz w:val="20"/>
                <w:szCs w:val="24"/>
                <w:lang w:val="en-GB"/>
              </w:rPr>
            </w:pPr>
            <w:r>
              <w:rPr>
                <w:rFonts w:ascii="Times New Roman" w:hAnsi="Times New Roman" w:cs="Times New Roman"/>
                <w:sz w:val="20"/>
                <w:szCs w:val="24"/>
                <w:lang w:val="en-GB"/>
              </w:rPr>
              <w:t>CHE</w:t>
            </w:r>
            <w:r w:rsidR="00222DF7" w:rsidRPr="00222DF7">
              <w:rPr>
                <w:rFonts w:ascii="Times New Roman" w:hAnsi="Times New Roman" w:cs="Times New Roman"/>
                <w:sz w:val="20"/>
                <w:szCs w:val="24"/>
                <w:lang w:val="en-GB"/>
              </w:rPr>
              <w:t>s</w:t>
            </w:r>
          </w:p>
        </w:tc>
        <w:tc>
          <w:tcPr>
            <w:tcW w:w="3075" w:type="dxa"/>
            <w:tcBorders>
              <w:bottom w:val="single" w:sz="4" w:space="0" w:color="auto"/>
            </w:tcBorders>
          </w:tcPr>
          <w:p w:rsidR="00222DF7" w:rsidRPr="00222DF7" w:rsidRDefault="00B8123E" w:rsidP="00FF449F">
            <w:pPr>
              <w:rPr>
                <w:rFonts w:ascii="Times New Roman" w:hAnsi="Times New Roman" w:cs="Times New Roman"/>
                <w:sz w:val="20"/>
                <w:szCs w:val="24"/>
                <w:lang w:val="en-GB"/>
              </w:rPr>
            </w:pPr>
            <w:r w:rsidRPr="00B8123E">
              <w:rPr>
                <w:rFonts w:ascii="Times New Roman" w:hAnsi="Times New Roman" w:cs="Times New Roman"/>
                <w:sz w:val="20"/>
                <w:szCs w:val="24"/>
                <w:lang w:val="en-GB"/>
              </w:rPr>
              <w:t xml:space="preserve">Some affected housing providers will have future tax costs because their recipients will be on </w:t>
            </w:r>
            <w:r w:rsidR="00FF449F">
              <w:rPr>
                <w:rFonts w:ascii="Times New Roman" w:hAnsi="Times New Roman" w:cs="Times New Roman"/>
                <w:sz w:val="20"/>
                <w:szCs w:val="24"/>
                <w:lang w:val="en-GB"/>
              </w:rPr>
              <w:t>incomes above the threshold</w:t>
            </w:r>
            <w:r w:rsidR="00314CFD">
              <w:rPr>
                <w:rFonts w:ascii="Times New Roman" w:hAnsi="Times New Roman" w:cs="Times New Roman"/>
                <w:sz w:val="20"/>
                <w:szCs w:val="24"/>
                <w:lang w:val="en-GB"/>
              </w:rPr>
              <w:t>.</w:t>
            </w:r>
          </w:p>
        </w:tc>
        <w:tc>
          <w:tcPr>
            <w:tcW w:w="2932" w:type="dxa"/>
            <w:tcBorders>
              <w:bottom w:val="single" w:sz="4" w:space="0" w:color="auto"/>
              <w:right w:val="single" w:sz="4" w:space="0" w:color="auto"/>
            </w:tcBorders>
          </w:tcPr>
          <w:p w:rsidR="00222DF7" w:rsidRPr="00222DF7" w:rsidRDefault="00222DF7" w:rsidP="00DE0B2E">
            <w:pPr>
              <w:rPr>
                <w:rFonts w:ascii="Times New Roman" w:hAnsi="Times New Roman" w:cs="Times New Roman"/>
                <w:sz w:val="20"/>
                <w:szCs w:val="24"/>
                <w:lang w:val="en-GB"/>
              </w:rPr>
            </w:pPr>
            <w:r w:rsidRPr="00222DF7">
              <w:rPr>
                <w:rFonts w:ascii="Times New Roman" w:hAnsi="Times New Roman" w:cs="Times New Roman"/>
                <w:sz w:val="20"/>
                <w:szCs w:val="24"/>
                <w:lang w:val="en-GB"/>
              </w:rPr>
              <w:t xml:space="preserve">No additional </w:t>
            </w:r>
            <w:r>
              <w:rPr>
                <w:rFonts w:ascii="Times New Roman" w:hAnsi="Times New Roman" w:cs="Times New Roman"/>
                <w:sz w:val="20"/>
                <w:szCs w:val="24"/>
                <w:lang w:val="en-GB"/>
              </w:rPr>
              <w:t>compliance costs</w:t>
            </w:r>
            <w:r w:rsidR="008241FD">
              <w:rPr>
                <w:rFonts w:ascii="Times New Roman" w:hAnsi="Times New Roman" w:cs="Times New Roman"/>
                <w:sz w:val="20"/>
                <w:szCs w:val="24"/>
                <w:lang w:val="en-GB"/>
              </w:rPr>
              <w:t xml:space="preserve"> – this option is as complex as the status quo</w:t>
            </w:r>
            <w:r w:rsidR="00314CFD">
              <w:rPr>
                <w:rFonts w:ascii="Times New Roman" w:hAnsi="Times New Roman" w:cs="Times New Roman"/>
                <w:sz w:val="20"/>
                <w:szCs w:val="24"/>
                <w:lang w:val="en-GB"/>
              </w:rPr>
              <w:t>.</w:t>
            </w:r>
          </w:p>
        </w:tc>
        <w:tc>
          <w:tcPr>
            <w:tcW w:w="2246" w:type="dxa"/>
            <w:vMerge/>
            <w:tcBorders>
              <w:left w:val="single" w:sz="4" w:space="0" w:color="auto"/>
              <w:bottom w:val="single" w:sz="4" w:space="0" w:color="auto"/>
              <w:right w:val="single" w:sz="4" w:space="0" w:color="auto"/>
            </w:tcBorders>
          </w:tcPr>
          <w:p w:rsidR="00222DF7" w:rsidRPr="00222DF7" w:rsidRDefault="00222DF7" w:rsidP="0050068E">
            <w:pPr>
              <w:rPr>
                <w:rFonts w:ascii="Times New Roman" w:hAnsi="Times New Roman" w:cs="Times New Roman"/>
                <w:sz w:val="20"/>
                <w:szCs w:val="24"/>
                <w:lang w:val="en-GB"/>
              </w:rPr>
            </w:pPr>
          </w:p>
        </w:tc>
        <w:tc>
          <w:tcPr>
            <w:tcW w:w="1730" w:type="dxa"/>
            <w:vMerge/>
            <w:tcBorders>
              <w:left w:val="single" w:sz="4" w:space="0" w:color="auto"/>
              <w:bottom w:val="single" w:sz="4" w:space="0" w:color="auto"/>
              <w:right w:val="single" w:sz="4" w:space="0" w:color="auto"/>
            </w:tcBorders>
          </w:tcPr>
          <w:p w:rsidR="00222DF7" w:rsidRPr="00222DF7" w:rsidRDefault="00222DF7" w:rsidP="0050068E">
            <w:pPr>
              <w:rPr>
                <w:rFonts w:ascii="Times New Roman" w:hAnsi="Times New Roman" w:cs="Times New Roman"/>
                <w:sz w:val="20"/>
                <w:szCs w:val="24"/>
                <w:lang w:val="en-GB"/>
              </w:rPr>
            </w:pPr>
          </w:p>
        </w:tc>
      </w:tr>
      <w:tr w:rsidR="00222DF7" w:rsidRPr="00222DF7" w:rsidTr="00B8123E">
        <w:trPr>
          <w:trHeight w:val="410"/>
        </w:trPr>
        <w:tc>
          <w:tcPr>
            <w:tcW w:w="1951" w:type="dxa"/>
            <w:vMerge w:val="restart"/>
            <w:tcBorders>
              <w:top w:val="single" w:sz="4" w:space="0" w:color="auto"/>
              <w:left w:val="single" w:sz="4" w:space="0" w:color="auto"/>
            </w:tcBorders>
          </w:tcPr>
          <w:p w:rsidR="00222DF7" w:rsidRPr="00222DF7" w:rsidRDefault="00222DF7" w:rsidP="00222DF7">
            <w:pPr>
              <w:rPr>
                <w:rFonts w:ascii="Times New Roman" w:hAnsi="Times New Roman" w:cs="Times New Roman"/>
                <w:b/>
                <w:sz w:val="20"/>
                <w:szCs w:val="24"/>
                <w:lang w:val="en-GB"/>
              </w:rPr>
            </w:pPr>
            <w:r>
              <w:rPr>
                <w:rFonts w:ascii="Times New Roman" w:hAnsi="Times New Roman" w:cs="Times New Roman"/>
                <w:b/>
                <w:sz w:val="20"/>
                <w:szCs w:val="24"/>
                <w:lang w:val="en-GB"/>
              </w:rPr>
              <w:t xml:space="preserve">2 – </w:t>
            </w:r>
            <w:proofErr w:type="spellStart"/>
            <w:r>
              <w:rPr>
                <w:rFonts w:ascii="Times New Roman" w:hAnsi="Times New Roman" w:cs="Times New Roman"/>
                <w:b/>
                <w:sz w:val="20"/>
                <w:szCs w:val="24"/>
                <w:lang w:val="en-GB"/>
              </w:rPr>
              <w:t>KiwiSaver</w:t>
            </w:r>
            <w:proofErr w:type="spellEnd"/>
            <w:r>
              <w:rPr>
                <w:rFonts w:ascii="Times New Roman" w:hAnsi="Times New Roman" w:cs="Times New Roman"/>
                <w:b/>
                <w:sz w:val="20"/>
                <w:szCs w:val="24"/>
                <w:lang w:val="en-GB"/>
              </w:rPr>
              <w:t xml:space="preserve"> </w:t>
            </w:r>
            <w:proofErr w:type="spellStart"/>
            <w:r>
              <w:rPr>
                <w:rFonts w:ascii="Times New Roman" w:hAnsi="Times New Roman" w:cs="Times New Roman"/>
                <w:b/>
                <w:sz w:val="20"/>
                <w:szCs w:val="24"/>
                <w:lang w:val="en-GB"/>
              </w:rPr>
              <w:t>HomeStart</w:t>
            </w:r>
            <w:proofErr w:type="spellEnd"/>
          </w:p>
        </w:tc>
        <w:tc>
          <w:tcPr>
            <w:tcW w:w="1589" w:type="dxa"/>
            <w:vMerge w:val="restart"/>
            <w:tcBorders>
              <w:top w:val="single" w:sz="4" w:space="0" w:color="auto"/>
            </w:tcBorders>
          </w:tcPr>
          <w:p w:rsidR="00314CFD" w:rsidRDefault="00314CFD" w:rsidP="00DE0B2E">
            <w:pPr>
              <w:rPr>
                <w:rFonts w:ascii="Times New Roman" w:hAnsi="Times New Roman" w:cs="Times New Roman"/>
                <w:sz w:val="20"/>
                <w:szCs w:val="24"/>
                <w:lang w:val="en-GB"/>
              </w:rPr>
            </w:pPr>
            <w:r>
              <w:rPr>
                <w:rFonts w:ascii="Times New Roman" w:hAnsi="Times New Roman" w:cs="Times New Roman"/>
                <w:sz w:val="20"/>
                <w:szCs w:val="24"/>
                <w:lang w:val="en-GB"/>
              </w:rPr>
              <w:t>Partially meets c.</w:t>
            </w:r>
          </w:p>
          <w:p w:rsidR="00314CFD" w:rsidRDefault="00314CFD" w:rsidP="00DE0B2E">
            <w:pPr>
              <w:rPr>
                <w:rFonts w:ascii="Times New Roman" w:hAnsi="Times New Roman" w:cs="Times New Roman"/>
                <w:sz w:val="20"/>
                <w:szCs w:val="24"/>
                <w:lang w:val="en-GB"/>
              </w:rPr>
            </w:pPr>
          </w:p>
          <w:p w:rsidR="00222DF7" w:rsidRPr="00222DF7" w:rsidRDefault="00314CFD" w:rsidP="00DE0B2E">
            <w:pPr>
              <w:rPr>
                <w:rFonts w:ascii="Times New Roman" w:hAnsi="Times New Roman" w:cs="Times New Roman"/>
                <w:sz w:val="20"/>
                <w:szCs w:val="24"/>
                <w:lang w:val="en-GB"/>
              </w:rPr>
            </w:pPr>
            <w:r>
              <w:rPr>
                <w:rFonts w:ascii="Times New Roman" w:hAnsi="Times New Roman" w:cs="Times New Roman"/>
                <w:sz w:val="20"/>
                <w:szCs w:val="24"/>
                <w:lang w:val="en-GB"/>
              </w:rPr>
              <w:t xml:space="preserve">Fully meets </w:t>
            </w:r>
            <w:r w:rsidR="00DE0B2E">
              <w:rPr>
                <w:rFonts w:ascii="Times New Roman" w:hAnsi="Times New Roman" w:cs="Times New Roman"/>
                <w:sz w:val="20"/>
                <w:szCs w:val="24"/>
                <w:lang w:val="en-GB"/>
              </w:rPr>
              <w:t>a, b, d and e</w:t>
            </w:r>
            <w:r>
              <w:rPr>
                <w:rFonts w:ascii="Times New Roman" w:hAnsi="Times New Roman" w:cs="Times New Roman"/>
                <w:sz w:val="20"/>
                <w:szCs w:val="24"/>
                <w:lang w:val="en-GB"/>
              </w:rPr>
              <w:t>.</w:t>
            </w:r>
          </w:p>
        </w:tc>
        <w:tc>
          <w:tcPr>
            <w:tcW w:w="1376" w:type="dxa"/>
            <w:tcBorders>
              <w:top w:val="single" w:sz="4" w:space="0" w:color="auto"/>
            </w:tcBorders>
          </w:tcPr>
          <w:p w:rsidR="00222DF7" w:rsidRPr="00222DF7" w:rsidRDefault="00222DF7" w:rsidP="00DE0B2E">
            <w:pPr>
              <w:rPr>
                <w:rFonts w:ascii="Times New Roman" w:hAnsi="Times New Roman" w:cs="Times New Roman"/>
                <w:sz w:val="20"/>
                <w:szCs w:val="24"/>
                <w:lang w:val="en-GB"/>
              </w:rPr>
            </w:pPr>
            <w:r w:rsidRPr="00222DF7">
              <w:rPr>
                <w:rFonts w:ascii="Times New Roman" w:hAnsi="Times New Roman" w:cs="Times New Roman"/>
                <w:sz w:val="20"/>
                <w:szCs w:val="24"/>
                <w:lang w:val="en-GB"/>
              </w:rPr>
              <w:t>Tax system</w:t>
            </w:r>
          </w:p>
        </w:tc>
        <w:tc>
          <w:tcPr>
            <w:tcW w:w="3075" w:type="dxa"/>
            <w:tcBorders>
              <w:top w:val="single" w:sz="4" w:space="0" w:color="auto"/>
            </w:tcBorders>
          </w:tcPr>
          <w:p w:rsidR="00222DF7" w:rsidRPr="00222DF7" w:rsidRDefault="00DE0B2E" w:rsidP="008241FD">
            <w:pPr>
              <w:rPr>
                <w:rFonts w:ascii="Times New Roman" w:hAnsi="Times New Roman" w:cs="Times New Roman"/>
                <w:sz w:val="20"/>
                <w:szCs w:val="24"/>
                <w:lang w:val="en-GB"/>
              </w:rPr>
            </w:pPr>
            <w:r>
              <w:rPr>
                <w:rFonts w:ascii="Times New Roman" w:hAnsi="Times New Roman" w:cs="Times New Roman"/>
                <w:sz w:val="20"/>
                <w:szCs w:val="24"/>
                <w:lang w:val="en-GB"/>
              </w:rPr>
              <w:t>Addition</w:t>
            </w:r>
            <w:r w:rsidR="008241FD">
              <w:rPr>
                <w:rFonts w:ascii="Times New Roman" w:hAnsi="Times New Roman" w:cs="Times New Roman"/>
                <w:sz w:val="20"/>
                <w:szCs w:val="24"/>
                <w:lang w:val="en-GB"/>
              </w:rPr>
              <w:t>al fiscal cost of $500,000 p</w:t>
            </w:r>
            <w:r w:rsidR="00FF449F">
              <w:rPr>
                <w:rFonts w:ascii="Times New Roman" w:hAnsi="Times New Roman" w:cs="Times New Roman"/>
                <w:sz w:val="20"/>
                <w:szCs w:val="24"/>
                <w:lang w:val="en-GB"/>
              </w:rPr>
              <w:t xml:space="preserve">er </w:t>
            </w:r>
            <w:r w:rsidR="008241FD">
              <w:rPr>
                <w:rFonts w:ascii="Times New Roman" w:hAnsi="Times New Roman" w:cs="Times New Roman"/>
                <w:sz w:val="20"/>
                <w:szCs w:val="24"/>
                <w:lang w:val="en-GB"/>
              </w:rPr>
              <w:t>a</w:t>
            </w:r>
            <w:r w:rsidR="00FF449F">
              <w:rPr>
                <w:rFonts w:ascii="Times New Roman" w:hAnsi="Times New Roman" w:cs="Times New Roman"/>
                <w:sz w:val="20"/>
                <w:szCs w:val="24"/>
                <w:lang w:val="en-GB"/>
              </w:rPr>
              <w:t>nnum</w:t>
            </w:r>
            <w:r w:rsidR="00314CFD">
              <w:rPr>
                <w:rFonts w:ascii="Times New Roman" w:hAnsi="Times New Roman" w:cs="Times New Roman"/>
                <w:sz w:val="20"/>
                <w:szCs w:val="24"/>
                <w:lang w:val="en-GB"/>
              </w:rPr>
              <w:t>.</w:t>
            </w:r>
          </w:p>
        </w:tc>
        <w:tc>
          <w:tcPr>
            <w:tcW w:w="2932" w:type="dxa"/>
            <w:tcBorders>
              <w:top w:val="single" w:sz="4" w:space="0" w:color="auto"/>
              <w:right w:val="single" w:sz="4" w:space="0" w:color="auto"/>
            </w:tcBorders>
          </w:tcPr>
          <w:p w:rsidR="00222DF7" w:rsidRPr="00222DF7" w:rsidRDefault="00DE0B2E" w:rsidP="00DE0B2E">
            <w:pPr>
              <w:rPr>
                <w:rFonts w:ascii="Times New Roman" w:hAnsi="Times New Roman" w:cs="Times New Roman"/>
                <w:sz w:val="20"/>
                <w:szCs w:val="24"/>
                <w:lang w:val="en-GB"/>
              </w:rPr>
            </w:pPr>
            <w:r>
              <w:rPr>
                <w:rFonts w:ascii="Times New Roman" w:hAnsi="Times New Roman" w:cs="Times New Roman"/>
                <w:sz w:val="20"/>
                <w:szCs w:val="24"/>
                <w:lang w:val="en-GB"/>
              </w:rPr>
              <w:t>Administrative savings for Inland Revenue from having fewer income thresholds to observe</w:t>
            </w:r>
            <w:r w:rsidR="00314CFD">
              <w:rPr>
                <w:rFonts w:ascii="Times New Roman" w:hAnsi="Times New Roman" w:cs="Times New Roman"/>
                <w:sz w:val="20"/>
                <w:szCs w:val="24"/>
                <w:lang w:val="en-GB"/>
              </w:rPr>
              <w:t>.</w:t>
            </w:r>
          </w:p>
        </w:tc>
        <w:tc>
          <w:tcPr>
            <w:tcW w:w="2246" w:type="dxa"/>
            <w:vMerge w:val="restart"/>
            <w:tcBorders>
              <w:top w:val="single" w:sz="4" w:space="0" w:color="auto"/>
              <w:left w:val="single" w:sz="4" w:space="0" w:color="auto"/>
              <w:right w:val="single" w:sz="4" w:space="0" w:color="auto"/>
            </w:tcBorders>
          </w:tcPr>
          <w:p w:rsidR="00FF449F" w:rsidRDefault="00E92DEB" w:rsidP="0050068E">
            <w:pPr>
              <w:rPr>
                <w:rFonts w:ascii="Times New Roman" w:hAnsi="Times New Roman" w:cs="Times New Roman"/>
                <w:sz w:val="20"/>
                <w:szCs w:val="24"/>
                <w:lang w:val="en-GB"/>
              </w:rPr>
            </w:pPr>
            <w:r>
              <w:rPr>
                <w:rFonts w:ascii="Times New Roman" w:hAnsi="Times New Roman" w:cs="Times New Roman"/>
                <w:sz w:val="20"/>
                <w:szCs w:val="24"/>
                <w:lang w:val="en-GB"/>
              </w:rPr>
              <w:t xml:space="preserve">Low risk of some </w:t>
            </w:r>
            <w:r w:rsidR="00FF449F">
              <w:rPr>
                <w:rFonts w:ascii="Times New Roman" w:hAnsi="Times New Roman" w:cs="Times New Roman"/>
                <w:sz w:val="20"/>
                <w:szCs w:val="24"/>
                <w:lang w:val="en-GB"/>
              </w:rPr>
              <w:t xml:space="preserve">affected housing providers </w:t>
            </w:r>
            <w:r>
              <w:rPr>
                <w:rFonts w:ascii="Times New Roman" w:hAnsi="Times New Roman" w:cs="Times New Roman"/>
                <w:sz w:val="20"/>
                <w:szCs w:val="24"/>
                <w:lang w:val="en-GB"/>
              </w:rPr>
              <w:t>being ine</w:t>
            </w:r>
            <w:r w:rsidR="00FF449F">
              <w:rPr>
                <w:rFonts w:ascii="Times New Roman" w:hAnsi="Times New Roman" w:cs="Times New Roman"/>
                <w:sz w:val="20"/>
                <w:szCs w:val="24"/>
                <w:lang w:val="en-GB"/>
              </w:rPr>
              <w:t xml:space="preserve">ligible for the income tax exemption and </w:t>
            </w:r>
            <w:proofErr w:type="spellStart"/>
            <w:r w:rsidR="00FF449F">
              <w:rPr>
                <w:rFonts w:ascii="Times New Roman" w:hAnsi="Times New Roman" w:cs="Times New Roman"/>
                <w:sz w:val="20"/>
                <w:szCs w:val="24"/>
                <w:lang w:val="en-GB"/>
              </w:rPr>
              <w:t>donee</w:t>
            </w:r>
            <w:proofErr w:type="spellEnd"/>
            <w:r w:rsidR="00FF449F">
              <w:rPr>
                <w:rFonts w:ascii="Times New Roman" w:hAnsi="Times New Roman" w:cs="Times New Roman"/>
                <w:sz w:val="20"/>
                <w:szCs w:val="24"/>
                <w:lang w:val="en-GB"/>
              </w:rPr>
              <w:t xml:space="preserve"> status if the income threshold is linked to the </w:t>
            </w:r>
            <w:proofErr w:type="spellStart"/>
            <w:r w:rsidR="00FF449F">
              <w:rPr>
                <w:rFonts w:ascii="Times New Roman" w:hAnsi="Times New Roman" w:cs="Times New Roman"/>
                <w:sz w:val="20"/>
                <w:szCs w:val="24"/>
                <w:lang w:val="en-GB"/>
              </w:rPr>
              <w:t>KiwiSaver</w:t>
            </w:r>
            <w:proofErr w:type="spellEnd"/>
            <w:r w:rsidR="00FF449F">
              <w:rPr>
                <w:rFonts w:ascii="Times New Roman" w:hAnsi="Times New Roman" w:cs="Times New Roman"/>
                <w:sz w:val="20"/>
                <w:szCs w:val="24"/>
                <w:lang w:val="en-GB"/>
              </w:rPr>
              <w:t xml:space="preserve"> </w:t>
            </w:r>
            <w:proofErr w:type="spellStart"/>
            <w:r w:rsidR="00FF449F">
              <w:rPr>
                <w:rFonts w:ascii="Times New Roman" w:hAnsi="Times New Roman" w:cs="Times New Roman"/>
                <w:sz w:val="20"/>
                <w:szCs w:val="24"/>
                <w:lang w:val="en-GB"/>
              </w:rPr>
              <w:t>HomeStart</w:t>
            </w:r>
            <w:proofErr w:type="spellEnd"/>
            <w:r w:rsidR="00FF449F">
              <w:rPr>
                <w:rFonts w:ascii="Times New Roman" w:hAnsi="Times New Roman" w:cs="Times New Roman"/>
                <w:sz w:val="20"/>
                <w:szCs w:val="24"/>
                <w:lang w:val="en-GB"/>
              </w:rPr>
              <w:t xml:space="preserve"> income levels.</w:t>
            </w:r>
          </w:p>
          <w:p w:rsidR="00FF449F" w:rsidRDefault="00FF449F" w:rsidP="0050068E">
            <w:pPr>
              <w:rPr>
                <w:rFonts w:ascii="Times New Roman" w:hAnsi="Times New Roman" w:cs="Times New Roman"/>
                <w:sz w:val="20"/>
                <w:szCs w:val="24"/>
                <w:lang w:val="en-GB"/>
              </w:rPr>
            </w:pPr>
          </w:p>
          <w:p w:rsidR="00222DF7" w:rsidRPr="00222DF7" w:rsidRDefault="00DE0B2E" w:rsidP="0050068E">
            <w:pPr>
              <w:rPr>
                <w:rFonts w:ascii="Times New Roman" w:hAnsi="Times New Roman" w:cs="Times New Roman"/>
                <w:sz w:val="20"/>
                <w:szCs w:val="24"/>
                <w:lang w:val="en-GB"/>
              </w:rPr>
            </w:pPr>
            <w:r>
              <w:rPr>
                <w:rFonts w:ascii="Times New Roman" w:hAnsi="Times New Roman" w:cs="Times New Roman"/>
                <w:sz w:val="20"/>
                <w:szCs w:val="24"/>
                <w:lang w:val="en-GB"/>
              </w:rPr>
              <w:t>Does not take into account housing affordability stress</w:t>
            </w:r>
            <w:r w:rsidR="00314CFD">
              <w:rPr>
                <w:rFonts w:ascii="Times New Roman" w:hAnsi="Times New Roman" w:cs="Times New Roman"/>
                <w:sz w:val="20"/>
                <w:szCs w:val="24"/>
                <w:lang w:val="en-GB"/>
              </w:rPr>
              <w:t>.</w:t>
            </w:r>
          </w:p>
        </w:tc>
        <w:tc>
          <w:tcPr>
            <w:tcW w:w="1730" w:type="dxa"/>
            <w:vMerge w:val="restart"/>
            <w:tcBorders>
              <w:top w:val="single" w:sz="4" w:space="0" w:color="auto"/>
              <w:left w:val="single" w:sz="4" w:space="0" w:color="auto"/>
              <w:right w:val="single" w:sz="4" w:space="0" w:color="auto"/>
            </w:tcBorders>
          </w:tcPr>
          <w:p w:rsidR="00ED4FFE" w:rsidRDefault="00222DF7" w:rsidP="0050068E">
            <w:pPr>
              <w:rPr>
                <w:rFonts w:ascii="Times New Roman" w:hAnsi="Times New Roman" w:cs="Times New Roman"/>
                <w:sz w:val="20"/>
                <w:szCs w:val="24"/>
                <w:lang w:val="en-GB"/>
              </w:rPr>
            </w:pPr>
            <w:r w:rsidRPr="00222DF7">
              <w:rPr>
                <w:rFonts w:ascii="Times New Roman" w:hAnsi="Times New Roman" w:cs="Times New Roman"/>
                <w:sz w:val="20"/>
                <w:szCs w:val="24"/>
                <w:lang w:val="en-GB"/>
              </w:rPr>
              <w:t xml:space="preserve">Addresses the problem definition </w:t>
            </w:r>
            <w:r w:rsidR="00DE0B2E">
              <w:rPr>
                <w:rFonts w:ascii="Times New Roman" w:hAnsi="Times New Roman" w:cs="Times New Roman"/>
                <w:sz w:val="20"/>
                <w:szCs w:val="24"/>
                <w:lang w:val="en-GB"/>
              </w:rPr>
              <w:t>and meets four of the five objectives</w:t>
            </w:r>
            <w:r w:rsidR="00314CFD">
              <w:rPr>
                <w:rFonts w:ascii="Times New Roman" w:hAnsi="Times New Roman" w:cs="Times New Roman"/>
                <w:sz w:val="20"/>
                <w:szCs w:val="24"/>
                <w:lang w:val="en-GB"/>
              </w:rPr>
              <w:t>.</w:t>
            </w:r>
          </w:p>
          <w:p w:rsidR="00ED4FFE" w:rsidRDefault="00ED4FFE" w:rsidP="0050068E">
            <w:pPr>
              <w:rPr>
                <w:rFonts w:ascii="Times New Roman" w:hAnsi="Times New Roman" w:cs="Times New Roman"/>
                <w:sz w:val="20"/>
                <w:szCs w:val="24"/>
                <w:lang w:val="en-GB"/>
              </w:rPr>
            </w:pPr>
          </w:p>
          <w:p w:rsidR="00222DF7" w:rsidRPr="00FF449F" w:rsidRDefault="00ED4FFE" w:rsidP="00AF5B84">
            <w:pPr>
              <w:rPr>
                <w:rFonts w:ascii="Times New Roman" w:hAnsi="Times New Roman" w:cs="Times New Roman"/>
                <w:b/>
                <w:i/>
                <w:sz w:val="20"/>
                <w:szCs w:val="24"/>
                <w:lang w:val="en-GB"/>
              </w:rPr>
            </w:pPr>
            <w:r w:rsidRPr="00FF449F">
              <w:rPr>
                <w:rFonts w:ascii="Times New Roman" w:hAnsi="Times New Roman" w:cs="Times New Roman"/>
                <w:b/>
                <w:i/>
                <w:sz w:val="20"/>
                <w:szCs w:val="24"/>
                <w:lang w:val="en-GB"/>
              </w:rPr>
              <w:t xml:space="preserve">This is </w:t>
            </w:r>
            <w:r w:rsidR="00AF5B84">
              <w:rPr>
                <w:rFonts w:ascii="Times New Roman" w:hAnsi="Times New Roman" w:cs="Times New Roman"/>
                <w:b/>
                <w:i/>
                <w:sz w:val="20"/>
                <w:szCs w:val="24"/>
                <w:lang w:val="en-GB"/>
              </w:rPr>
              <w:t xml:space="preserve">the </w:t>
            </w:r>
            <w:r w:rsidRPr="00FF449F">
              <w:rPr>
                <w:rFonts w:ascii="Times New Roman" w:hAnsi="Times New Roman" w:cs="Times New Roman"/>
                <w:b/>
                <w:i/>
                <w:sz w:val="20"/>
                <w:szCs w:val="24"/>
                <w:lang w:val="en-GB"/>
              </w:rPr>
              <w:t>option</w:t>
            </w:r>
            <w:r w:rsidR="00AF5B84">
              <w:rPr>
                <w:rFonts w:ascii="Times New Roman" w:hAnsi="Times New Roman" w:cs="Times New Roman"/>
                <w:b/>
                <w:i/>
                <w:sz w:val="20"/>
                <w:szCs w:val="24"/>
                <w:lang w:val="en-GB"/>
              </w:rPr>
              <w:t xml:space="preserve"> preferred by officials</w:t>
            </w:r>
            <w:r w:rsidR="00314CFD">
              <w:rPr>
                <w:rFonts w:ascii="Times New Roman" w:hAnsi="Times New Roman" w:cs="Times New Roman"/>
                <w:b/>
                <w:i/>
                <w:sz w:val="20"/>
                <w:szCs w:val="24"/>
                <w:lang w:val="en-GB"/>
              </w:rPr>
              <w:t>.</w:t>
            </w:r>
          </w:p>
        </w:tc>
      </w:tr>
      <w:tr w:rsidR="00222DF7" w:rsidRPr="00222DF7" w:rsidTr="00B8123E">
        <w:trPr>
          <w:trHeight w:val="291"/>
        </w:trPr>
        <w:tc>
          <w:tcPr>
            <w:tcW w:w="1951" w:type="dxa"/>
            <w:vMerge/>
            <w:tcBorders>
              <w:left w:val="single" w:sz="4" w:space="0" w:color="auto"/>
              <w:bottom w:val="single" w:sz="4" w:space="0" w:color="auto"/>
            </w:tcBorders>
          </w:tcPr>
          <w:p w:rsidR="00222DF7" w:rsidRPr="00222DF7" w:rsidRDefault="00222DF7" w:rsidP="00222DF7">
            <w:pPr>
              <w:rPr>
                <w:rFonts w:ascii="Times New Roman" w:hAnsi="Times New Roman" w:cs="Times New Roman"/>
                <w:b/>
                <w:sz w:val="20"/>
                <w:szCs w:val="24"/>
                <w:lang w:val="en-GB"/>
              </w:rPr>
            </w:pPr>
          </w:p>
        </w:tc>
        <w:tc>
          <w:tcPr>
            <w:tcW w:w="1589" w:type="dxa"/>
            <w:vMerge/>
            <w:tcBorders>
              <w:bottom w:val="single" w:sz="4" w:space="0" w:color="auto"/>
            </w:tcBorders>
          </w:tcPr>
          <w:p w:rsidR="00222DF7" w:rsidRPr="00222DF7" w:rsidRDefault="00222DF7" w:rsidP="00DE0B2E">
            <w:pPr>
              <w:rPr>
                <w:rFonts w:ascii="Times New Roman" w:hAnsi="Times New Roman" w:cs="Times New Roman"/>
                <w:sz w:val="20"/>
                <w:szCs w:val="24"/>
                <w:lang w:val="en-GB"/>
              </w:rPr>
            </w:pPr>
          </w:p>
        </w:tc>
        <w:tc>
          <w:tcPr>
            <w:tcW w:w="1376" w:type="dxa"/>
          </w:tcPr>
          <w:p w:rsidR="00222DF7" w:rsidRPr="00222DF7" w:rsidRDefault="00DE0B2E" w:rsidP="00DE0B2E">
            <w:pPr>
              <w:rPr>
                <w:rFonts w:ascii="Times New Roman" w:hAnsi="Times New Roman" w:cs="Times New Roman"/>
                <w:sz w:val="20"/>
                <w:szCs w:val="24"/>
                <w:lang w:val="en-GB"/>
              </w:rPr>
            </w:pPr>
            <w:r>
              <w:rPr>
                <w:rFonts w:ascii="Times New Roman" w:hAnsi="Times New Roman" w:cs="Times New Roman"/>
                <w:sz w:val="20"/>
                <w:szCs w:val="24"/>
                <w:lang w:val="en-GB"/>
              </w:rPr>
              <w:t>CHE</w:t>
            </w:r>
            <w:r w:rsidR="00222DF7" w:rsidRPr="00222DF7">
              <w:rPr>
                <w:rFonts w:ascii="Times New Roman" w:hAnsi="Times New Roman" w:cs="Times New Roman"/>
                <w:sz w:val="20"/>
                <w:szCs w:val="24"/>
                <w:lang w:val="en-GB"/>
              </w:rPr>
              <w:t>s</w:t>
            </w:r>
          </w:p>
        </w:tc>
        <w:tc>
          <w:tcPr>
            <w:tcW w:w="3075" w:type="dxa"/>
          </w:tcPr>
          <w:p w:rsidR="00222DF7" w:rsidRPr="00222DF7" w:rsidRDefault="00B8123E" w:rsidP="00C73D6F">
            <w:pPr>
              <w:rPr>
                <w:rFonts w:ascii="Times New Roman" w:hAnsi="Times New Roman" w:cs="Times New Roman"/>
                <w:sz w:val="20"/>
                <w:szCs w:val="24"/>
                <w:lang w:val="en-GB"/>
              </w:rPr>
            </w:pPr>
            <w:r>
              <w:rPr>
                <w:rFonts w:ascii="Times New Roman" w:hAnsi="Times New Roman" w:cs="Times New Roman"/>
                <w:sz w:val="20"/>
                <w:szCs w:val="24"/>
                <w:lang w:val="en-GB"/>
              </w:rPr>
              <w:t xml:space="preserve">Most if not all affected providers will qualify for the income tax exemption and </w:t>
            </w:r>
            <w:proofErr w:type="spellStart"/>
            <w:r>
              <w:rPr>
                <w:rFonts w:ascii="Times New Roman" w:hAnsi="Times New Roman" w:cs="Times New Roman"/>
                <w:sz w:val="20"/>
                <w:szCs w:val="24"/>
                <w:lang w:val="en-GB"/>
              </w:rPr>
              <w:t>donee</w:t>
            </w:r>
            <w:proofErr w:type="spellEnd"/>
            <w:r>
              <w:rPr>
                <w:rFonts w:ascii="Times New Roman" w:hAnsi="Times New Roman" w:cs="Times New Roman"/>
                <w:sz w:val="20"/>
                <w:szCs w:val="24"/>
                <w:lang w:val="en-GB"/>
              </w:rPr>
              <w:t xml:space="preserve"> status because their recipients will be on incomes</w:t>
            </w:r>
            <w:r w:rsidR="00FF449F">
              <w:rPr>
                <w:rFonts w:ascii="Times New Roman" w:hAnsi="Times New Roman" w:cs="Times New Roman"/>
                <w:sz w:val="20"/>
                <w:szCs w:val="24"/>
                <w:lang w:val="en-GB"/>
              </w:rPr>
              <w:t xml:space="preserve"> </w:t>
            </w:r>
            <w:r w:rsidR="00C73D6F">
              <w:rPr>
                <w:rFonts w:ascii="Times New Roman" w:hAnsi="Times New Roman" w:cs="Times New Roman"/>
                <w:sz w:val="20"/>
                <w:szCs w:val="24"/>
                <w:lang w:val="en-GB"/>
              </w:rPr>
              <w:t>below</w:t>
            </w:r>
            <w:r w:rsidR="00FF449F">
              <w:rPr>
                <w:rFonts w:ascii="Times New Roman" w:hAnsi="Times New Roman" w:cs="Times New Roman"/>
                <w:sz w:val="20"/>
                <w:szCs w:val="24"/>
                <w:lang w:val="en-GB"/>
              </w:rPr>
              <w:t xml:space="preserve"> the threshold</w:t>
            </w:r>
            <w:r w:rsidR="00314CFD">
              <w:rPr>
                <w:rFonts w:ascii="Times New Roman" w:hAnsi="Times New Roman" w:cs="Times New Roman"/>
                <w:sz w:val="20"/>
                <w:szCs w:val="24"/>
                <w:lang w:val="en-GB"/>
              </w:rPr>
              <w:t>.</w:t>
            </w:r>
          </w:p>
        </w:tc>
        <w:tc>
          <w:tcPr>
            <w:tcW w:w="2932" w:type="dxa"/>
            <w:tcBorders>
              <w:right w:val="single" w:sz="4" w:space="0" w:color="auto"/>
            </w:tcBorders>
          </w:tcPr>
          <w:p w:rsidR="00222DF7" w:rsidRPr="00222DF7" w:rsidRDefault="00222DF7" w:rsidP="00DE0B2E">
            <w:pPr>
              <w:rPr>
                <w:rFonts w:ascii="Times New Roman" w:hAnsi="Times New Roman" w:cs="Times New Roman"/>
                <w:sz w:val="20"/>
                <w:szCs w:val="24"/>
                <w:lang w:val="en-GB"/>
              </w:rPr>
            </w:pPr>
            <w:r w:rsidRPr="00222DF7">
              <w:rPr>
                <w:rFonts w:ascii="Times New Roman" w:hAnsi="Times New Roman" w:cs="Times New Roman"/>
                <w:sz w:val="20"/>
                <w:szCs w:val="24"/>
                <w:lang w:val="en-GB"/>
              </w:rPr>
              <w:t>Tax complian</w:t>
            </w:r>
            <w:r w:rsidR="00E92DEB">
              <w:rPr>
                <w:rFonts w:ascii="Times New Roman" w:hAnsi="Times New Roman" w:cs="Times New Roman"/>
                <w:sz w:val="20"/>
                <w:szCs w:val="24"/>
                <w:lang w:val="en-GB"/>
              </w:rPr>
              <w:t>ce cost savings for eligible CHE</w:t>
            </w:r>
            <w:r w:rsidRPr="00222DF7">
              <w:rPr>
                <w:rFonts w:ascii="Times New Roman" w:hAnsi="Times New Roman" w:cs="Times New Roman"/>
                <w:sz w:val="20"/>
                <w:szCs w:val="24"/>
                <w:lang w:val="en-GB"/>
              </w:rPr>
              <w:t xml:space="preserve">s as they will </w:t>
            </w:r>
            <w:r w:rsidR="00DE0B2E">
              <w:rPr>
                <w:rFonts w:ascii="Times New Roman" w:hAnsi="Times New Roman" w:cs="Times New Roman"/>
                <w:sz w:val="20"/>
                <w:szCs w:val="24"/>
                <w:lang w:val="en-GB"/>
              </w:rPr>
              <w:t>have fewer income thresholds to observe</w:t>
            </w:r>
            <w:r w:rsidR="00314CFD">
              <w:rPr>
                <w:rFonts w:ascii="Times New Roman" w:hAnsi="Times New Roman" w:cs="Times New Roman"/>
                <w:sz w:val="20"/>
                <w:szCs w:val="24"/>
                <w:lang w:val="en-GB"/>
              </w:rPr>
              <w:t>.</w:t>
            </w:r>
          </w:p>
          <w:p w:rsidR="00222DF7" w:rsidRPr="00222DF7" w:rsidRDefault="00222DF7" w:rsidP="00DE0B2E">
            <w:pPr>
              <w:rPr>
                <w:rFonts w:ascii="Times New Roman" w:hAnsi="Times New Roman" w:cs="Times New Roman"/>
                <w:sz w:val="20"/>
                <w:szCs w:val="24"/>
                <w:lang w:val="en-GB"/>
              </w:rPr>
            </w:pPr>
          </w:p>
          <w:p w:rsidR="00222DF7" w:rsidRPr="00222DF7" w:rsidRDefault="00222DF7" w:rsidP="00DE0B2E">
            <w:pPr>
              <w:rPr>
                <w:rFonts w:ascii="Times New Roman" w:hAnsi="Times New Roman" w:cs="Times New Roman"/>
                <w:sz w:val="20"/>
                <w:szCs w:val="24"/>
                <w:lang w:val="en-GB"/>
              </w:rPr>
            </w:pPr>
            <w:r w:rsidRPr="00222DF7">
              <w:rPr>
                <w:rFonts w:ascii="Times New Roman" w:hAnsi="Times New Roman" w:cs="Times New Roman"/>
                <w:sz w:val="20"/>
                <w:szCs w:val="24"/>
                <w:lang w:val="en-GB"/>
              </w:rPr>
              <w:t>Improved taxpayer certainty</w:t>
            </w:r>
            <w:r w:rsidR="00314CFD">
              <w:rPr>
                <w:rFonts w:ascii="Times New Roman" w:hAnsi="Times New Roman" w:cs="Times New Roman"/>
                <w:sz w:val="20"/>
                <w:szCs w:val="24"/>
                <w:lang w:val="en-GB"/>
              </w:rPr>
              <w:t>.</w:t>
            </w:r>
          </w:p>
        </w:tc>
        <w:tc>
          <w:tcPr>
            <w:tcW w:w="2246" w:type="dxa"/>
            <w:vMerge/>
            <w:tcBorders>
              <w:left w:val="single" w:sz="4" w:space="0" w:color="auto"/>
              <w:bottom w:val="single" w:sz="4" w:space="0" w:color="auto"/>
              <w:right w:val="single" w:sz="4" w:space="0" w:color="auto"/>
            </w:tcBorders>
          </w:tcPr>
          <w:p w:rsidR="00222DF7" w:rsidRPr="00222DF7" w:rsidRDefault="00222DF7" w:rsidP="0050068E">
            <w:pPr>
              <w:rPr>
                <w:rFonts w:ascii="Times New Roman" w:hAnsi="Times New Roman" w:cs="Times New Roman"/>
                <w:sz w:val="20"/>
                <w:szCs w:val="24"/>
                <w:lang w:val="en-GB"/>
              </w:rPr>
            </w:pPr>
          </w:p>
        </w:tc>
        <w:tc>
          <w:tcPr>
            <w:tcW w:w="1730" w:type="dxa"/>
            <w:vMerge/>
            <w:tcBorders>
              <w:left w:val="single" w:sz="4" w:space="0" w:color="auto"/>
              <w:bottom w:val="single" w:sz="4" w:space="0" w:color="auto"/>
              <w:right w:val="single" w:sz="4" w:space="0" w:color="auto"/>
            </w:tcBorders>
          </w:tcPr>
          <w:p w:rsidR="00222DF7" w:rsidRPr="00222DF7" w:rsidRDefault="00222DF7" w:rsidP="0050068E">
            <w:pPr>
              <w:rPr>
                <w:rFonts w:ascii="Times New Roman" w:hAnsi="Times New Roman" w:cs="Times New Roman"/>
                <w:sz w:val="20"/>
                <w:szCs w:val="24"/>
                <w:lang w:val="en-GB"/>
              </w:rPr>
            </w:pPr>
          </w:p>
        </w:tc>
      </w:tr>
      <w:tr w:rsidR="0050068E" w:rsidRPr="00222DF7" w:rsidTr="00B8123E">
        <w:trPr>
          <w:trHeight w:val="291"/>
        </w:trPr>
        <w:tc>
          <w:tcPr>
            <w:tcW w:w="1951" w:type="dxa"/>
            <w:vMerge w:val="restart"/>
            <w:tcBorders>
              <w:left w:val="single" w:sz="4" w:space="0" w:color="auto"/>
            </w:tcBorders>
          </w:tcPr>
          <w:p w:rsidR="0050068E" w:rsidRPr="00222DF7" w:rsidRDefault="0050068E" w:rsidP="00DE0B2E">
            <w:pPr>
              <w:rPr>
                <w:rFonts w:ascii="Times New Roman" w:hAnsi="Times New Roman" w:cs="Times New Roman"/>
                <w:b/>
                <w:sz w:val="20"/>
                <w:szCs w:val="24"/>
                <w:lang w:val="en-GB"/>
              </w:rPr>
            </w:pPr>
            <w:r>
              <w:rPr>
                <w:rFonts w:ascii="Times New Roman" w:hAnsi="Times New Roman" w:cs="Times New Roman"/>
                <w:b/>
                <w:sz w:val="20"/>
                <w:szCs w:val="24"/>
                <w:lang w:val="en-GB"/>
              </w:rPr>
              <w:t>3 – Lower quartile of household income (status quo)</w:t>
            </w:r>
          </w:p>
        </w:tc>
        <w:tc>
          <w:tcPr>
            <w:tcW w:w="1589" w:type="dxa"/>
            <w:vMerge w:val="restart"/>
          </w:tcPr>
          <w:p w:rsidR="0050068E" w:rsidRPr="00222DF7" w:rsidRDefault="0050068E" w:rsidP="00DE0B2E">
            <w:pPr>
              <w:rPr>
                <w:rFonts w:ascii="Times New Roman" w:hAnsi="Times New Roman" w:cs="Times New Roman"/>
                <w:sz w:val="20"/>
                <w:szCs w:val="24"/>
                <w:lang w:val="en-GB"/>
              </w:rPr>
            </w:pPr>
            <w:r>
              <w:rPr>
                <w:rFonts w:ascii="Times New Roman" w:hAnsi="Times New Roman" w:cs="Times New Roman"/>
                <w:sz w:val="20"/>
                <w:szCs w:val="24"/>
                <w:lang w:val="en-GB"/>
              </w:rPr>
              <w:t>None</w:t>
            </w:r>
          </w:p>
        </w:tc>
        <w:tc>
          <w:tcPr>
            <w:tcW w:w="1376" w:type="dxa"/>
          </w:tcPr>
          <w:p w:rsidR="0050068E" w:rsidRDefault="0050068E" w:rsidP="00DE0B2E">
            <w:pPr>
              <w:rPr>
                <w:rFonts w:ascii="Times New Roman" w:hAnsi="Times New Roman" w:cs="Times New Roman"/>
                <w:sz w:val="20"/>
                <w:szCs w:val="24"/>
                <w:lang w:val="en-GB"/>
              </w:rPr>
            </w:pPr>
            <w:r>
              <w:rPr>
                <w:rFonts w:ascii="Times New Roman" w:hAnsi="Times New Roman" w:cs="Times New Roman"/>
                <w:sz w:val="20"/>
                <w:szCs w:val="24"/>
                <w:lang w:val="en-GB"/>
              </w:rPr>
              <w:t>Tax system</w:t>
            </w:r>
          </w:p>
        </w:tc>
        <w:tc>
          <w:tcPr>
            <w:tcW w:w="3075" w:type="dxa"/>
          </w:tcPr>
          <w:p w:rsidR="0050068E" w:rsidRPr="00222DF7" w:rsidRDefault="00C73D6F" w:rsidP="00DE0B2E">
            <w:pPr>
              <w:rPr>
                <w:rFonts w:ascii="Times New Roman" w:hAnsi="Times New Roman" w:cs="Times New Roman"/>
                <w:sz w:val="20"/>
                <w:szCs w:val="24"/>
                <w:lang w:val="en-GB"/>
              </w:rPr>
            </w:pPr>
            <w:r>
              <w:rPr>
                <w:rFonts w:ascii="Times New Roman" w:hAnsi="Times New Roman" w:cs="Times New Roman"/>
                <w:sz w:val="20"/>
                <w:szCs w:val="24"/>
                <w:lang w:val="en-GB"/>
              </w:rPr>
              <w:t>A fiscal gain of $2.4 million.</w:t>
            </w:r>
            <w:r w:rsidR="00DE07F5">
              <w:rPr>
                <w:rFonts w:ascii="Times New Roman" w:hAnsi="Times New Roman" w:cs="Times New Roman"/>
                <w:sz w:val="20"/>
                <w:szCs w:val="24"/>
                <w:lang w:val="en-GB"/>
              </w:rPr>
              <w:t xml:space="preserve">  See comment on next page.</w:t>
            </w:r>
          </w:p>
        </w:tc>
        <w:tc>
          <w:tcPr>
            <w:tcW w:w="2932" w:type="dxa"/>
            <w:tcBorders>
              <w:right w:val="single" w:sz="4" w:space="0" w:color="auto"/>
            </w:tcBorders>
          </w:tcPr>
          <w:p w:rsidR="0050068E" w:rsidRPr="00222DF7" w:rsidRDefault="00C73D6F" w:rsidP="00C73D6F">
            <w:pPr>
              <w:rPr>
                <w:rFonts w:ascii="Times New Roman" w:hAnsi="Times New Roman" w:cs="Times New Roman"/>
                <w:sz w:val="20"/>
                <w:szCs w:val="24"/>
                <w:lang w:val="en-GB"/>
              </w:rPr>
            </w:pPr>
            <w:r>
              <w:rPr>
                <w:rFonts w:ascii="Times New Roman" w:hAnsi="Times New Roman" w:cs="Times New Roman"/>
                <w:sz w:val="20"/>
                <w:szCs w:val="24"/>
                <w:lang w:val="en-GB"/>
              </w:rPr>
              <w:t>Nil</w:t>
            </w:r>
            <w:r w:rsidR="00314CFD">
              <w:rPr>
                <w:rFonts w:ascii="Times New Roman" w:hAnsi="Times New Roman" w:cs="Times New Roman"/>
                <w:sz w:val="20"/>
                <w:szCs w:val="24"/>
                <w:lang w:val="en-GB"/>
              </w:rPr>
              <w:t>.</w:t>
            </w:r>
          </w:p>
        </w:tc>
        <w:tc>
          <w:tcPr>
            <w:tcW w:w="2246" w:type="dxa"/>
            <w:vMerge w:val="restart"/>
            <w:tcBorders>
              <w:left w:val="single" w:sz="4" w:space="0" w:color="auto"/>
              <w:right w:val="single" w:sz="4" w:space="0" w:color="auto"/>
            </w:tcBorders>
          </w:tcPr>
          <w:p w:rsidR="00B8123E" w:rsidRPr="00222DF7" w:rsidRDefault="00E92DEB" w:rsidP="00E92DEB">
            <w:pPr>
              <w:rPr>
                <w:rFonts w:ascii="Times New Roman" w:hAnsi="Times New Roman" w:cs="Times New Roman"/>
                <w:sz w:val="20"/>
                <w:szCs w:val="24"/>
                <w:lang w:val="en-GB"/>
              </w:rPr>
            </w:pPr>
            <w:r>
              <w:rPr>
                <w:rFonts w:ascii="Times New Roman" w:hAnsi="Times New Roman" w:cs="Times New Roman"/>
                <w:sz w:val="20"/>
                <w:szCs w:val="24"/>
                <w:lang w:val="en-GB"/>
              </w:rPr>
              <w:t xml:space="preserve">High risk of all </w:t>
            </w:r>
            <w:r w:rsidR="0050068E">
              <w:rPr>
                <w:rFonts w:ascii="Times New Roman" w:hAnsi="Times New Roman" w:cs="Times New Roman"/>
                <w:sz w:val="20"/>
                <w:szCs w:val="24"/>
                <w:lang w:val="en-GB"/>
              </w:rPr>
              <w:t xml:space="preserve">affected housing providers </w:t>
            </w:r>
            <w:r>
              <w:rPr>
                <w:rFonts w:ascii="Times New Roman" w:hAnsi="Times New Roman" w:cs="Times New Roman"/>
                <w:sz w:val="20"/>
                <w:szCs w:val="24"/>
                <w:lang w:val="en-GB"/>
              </w:rPr>
              <w:t>being in</w:t>
            </w:r>
            <w:r w:rsidR="0050068E">
              <w:rPr>
                <w:rFonts w:ascii="Times New Roman" w:hAnsi="Times New Roman" w:cs="Times New Roman"/>
                <w:sz w:val="20"/>
                <w:szCs w:val="24"/>
                <w:lang w:val="en-GB"/>
              </w:rPr>
              <w:t xml:space="preserve">eligible for the income tax exemption and </w:t>
            </w:r>
            <w:proofErr w:type="spellStart"/>
            <w:r w:rsidR="0050068E">
              <w:rPr>
                <w:rFonts w:ascii="Times New Roman" w:hAnsi="Times New Roman" w:cs="Times New Roman"/>
                <w:sz w:val="20"/>
                <w:szCs w:val="24"/>
                <w:lang w:val="en-GB"/>
              </w:rPr>
              <w:t>donee</w:t>
            </w:r>
            <w:proofErr w:type="spellEnd"/>
            <w:r w:rsidR="0050068E">
              <w:rPr>
                <w:rFonts w:ascii="Times New Roman" w:hAnsi="Times New Roman" w:cs="Times New Roman"/>
                <w:sz w:val="20"/>
                <w:szCs w:val="24"/>
                <w:lang w:val="en-GB"/>
              </w:rPr>
              <w:t xml:space="preserve"> status if the income threshold is linked to lower quartile of household income</w:t>
            </w:r>
            <w:r w:rsidR="00FF449F">
              <w:rPr>
                <w:rFonts w:ascii="Times New Roman" w:hAnsi="Times New Roman" w:cs="Times New Roman"/>
                <w:sz w:val="20"/>
                <w:szCs w:val="24"/>
                <w:lang w:val="en-GB"/>
              </w:rPr>
              <w:t xml:space="preserve"> levels</w:t>
            </w:r>
            <w:r w:rsidR="00314CFD">
              <w:rPr>
                <w:rFonts w:ascii="Times New Roman" w:hAnsi="Times New Roman" w:cs="Times New Roman"/>
                <w:sz w:val="20"/>
                <w:szCs w:val="24"/>
                <w:lang w:val="en-GB"/>
              </w:rPr>
              <w:t>.</w:t>
            </w:r>
          </w:p>
        </w:tc>
        <w:tc>
          <w:tcPr>
            <w:tcW w:w="1730" w:type="dxa"/>
            <w:vMerge w:val="restart"/>
            <w:tcBorders>
              <w:left w:val="single" w:sz="4" w:space="0" w:color="auto"/>
              <w:right w:val="single" w:sz="4" w:space="0" w:color="auto"/>
            </w:tcBorders>
          </w:tcPr>
          <w:p w:rsidR="0050068E" w:rsidRPr="00222DF7" w:rsidRDefault="0050068E" w:rsidP="0050068E">
            <w:pPr>
              <w:rPr>
                <w:rFonts w:ascii="Times New Roman" w:hAnsi="Times New Roman" w:cs="Times New Roman"/>
                <w:sz w:val="20"/>
                <w:szCs w:val="24"/>
                <w:lang w:val="en-GB"/>
              </w:rPr>
            </w:pPr>
            <w:r>
              <w:rPr>
                <w:rFonts w:ascii="Times New Roman" w:hAnsi="Times New Roman" w:cs="Times New Roman"/>
                <w:sz w:val="20"/>
                <w:szCs w:val="24"/>
                <w:lang w:val="en-GB"/>
              </w:rPr>
              <w:t>Does not address the problem definition and does not meet the objectives</w:t>
            </w:r>
            <w:r w:rsidR="00314CFD">
              <w:rPr>
                <w:rFonts w:ascii="Times New Roman" w:hAnsi="Times New Roman" w:cs="Times New Roman"/>
                <w:sz w:val="20"/>
                <w:szCs w:val="24"/>
                <w:lang w:val="en-GB"/>
              </w:rPr>
              <w:t>.</w:t>
            </w:r>
          </w:p>
        </w:tc>
      </w:tr>
      <w:tr w:rsidR="0050068E" w:rsidRPr="00222DF7" w:rsidTr="00B8123E">
        <w:trPr>
          <w:trHeight w:val="291"/>
        </w:trPr>
        <w:tc>
          <w:tcPr>
            <w:tcW w:w="1951" w:type="dxa"/>
            <w:vMerge/>
            <w:tcBorders>
              <w:left w:val="single" w:sz="4" w:space="0" w:color="auto"/>
              <w:bottom w:val="single" w:sz="4" w:space="0" w:color="auto"/>
            </w:tcBorders>
          </w:tcPr>
          <w:p w:rsidR="0050068E" w:rsidRDefault="0050068E" w:rsidP="00DE0B2E">
            <w:pPr>
              <w:rPr>
                <w:rFonts w:ascii="Times New Roman" w:hAnsi="Times New Roman" w:cs="Times New Roman"/>
                <w:b/>
                <w:sz w:val="20"/>
                <w:szCs w:val="24"/>
                <w:lang w:val="en-GB"/>
              </w:rPr>
            </w:pPr>
          </w:p>
        </w:tc>
        <w:tc>
          <w:tcPr>
            <w:tcW w:w="1589" w:type="dxa"/>
            <w:vMerge/>
            <w:tcBorders>
              <w:bottom w:val="single" w:sz="4" w:space="0" w:color="auto"/>
            </w:tcBorders>
          </w:tcPr>
          <w:p w:rsidR="0050068E" w:rsidRDefault="0050068E" w:rsidP="00DE0B2E">
            <w:pPr>
              <w:rPr>
                <w:rFonts w:ascii="Times New Roman" w:hAnsi="Times New Roman" w:cs="Times New Roman"/>
                <w:sz w:val="20"/>
                <w:szCs w:val="24"/>
                <w:lang w:val="en-GB"/>
              </w:rPr>
            </w:pPr>
          </w:p>
        </w:tc>
        <w:tc>
          <w:tcPr>
            <w:tcW w:w="1376" w:type="dxa"/>
          </w:tcPr>
          <w:p w:rsidR="0050068E" w:rsidRDefault="0050068E" w:rsidP="00DE0B2E">
            <w:pPr>
              <w:rPr>
                <w:rFonts w:ascii="Times New Roman" w:hAnsi="Times New Roman" w:cs="Times New Roman"/>
                <w:sz w:val="20"/>
                <w:szCs w:val="24"/>
                <w:lang w:val="en-GB"/>
              </w:rPr>
            </w:pPr>
            <w:r>
              <w:rPr>
                <w:rFonts w:ascii="Times New Roman" w:hAnsi="Times New Roman" w:cs="Times New Roman"/>
                <w:sz w:val="20"/>
                <w:szCs w:val="24"/>
                <w:lang w:val="en-GB"/>
              </w:rPr>
              <w:t>CHEs</w:t>
            </w:r>
          </w:p>
        </w:tc>
        <w:tc>
          <w:tcPr>
            <w:tcW w:w="3075" w:type="dxa"/>
          </w:tcPr>
          <w:p w:rsidR="0050068E" w:rsidRDefault="00C73D6F" w:rsidP="00FF449F">
            <w:pPr>
              <w:rPr>
                <w:rFonts w:ascii="Times New Roman" w:hAnsi="Times New Roman" w:cs="Times New Roman"/>
                <w:sz w:val="20"/>
                <w:szCs w:val="24"/>
                <w:lang w:val="en-GB"/>
              </w:rPr>
            </w:pPr>
            <w:r>
              <w:rPr>
                <w:rFonts w:ascii="Times New Roman" w:hAnsi="Times New Roman" w:cs="Times New Roman"/>
                <w:sz w:val="20"/>
                <w:szCs w:val="24"/>
                <w:lang w:val="en-GB"/>
              </w:rPr>
              <w:t>Potentially</w:t>
            </w:r>
            <w:r w:rsidR="00B8123E" w:rsidRPr="00B8123E">
              <w:rPr>
                <w:rFonts w:ascii="Times New Roman" w:hAnsi="Times New Roman" w:cs="Times New Roman"/>
                <w:sz w:val="20"/>
                <w:szCs w:val="24"/>
                <w:lang w:val="en-GB"/>
              </w:rPr>
              <w:t xml:space="preserve"> </w:t>
            </w:r>
            <w:r w:rsidR="00E92DEB">
              <w:rPr>
                <w:rFonts w:ascii="Times New Roman" w:hAnsi="Times New Roman" w:cs="Times New Roman"/>
                <w:sz w:val="20"/>
                <w:szCs w:val="24"/>
                <w:lang w:val="en-GB"/>
              </w:rPr>
              <w:t xml:space="preserve">all </w:t>
            </w:r>
            <w:r w:rsidR="00B8123E" w:rsidRPr="00B8123E">
              <w:rPr>
                <w:rFonts w:ascii="Times New Roman" w:hAnsi="Times New Roman" w:cs="Times New Roman"/>
                <w:sz w:val="20"/>
                <w:szCs w:val="24"/>
                <w:lang w:val="en-GB"/>
              </w:rPr>
              <w:t xml:space="preserve">affected housing providers will have future tax costs because their recipients will be </w:t>
            </w:r>
            <w:r>
              <w:rPr>
                <w:rFonts w:ascii="Times New Roman" w:hAnsi="Times New Roman" w:cs="Times New Roman"/>
                <w:sz w:val="20"/>
                <w:szCs w:val="24"/>
                <w:lang w:val="en-GB"/>
              </w:rPr>
              <w:t xml:space="preserve">on </w:t>
            </w:r>
            <w:r w:rsidR="00B8123E" w:rsidRPr="00B8123E">
              <w:rPr>
                <w:rFonts w:ascii="Times New Roman" w:hAnsi="Times New Roman" w:cs="Times New Roman"/>
                <w:sz w:val="20"/>
                <w:szCs w:val="24"/>
                <w:lang w:val="en-GB"/>
              </w:rPr>
              <w:t>incomes</w:t>
            </w:r>
            <w:r w:rsidR="00FF449F">
              <w:rPr>
                <w:rFonts w:ascii="Times New Roman" w:hAnsi="Times New Roman" w:cs="Times New Roman"/>
                <w:sz w:val="20"/>
                <w:szCs w:val="24"/>
                <w:lang w:val="en-GB"/>
              </w:rPr>
              <w:t xml:space="preserve"> above the threshold</w:t>
            </w:r>
            <w:r w:rsidR="00314CFD">
              <w:rPr>
                <w:rFonts w:ascii="Times New Roman" w:hAnsi="Times New Roman" w:cs="Times New Roman"/>
                <w:sz w:val="20"/>
                <w:szCs w:val="24"/>
                <w:lang w:val="en-GB"/>
              </w:rPr>
              <w:t>.</w:t>
            </w:r>
          </w:p>
        </w:tc>
        <w:tc>
          <w:tcPr>
            <w:tcW w:w="2932" w:type="dxa"/>
            <w:tcBorders>
              <w:right w:val="single" w:sz="4" w:space="0" w:color="auto"/>
            </w:tcBorders>
          </w:tcPr>
          <w:p w:rsidR="0050068E" w:rsidRDefault="00C73D6F" w:rsidP="00C73D6F">
            <w:pPr>
              <w:rPr>
                <w:rFonts w:ascii="Times New Roman" w:hAnsi="Times New Roman" w:cs="Times New Roman"/>
                <w:sz w:val="20"/>
                <w:szCs w:val="24"/>
                <w:lang w:val="en-GB"/>
              </w:rPr>
            </w:pPr>
            <w:r>
              <w:rPr>
                <w:rFonts w:ascii="Times New Roman" w:hAnsi="Times New Roman" w:cs="Times New Roman"/>
                <w:sz w:val="20"/>
                <w:szCs w:val="24"/>
                <w:lang w:val="en-GB"/>
              </w:rPr>
              <w:t>Nil</w:t>
            </w:r>
            <w:r w:rsidR="00314CFD">
              <w:rPr>
                <w:rFonts w:ascii="Times New Roman" w:hAnsi="Times New Roman" w:cs="Times New Roman"/>
                <w:sz w:val="20"/>
                <w:szCs w:val="24"/>
                <w:lang w:val="en-GB"/>
              </w:rPr>
              <w:t>.</w:t>
            </w:r>
          </w:p>
        </w:tc>
        <w:tc>
          <w:tcPr>
            <w:tcW w:w="2246" w:type="dxa"/>
            <w:vMerge/>
            <w:tcBorders>
              <w:left w:val="single" w:sz="4" w:space="0" w:color="auto"/>
              <w:bottom w:val="single" w:sz="4" w:space="0" w:color="auto"/>
              <w:right w:val="single" w:sz="4" w:space="0" w:color="auto"/>
            </w:tcBorders>
          </w:tcPr>
          <w:p w:rsidR="0050068E" w:rsidRDefault="0050068E" w:rsidP="0050068E">
            <w:pPr>
              <w:jc w:val="both"/>
              <w:rPr>
                <w:rFonts w:ascii="Times New Roman" w:hAnsi="Times New Roman" w:cs="Times New Roman"/>
                <w:sz w:val="20"/>
                <w:szCs w:val="24"/>
                <w:lang w:val="en-GB"/>
              </w:rPr>
            </w:pPr>
          </w:p>
        </w:tc>
        <w:tc>
          <w:tcPr>
            <w:tcW w:w="1730" w:type="dxa"/>
            <w:vMerge/>
            <w:tcBorders>
              <w:left w:val="single" w:sz="4" w:space="0" w:color="auto"/>
              <w:bottom w:val="single" w:sz="4" w:space="0" w:color="auto"/>
              <w:right w:val="single" w:sz="4" w:space="0" w:color="auto"/>
            </w:tcBorders>
          </w:tcPr>
          <w:p w:rsidR="0050068E" w:rsidRDefault="0050068E" w:rsidP="0050068E">
            <w:pPr>
              <w:jc w:val="both"/>
              <w:rPr>
                <w:rFonts w:ascii="Times New Roman" w:hAnsi="Times New Roman" w:cs="Times New Roman"/>
                <w:sz w:val="20"/>
                <w:szCs w:val="24"/>
                <w:lang w:val="en-GB"/>
              </w:rPr>
            </w:pPr>
          </w:p>
        </w:tc>
      </w:tr>
    </w:tbl>
    <w:p w:rsidR="00222DF7" w:rsidRPr="00222DF7" w:rsidRDefault="00222DF7" w:rsidP="00222DF7">
      <w:pPr>
        <w:spacing w:after="0" w:line="240" w:lineRule="auto"/>
        <w:jc w:val="both"/>
        <w:rPr>
          <w:rFonts w:ascii="Times New Roman" w:hAnsi="Times New Roman" w:cs="Times New Roman"/>
          <w:sz w:val="24"/>
          <w:szCs w:val="24"/>
        </w:rPr>
      </w:pPr>
      <w:r w:rsidRPr="00222DF7">
        <w:rPr>
          <w:rFonts w:ascii="Times New Roman" w:hAnsi="Times New Roman" w:cs="Times New Roman"/>
          <w:sz w:val="24"/>
          <w:szCs w:val="24"/>
        </w:rPr>
        <w:br w:type="page"/>
      </w:r>
    </w:p>
    <w:p w:rsidR="00222DF7" w:rsidRPr="00222DF7" w:rsidRDefault="00222DF7" w:rsidP="00222DF7">
      <w:pPr>
        <w:spacing w:after="0" w:line="240" w:lineRule="auto"/>
        <w:jc w:val="both"/>
        <w:rPr>
          <w:rFonts w:ascii="Times New Roman" w:hAnsi="Times New Roman" w:cs="Times New Roman"/>
          <w:bCs/>
          <w:sz w:val="24"/>
          <w:szCs w:val="24"/>
        </w:rPr>
        <w:sectPr w:rsidR="00222DF7" w:rsidRPr="00222DF7" w:rsidSect="002B6D9C">
          <w:headerReference w:type="default" r:id="rId12"/>
          <w:footerReference w:type="default" r:id="rId13"/>
          <w:headerReference w:type="first" r:id="rId14"/>
          <w:pgSz w:w="16838" w:h="11906" w:orient="landscape" w:code="9"/>
          <w:pgMar w:top="1418" w:right="1021" w:bottom="1588" w:left="1134" w:header="720" w:footer="720" w:gutter="0"/>
          <w:cols w:space="720"/>
          <w:docGrid w:linePitch="299"/>
        </w:sectPr>
      </w:pPr>
    </w:p>
    <w:p w:rsidR="00EC1BC5" w:rsidRDefault="00EC1BC5" w:rsidP="00EC1BC5">
      <w:pPr>
        <w:spacing w:after="0" w:line="240" w:lineRule="auto"/>
        <w:jc w:val="both"/>
        <w:rPr>
          <w:rFonts w:ascii="Times New Roman" w:hAnsi="Times New Roman" w:cs="Times New Roman"/>
          <w:sz w:val="24"/>
          <w:szCs w:val="24"/>
        </w:rPr>
      </w:pPr>
    </w:p>
    <w:p w:rsidR="00EC1BC5" w:rsidRPr="008241FD" w:rsidRDefault="00FF449F" w:rsidP="00EC1BC5">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Quantifying the impacts</w:t>
      </w:r>
    </w:p>
    <w:p w:rsidR="00EC1BC5" w:rsidRDefault="00EC1BC5" w:rsidP="00EC1BC5">
      <w:pPr>
        <w:spacing w:after="0" w:line="240" w:lineRule="auto"/>
        <w:jc w:val="both"/>
        <w:rPr>
          <w:rFonts w:ascii="Times New Roman" w:hAnsi="Times New Roman" w:cs="Times New Roman"/>
          <w:sz w:val="24"/>
          <w:szCs w:val="24"/>
        </w:rPr>
      </w:pPr>
    </w:p>
    <w:p w:rsidR="00AF5B84" w:rsidRPr="00AF5B84" w:rsidRDefault="006158C5" w:rsidP="00AF5B84">
      <w:pPr>
        <w:spacing w:after="0" w:line="240" w:lineRule="auto"/>
        <w:jc w:val="both"/>
        <w:rPr>
          <w:rFonts w:ascii="Times New Roman" w:hAnsi="Times New Roman" w:cs="Times New Roman"/>
          <w:sz w:val="24"/>
          <w:szCs w:val="24"/>
        </w:rPr>
      </w:pPr>
      <w:r w:rsidRPr="006158C5">
        <w:rPr>
          <w:rFonts w:ascii="Times New Roman" w:hAnsi="Times New Roman" w:cs="Times New Roman"/>
          <w:sz w:val="24"/>
          <w:szCs w:val="24"/>
        </w:rPr>
        <w:fldChar w:fldCharType="begin"/>
      </w:r>
      <w:r w:rsidRPr="006158C5">
        <w:rPr>
          <w:rFonts w:ascii="Times New Roman" w:hAnsi="Times New Roman" w:cs="Times New Roman"/>
          <w:sz w:val="24"/>
          <w:szCs w:val="24"/>
        </w:rPr>
        <w:instrText xml:space="preserve"> AUTONUM  </w:instrText>
      </w:r>
      <w:r w:rsidRPr="006158C5">
        <w:rPr>
          <w:rFonts w:ascii="Times New Roman" w:hAnsi="Times New Roman" w:cs="Times New Roman"/>
          <w:sz w:val="24"/>
          <w:szCs w:val="24"/>
        </w:rPr>
        <w:fldChar w:fldCharType="end"/>
      </w:r>
      <w:r w:rsidRPr="006158C5">
        <w:rPr>
          <w:rFonts w:ascii="Times New Roman" w:hAnsi="Times New Roman" w:cs="Times New Roman"/>
          <w:sz w:val="24"/>
          <w:szCs w:val="24"/>
        </w:rPr>
        <w:tab/>
      </w:r>
      <w:r w:rsidR="00AF5B84" w:rsidRPr="00AF5B84">
        <w:rPr>
          <w:rFonts w:ascii="Times New Roman" w:hAnsi="Times New Roman" w:cs="Times New Roman"/>
          <w:sz w:val="24"/>
          <w:szCs w:val="24"/>
        </w:rPr>
        <w:t>Inland Revenue has not been able to determine how many providers are likely to be covered by the options and their eligibility for the CHE tax provisions.  This is because Charities Services has not finalised its decisions on who should be deregistered.  Even if we assumed all of the potentially affected providers would be deregistered we do not have sufficient information on provide</w:t>
      </w:r>
      <w:r w:rsidR="00AF5B84">
        <w:rPr>
          <w:rFonts w:ascii="Times New Roman" w:hAnsi="Times New Roman" w:cs="Times New Roman"/>
          <w:sz w:val="24"/>
          <w:szCs w:val="24"/>
        </w:rPr>
        <w:t>r</w:t>
      </w:r>
      <w:r w:rsidR="00AF5B84" w:rsidRPr="00AF5B84">
        <w:rPr>
          <w:rFonts w:ascii="Times New Roman" w:hAnsi="Times New Roman" w:cs="Times New Roman"/>
          <w:sz w:val="24"/>
          <w:szCs w:val="24"/>
        </w:rPr>
        <w:t xml:space="preserve"> eligibility criteria for their recipients.  We did not contact all potentially affected providers because </w:t>
      </w:r>
      <w:r w:rsidR="006D3D61">
        <w:rPr>
          <w:rFonts w:ascii="Times New Roman" w:hAnsi="Times New Roman" w:cs="Times New Roman"/>
          <w:sz w:val="24"/>
          <w:szCs w:val="24"/>
        </w:rPr>
        <w:t xml:space="preserve">of the </w:t>
      </w:r>
      <w:r w:rsidR="00AF5B84">
        <w:rPr>
          <w:rFonts w:ascii="Times New Roman" w:hAnsi="Times New Roman" w:cs="Times New Roman"/>
          <w:sz w:val="24"/>
          <w:szCs w:val="24"/>
        </w:rPr>
        <w:t xml:space="preserve">risk of creating </w:t>
      </w:r>
      <w:r w:rsidR="00AF5B84" w:rsidRPr="00AF5B84">
        <w:rPr>
          <w:rFonts w:ascii="Times New Roman" w:hAnsi="Times New Roman" w:cs="Times New Roman"/>
          <w:sz w:val="24"/>
          <w:szCs w:val="24"/>
        </w:rPr>
        <w:t xml:space="preserve">confusion </w:t>
      </w:r>
      <w:r w:rsidR="00AF5B84">
        <w:rPr>
          <w:rFonts w:ascii="Times New Roman" w:hAnsi="Times New Roman" w:cs="Times New Roman"/>
          <w:sz w:val="24"/>
          <w:szCs w:val="24"/>
        </w:rPr>
        <w:t xml:space="preserve">around </w:t>
      </w:r>
      <w:r w:rsidR="006D3D61">
        <w:rPr>
          <w:rFonts w:ascii="Times New Roman" w:hAnsi="Times New Roman" w:cs="Times New Roman"/>
          <w:sz w:val="24"/>
          <w:szCs w:val="24"/>
        </w:rPr>
        <w:t>the eligibility of providers</w:t>
      </w:r>
      <w:r w:rsidR="00AF5B84">
        <w:rPr>
          <w:rFonts w:ascii="Times New Roman" w:hAnsi="Times New Roman" w:cs="Times New Roman"/>
          <w:sz w:val="24"/>
          <w:szCs w:val="24"/>
        </w:rPr>
        <w:t xml:space="preserve"> charitable and tax status</w:t>
      </w:r>
      <w:r w:rsidR="00AF5B84" w:rsidRPr="00AF5B84">
        <w:rPr>
          <w:rFonts w:ascii="Times New Roman" w:hAnsi="Times New Roman" w:cs="Times New Roman"/>
          <w:sz w:val="24"/>
          <w:szCs w:val="24"/>
        </w:rPr>
        <w:t>.  As a consequence, we are unable to quantify the full impacts of the options.  The absence of this information is a constraint on our analysis.</w:t>
      </w:r>
    </w:p>
    <w:p w:rsidR="00FF449F" w:rsidRDefault="00FF449F" w:rsidP="00EC1BC5">
      <w:pPr>
        <w:spacing w:after="0" w:line="240" w:lineRule="auto"/>
        <w:jc w:val="both"/>
        <w:rPr>
          <w:rFonts w:ascii="Times New Roman" w:hAnsi="Times New Roman" w:cs="Times New Roman"/>
          <w:sz w:val="24"/>
          <w:szCs w:val="24"/>
        </w:rPr>
      </w:pPr>
    </w:p>
    <w:p w:rsidR="00DE07F5" w:rsidRPr="00DE07F5" w:rsidRDefault="00EF62B4" w:rsidP="00DE07F5">
      <w:pPr>
        <w:spacing w:after="0" w:line="240" w:lineRule="auto"/>
        <w:jc w:val="both"/>
        <w:rPr>
          <w:rFonts w:ascii="Times New Roman" w:hAnsi="Times New Roman" w:cs="Times New Roman"/>
          <w:sz w:val="24"/>
          <w:szCs w:val="24"/>
        </w:rPr>
      </w:pPr>
      <w:r w:rsidRPr="00EF62B4">
        <w:rPr>
          <w:rFonts w:ascii="Times New Roman" w:hAnsi="Times New Roman" w:cs="Times New Roman"/>
          <w:sz w:val="24"/>
          <w:szCs w:val="24"/>
        </w:rPr>
        <w:fldChar w:fldCharType="begin"/>
      </w:r>
      <w:r w:rsidRPr="00EF62B4">
        <w:rPr>
          <w:rFonts w:ascii="Times New Roman" w:hAnsi="Times New Roman" w:cs="Times New Roman"/>
          <w:sz w:val="24"/>
          <w:szCs w:val="24"/>
        </w:rPr>
        <w:instrText xml:space="preserve"> AUTONUM  </w:instrText>
      </w:r>
      <w:r w:rsidRPr="00EF62B4">
        <w:rPr>
          <w:rFonts w:ascii="Times New Roman" w:hAnsi="Times New Roman" w:cs="Times New Roman"/>
          <w:sz w:val="24"/>
          <w:szCs w:val="24"/>
        </w:rPr>
        <w:fldChar w:fldCharType="end"/>
      </w:r>
      <w:r w:rsidRPr="00EF62B4">
        <w:rPr>
          <w:rFonts w:ascii="Times New Roman" w:hAnsi="Times New Roman" w:cs="Times New Roman"/>
          <w:sz w:val="24"/>
          <w:szCs w:val="24"/>
        </w:rPr>
        <w:tab/>
      </w:r>
      <w:r w:rsidR="00DE07F5" w:rsidRPr="00DE07F5">
        <w:rPr>
          <w:rFonts w:ascii="Times New Roman" w:hAnsi="Times New Roman" w:cs="Times New Roman"/>
          <w:sz w:val="24"/>
          <w:szCs w:val="24"/>
        </w:rPr>
        <w:t>When agreed to in October 2013, the CHE tax provisions allowed for an annual fiscal cost of $2.4 million [CAB Min (13) 37/10 refers].  This estimate included a cost of $2.3 million per year due to income tax foregone under the tax exemption, and $0.1</w:t>
      </w:r>
      <w:r w:rsidR="00DE07F5">
        <w:rPr>
          <w:rFonts w:ascii="Times New Roman" w:hAnsi="Times New Roman" w:cs="Times New Roman"/>
          <w:sz w:val="24"/>
          <w:szCs w:val="24"/>
        </w:rPr>
        <w:t xml:space="preserve"> </w:t>
      </w:r>
      <w:r w:rsidR="00DE07F5" w:rsidRPr="00DE07F5">
        <w:rPr>
          <w:rFonts w:ascii="Times New Roman" w:hAnsi="Times New Roman" w:cs="Times New Roman"/>
          <w:sz w:val="24"/>
          <w:szCs w:val="24"/>
        </w:rPr>
        <w:t xml:space="preserve">million per year for tax relief on donations made to eligible </w:t>
      </w:r>
      <w:proofErr w:type="spellStart"/>
      <w:r w:rsidR="00DE07F5" w:rsidRPr="00DE07F5">
        <w:rPr>
          <w:rFonts w:ascii="Times New Roman" w:hAnsi="Times New Roman" w:cs="Times New Roman"/>
          <w:sz w:val="24"/>
          <w:szCs w:val="24"/>
        </w:rPr>
        <w:t>CHEs</w:t>
      </w:r>
      <w:r w:rsidR="00DE07F5">
        <w:rPr>
          <w:rFonts w:ascii="Times New Roman" w:hAnsi="Times New Roman" w:cs="Times New Roman"/>
          <w:sz w:val="24"/>
          <w:szCs w:val="24"/>
        </w:rPr>
        <w:t>.</w:t>
      </w:r>
      <w:proofErr w:type="spellEnd"/>
      <w:r w:rsidR="00DE07F5">
        <w:rPr>
          <w:rFonts w:ascii="Times New Roman" w:hAnsi="Times New Roman" w:cs="Times New Roman"/>
          <w:sz w:val="24"/>
          <w:szCs w:val="24"/>
        </w:rPr>
        <w:t xml:space="preserve">  </w:t>
      </w:r>
      <w:r w:rsidR="00DE07F5" w:rsidRPr="00DE07F5">
        <w:rPr>
          <w:rFonts w:ascii="Times New Roman" w:hAnsi="Times New Roman" w:cs="Times New Roman"/>
          <w:sz w:val="24"/>
          <w:szCs w:val="24"/>
        </w:rPr>
        <w:t>As we no longer expect any entities to qualify for the tax exemption under a lower qua</w:t>
      </w:r>
      <w:r w:rsidR="00DE07F5">
        <w:rPr>
          <w:rFonts w:ascii="Times New Roman" w:hAnsi="Times New Roman" w:cs="Times New Roman"/>
          <w:sz w:val="24"/>
          <w:szCs w:val="24"/>
        </w:rPr>
        <w:t>rtile income threshold, option 3</w:t>
      </w:r>
      <w:r w:rsidR="00DE07F5" w:rsidRPr="00DE07F5">
        <w:rPr>
          <w:rFonts w:ascii="Times New Roman" w:hAnsi="Times New Roman" w:cs="Times New Roman"/>
          <w:sz w:val="24"/>
          <w:szCs w:val="24"/>
        </w:rPr>
        <w:t xml:space="preserve"> (the status quo) is expected to return this $2.4 million tax revenue per year to the Crown.</w:t>
      </w:r>
    </w:p>
    <w:p w:rsidR="00DE07F5" w:rsidRPr="00DE07F5" w:rsidRDefault="00DE07F5" w:rsidP="00DE07F5">
      <w:pPr>
        <w:spacing w:after="0" w:line="240" w:lineRule="auto"/>
        <w:jc w:val="both"/>
        <w:rPr>
          <w:rFonts w:ascii="Times New Roman" w:hAnsi="Times New Roman" w:cs="Times New Roman"/>
          <w:sz w:val="24"/>
          <w:szCs w:val="24"/>
        </w:rPr>
      </w:pPr>
    </w:p>
    <w:p w:rsidR="00DE07F5" w:rsidRPr="00DE07F5" w:rsidRDefault="00DE07F5" w:rsidP="00DE07F5">
      <w:pPr>
        <w:spacing w:after="0" w:line="240" w:lineRule="auto"/>
        <w:jc w:val="both"/>
        <w:rPr>
          <w:rFonts w:ascii="Times New Roman" w:hAnsi="Times New Roman" w:cs="Times New Roman"/>
          <w:sz w:val="24"/>
          <w:szCs w:val="24"/>
        </w:rPr>
      </w:pPr>
      <w:r w:rsidRPr="00DE07F5">
        <w:rPr>
          <w:rFonts w:ascii="Times New Roman" w:hAnsi="Times New Roman" w:cs="Times New Roman"/>
          <w:sz w:val="24"/>
          <w:szCs w:val="24"/>
        </w:rPr>
        <w:fldChar w:fldCharType="begin"/>
      </w:r>
      <w:r w:rsidRPr="00DE07F5">
        <w:rPr>
          <w:rFonts w:ascii="Times New Roman" w:hAnsi="Times New Roman" w:cs="Times New Roman"/>
          <w:sz w:val="24"/>
          <w:szCs w:val="24"/>
        </w:rPr>
        <w:instrText xml:space="preserve"> AUTONUM  </w:instrText>
      </w:r>
      <w:r w:rsidRPr="00DE07F5">
        <w:rPr>
          <w:rFonts w:ascii="Times New Roman" w:hAnsi="Times New Roman" w:cs="Times New Roman"/>
          <w:sz w:val="24"/>
          <w:szCs w:val="24"/>
        </w:rPr>
        <w:fldChar w:fldCharType="end"/>
      </w:r>
      <w:r w:rsidRPr="00DE07F5">
        <w:rPr>
          <w:rFonts w:ascii="Times New Roman" w:hAnsi="Times New Roman" w:cs="Times New Roman"/>
          <w:sz w:val="24"/>
          <w:szCs w:val="24"/>
        </w:rPr>
        <w:tab/>
        <w:t xml:space="preserve">However, the </w:t>
      </w:r>
      <w:r>
        <w:rPr>
          <w:rFonts w:ascii="Times New Roman" w:hAnsi="Times New Roman" w:cs="Times New Roman"/>
          <w:sz w:val="24"/>
          <w:szCs w:val="24"/>
        </w:rPr>
        <w:t>income thresholds for options 1</w:t>
      </w:r>
      <w:r w:rsidRPr="00DE07F5">
        <w:rPr>
          <w:rFonts w:ascii="Times New Roman" w:hAnsi="Times New Roman" w:cs="Times New Roman"/>
          <w:sz w:val="24"/>
          <w:szCs w:val="24"/>
        </w:rPr>
        <w:t xml:space="preserve"> and </w:t>
      </w:r>
      <w:r>
        <w:rPr>
          <w:rFonts w:ascii="Times New Roman" w:hAnsi="Times New Roman" w:cs="Times New Roman"/>
          <w:sz w:val="24"/>
          <w:szCs w:val="24"/>
        </w:rPr>
        <w:t>2</w:t>
      </w:r>
      <w:r w:rsidRPr="00DE07F5">
        <w:rPr>
          <w:rFonts w:ascii="Times New Roman" w:hAnsi="Times New Roman" w:cs="Times New Roman"/>
          <w:sz w:val="24"/>
          <w:szCs w:val="24"/>
        </w:rPr>
        <w:t xml:space="preserve"> are expected to be broad enough to assist the group of entities that were originally intended to be covered, and one further entity </w:t>
      </w:r>
      <w:r>
        <w:rPr>
          <w:rFonts w:ascii="Times New Roman" w:hAnsi="Times New Roman" w:cs="Times New Roman"/>
          <w:sz w:val="24"/>
          <w:szCs w:val="24"/>
        </w:rPr>
        <w:t>who had been deregistered as a charity</w:t>
      </w:r>
      <w:r w:rsidRPr="00DE07F5">
        <w:rPr>
          <w:rFonts w:ascii="Times New Roman" w:hAnsi="Times New Roman" w:cs="Times New Roman"/>
          <w:sz w:val="24"/>
          <w:szCs w:val="24"/>
        </w:rPr>
        <w:t xml:space="preserve">.  As a result, both options </w:t>
      </w:r>
      <w:r>
        <w:rPr>
          <w:rFonts w:ascii="Times New Roman" w:hAnsi="Times New Roman" w:cs="Times New Roman"/>
          <w:sz w:val="24"/>
          <w:szCs w:val="24"/>
        </w:rPr>
        <w:t>1</w:t>
      </w:r>
      <w:r w:rsidRPr="00DE07F5">
        <w:rPr>
          <w:rFonts w:ascii="Times New Roman" w:hAnsi="Times New Roman" w:cs="Times New Roman"/>
          <w:sz w:val="24"/>
          <w:szCs w:val="24"/>
        </w:rPr>
        <w:t xml:space="preserve"> and </w:t>
      </w:r>
      <w:r>
        <w:rPr>
          <w:rFonts w:ascii="Times New Roman" w:hAnsi="Times New Roman" w:cs="Times New Roman"/>
          <w:sz w:val="24"/>
          <w:szCs w:val="24"/>
        </w:rPr>
        <w:t>2</w:t>
      </w:r>
      <w:r w:rsidRPr="00DE07F5">
        <w:rPr>
          <w:rFonts w:ascii="Times New Roman" w:hAnsi="Times New Roman" w:cs="Times New Roman"/>
          <w:sz w:val="24"/>
          <w:szCs w:val="24"/>
        </w:rPr>
        <w:t xml:space="preserve"> are expected to reinstate the original annual fiscal cost of $2.4 million, as well as incurring an additional fiscal cost of $0.5 million per year.  This additional fiscal cost ($0.5 million) relates to the estimated loss in tax revenue from </w:t>
      </w:r>
      <w:r w:rsidR="00E92DEB">
        <w:rPr>
          <w:rFonts w:ascii="Times New Roman" w:hAnsi="Times New Roman" w:cs="Times New Roman"/>
          <w:sz w:val="24"/>
          <w:szCs w:val="24"/>
        </w:rPr>
        <w:t xml:space="preserve">one already deregistered provider that we know of being </w:t>
      </w:r>
      <w:r w:rsidRPr="00DE07F5">
        <w:rPr>
          <w:rFonts w:ascii="Times New Roman" w:hAnsi="Times New Roman" w:cs="Times New Roman"/>
          <w:sz w:val="24"/>
          <w:szCs w:val="24"/>
        </w:rPr>
        <w:t xml:space="preserve">eligible for the </w:t>
      </w:r>
      <w:r w:rsidR="00E92DEB">
        <w:rPr>
          <w:rFonts w:ascii="Times New Roman" w:hAnsi="Times New Roman" w:cs="Times New Roman"/>
          <w:sz w:val="24"/>
          <w:szCs w:val="24"/>
        </w:rPr>
        <w:t xml:space="preserve">income </w:t>
      </w:r>
      <w:r w:rsidRPr="00DE07F5">
        <w:rPr>
          <w:rFonts w:ascii="Times New Roman" w:hAnsi="Times New Roman" w:cs="Times New Roman"/>
          <w:sz w:val="24"/>
          <w:szCs w:val="24"/>
        </w:rPr>
        <w:t>tax exemption.</w:t>
      </w:r>
    </w:p>
    <w:p w:rsidR="00DE07F5" w:rsidRPr="00DE07F5" w:rsidRDefault="00DE07F5" w:rsidP="00DE07F5">
      <w:pPr>
        <w:spacing w:after="0" w:line="240" w:lineRule="auto"/>
        <w:jc w:val="both"/>
        <w:rPr>
          <w:rFonts w:ascii="Times New Roman" w:hAnsi="Times New Roman" w:cs="Times New Roman"/>
          <w:sz w:val="24"/>
          <w:szCs w:val="24"/>
        </w:rPr>
      </w:pPr>
    </w:p>
    <w:p w:rsidR="008241FD" w:rsidRPr="008241FD" w:rsidRDefault="00064241" w:rsidP="008241F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Social</w:t>
      </w:r>
      <w:r w:rsidR="00C73D6F">
        <w:rPr>
          <w:rFonts w:ascii="Times New Roman" w:hAnsi="Times New Roman" w:cs="Times New Roman"/>
          <w:i/>
          <w:sz w:val="24"/>
          <w:szCs w:val="24"/>
        </w:rPr>
        <w:t>,</w:t>
      </w:r>
      <w:r>
        <w:rPr>
          <w:rFonts w:ascii="Times New Roman" w:hAnsi="Times New Roman" w:cs="Times New Roman"/>
          <w:i/>
          <w:sz w:val="24"/>
          <w:szCs w:val="24"/>
        </w:rPr>
        <w:t xml:space="preserve"> e</w:t>
      </w:r>
      <w:r w:rsidR="008241FD" w:rsidRPr="008241FD">
        <w:rPr>
          <w:rFonts w:ascii="Times New Roman" w:hAnsi="Times New Roman" w:cs="Times New Roman"/>
          <w:i/>
          <w:sz w:val="24"/>
          <w:szCs w:val="24"/>
        </w:rPr>
        <w:t>nvironment or cultural impacts of all options</w:t>
      </w:r>
    </w:p>
    <w:p w:rsidR="008241FD" w:rsidRPr="008241FD" w:rsidRDefault="008241FD" w:rsidP="008241FD">
      <w:pPr>
        <w:spacing w:after="0" w:line="240" w:lineRule="auto"/>
        <w:jc w:val="both"/>
        <w:rPr>
          <w:rFonts w:ascii="Times New Roman" w:hAnsi="Times New Roman" w:cs="Times New Roman"/>
          <w:sz w:val="24"/>
          <w:szCs w:val="24"/>
        </w:rPr>
      </w:pPr>
    </w:p>
    <w:p w:rsidR="008241FD" w:rsidRPr="008241FD" w:rsidRDefault="008241FD" w:rsidP="008241FD">
      <w:pPr>
        <w:spacing w:after="0" w:line="240" w:lineRule="auto"/>
        <w:jc w:val="both"/>
        <w:rPr>
          <w:rFonts w:ascii="Times New Roman" w:hAnsi="Times New Roman" w:cs="Times New Roman"/>
          <w:sz w:val="24"/>
          <w:szCs w:val="24"/>
        </w:rPr>
      </w:pPr>
      <w:r w:rsidRPr="008241FD">
        <w:rPr>
          <w:rFonts w:ascii="Times New Roman" w:hAnsi="Times New Roman" w:cs="Times New Roman"/>
          <w:sz w:val="24"/>
          <w:szCs w:val="24"/>
        </w:rPr>
        <w:fldChar w:fldCharType="begin"/>
      </w:r>
      <w:r w:rsidRPr="008241FD">
        <w:rPr>
          <w:rFonts w:ascii="Times New Roman" w:hAnsi="Times New Roman" w:cs="Times New Roman"/>
          <w:sz w:val="24"/>
          <w:szCs w:val="24"/>
        </w:rPr>
        <w:instrText xml:space="preserve"> AUTONUM  </w:instrText>
      </w:r>
      <w:r w:rsidRPr="008241FD">
        <w:rPr>
          <w:rFonts w:ascii="Times New Roman" w:hAnsi="Times New Roman" w:cs="Times New Roman"/>
          <w:sz w:val="24"/>
          <w:szCs w:val="24"/>
        </w:rPr>
        <w:fldChar w:fldCharType="end"/>
      </w:r>
      <w:r w:rsidRPr="008241FD">
        <w:rPr>
          <w:rFonts w:ascii="Times New Roman" w:hAnsi="Times New Roman" w:cs="Times New Roman"/>
          <w:sz w:val="24"/>
          <w:szCs w:val="24"/>
        </w:rPr>
        <w:tab/>
        <w:t xml:space="preserve">Providing support to affordable </w:t>
      </w:r>
      <w:r w:rsidR="00DE07F5">
        <w:rPr>
          <w:rFonts w:ascii="Times New Roman" w:hAnsi="Times New Roman" w:cs="Times New Roman"/>
          <w:sz w:val="24"/>
          <w:szCs w:val="24"/>
        </w:rPr>
        <w:t>homeownership</w:t>
      </w:r>
      <w:r w:rsidRPr="008241FD">
        <w:rPr>
          <w:rFonts w:ascii="Times New Roman" w:hAnsi="Times New Roman" w:cs="Times New Roman"/>
          <w:sz w:val="24"/>
          <w:szCs w:val="24"/>
        </w:rPr>
        <w:t xml:space="preserve"> providers could have the following social benefits:</w:t>
      </w:r>
    </w:p>
    <w:p w:rsidR="008241FD" w:rsidRPr="008241FD" w:rsidRDefault="008241FD" w:rsidP="008241FD">
      <w:pPr>
        <w:spacing w:after="0" w:line="240" w:lineRule="auto"/>
        <w:jc w:val="both"/>
        <w:rPr>
          <w:rFonts w:ascii="Times New Roman" w:hAnsi="Times New Roman" w:cs="Times New Roman"/>
          <w:sz w:val="24"/>
          <w:szCs w:val="24"/>
        </w:rPr>
      </w:pPr>
    </w:p>
    <w:p w:rsidR="008241FD" w:rsidRPr="00C73D6F" w:rsidRDefault="008241FD" w:rsidP="00C73D6F">
      <w:pPr>
        <w:pStyle w:val="ListParagraph"/>
        <w:numPr>
          <w:ilvl w:val="0"/>
          <w:numId w:val="20"/>
        </w:numPr>
        <w:spacing w:after="0" w:line="240" w:lineRule="auto"/>
        <w:ind w:left="1080"/>
        <w:jc w:val="both"/>
        <w:rPr>
          <w:rFonts w:ascii="Times New Roman" w:hAnsi="Times New Roman" w:cs="Times New Roman"/>
          <w:sz w:val="24"/>
          <w:szCs w:val="24"/>
        </w:rPr>
      </w:pPr>
      <w:r w:rsidRPr="00C73D6F">
        <w:rPr>
          <w:rFonts w:ascii="Times New Roman" w:hAnsi="Times New Roman" w:cs="Times New Roman"/>
          <w:sz w:val="24"/>
          <w:szCs w:val="24"/>
        </w:rPr>
        <w:t xml:space="preserve">reduces pressure on </w:t>
      </w:r>
      <w:r w:rsidR="00BC5CE0">
        <w:rPr>
          <w:rFonts w:ascii="Times New Roman" w:hAnsi="Times New Roman" w:cs="Times New Roman"/>
          <w:sz w:val="24"/>
          <w:szCs w:val="24"/>
        </w:rPr>
        <w:t xml:space="preserve">the </w:t>
      </w:r>
      <w:r w:rsidRPr="00C73D6F">
        <w:rPr>
          <w:rFonts w:ascii="Times New Roman" w:hAnsi="Times New Roman" w:cs="Times New Roman"/>
          <w:sz w:val="24"/>
          <w:szCs w:val="24"/>
        </w:rPr>
        <w:t>rental market;</w:t>
      </w:r>
    </w:p>
    <w:p w:rsidR="008241FD" w:rsidRPr="008241FD" w:rsidRDefault="008241FD" w:rsidP="00C73D6F">
      <w:pPr>
        <w:spacing w:after="0" w:line="240" w:lineRule="auto"/>
        <w:ind w:left="360"/>
        <w:jc w:val="both"/>
        <w:rPr>
          <w:rFonts w:ascii="Times New Roman" w:hAnsi="Times New Roman" w:cs="Times New Roman"/>
          <w:sz w:val="24"/>
          <w:szCs w:val="24"/>
        </w:rPr>
      </w:pPr>
    </w:p>
    <w:p w:rsidR="008241FD" w:rsidRPr="00C73D6F" w:rsidRDefault="008241FD" w:rsidP="00C73D6F">
      <w:pPr>
        <w:pStyle w:val="ListParagraph"/>
        <w:numPr>
          <w:ilvl w:val="0"/>
          <w:numId w:val="20"/>
        </w:numPr>
        <w:spacing w:after="0" w:line="240" w:lineRule="auto"/>
        <w:ind w:left="1080"/>
        <w:jc w:val="both"/>
        <w:rPr>
          <w:rFonts w:ascii="Times New Roman" w:hAnsi="Times New Roman" w:cs="Times New Roman"/>
          <w:sz w:val="24"/>
          <w:szCs w:val="24"/>
        </w:rPr>
      </w:pPr>
      <w:proofErr w:type="gramStart"/>
      <w:r w:rsidRPr="00C73D6F">
        <w:rPr>
          <w:rFonts w:ascii="Times New Roman" w:hAnsi="Times New Roman" w:cs="Times New Roman"/>
          <w:sz w:val="24"/>
          <w:szCs w:val="24"/>
        </w:rPr>
        <w:t>households</w:t>
      </w:r>
      <w:proofErr w:type="gramEnd"/>
      <w:r w:rsidRPr="00C73D6F">
        <w:rPr>
          <w:rFonts w:ascii="Times New Roman" w:hAnsi="Times New Roman" w:cs="Times New Roman"/>
          <w:sz w:val="24"/>
          <w:szCs w:val="24"/>
        </w:rPr>
        <w:t xml:space="preserve"> achieve more permanent housing solutions – households that are assisted may have been very transient in their quest to find suitable rental accommodation options.  Increased stability through homeownership could mean households are more inclined to become active members of their community, have more permanent access to education and employment options; and</w:t>
      </w:r>
    </w:p>
    <w:p w:rsidR="008241FD" w:rsidRPr="008241FD" w:rsidRDefault="008241FD" w:rsidP="00C73D6F">
      <w:pPr>
        <w:spacing w:after="0" w:line="240" w:lineRule="auto"/>
        <w:ind w:left="360"/>
        <w:jc w:val="both"/>
        <w:rPr>
          <w:rFonts w:ascii="Times New Roman" w:hAnsi="Times New Roman" w:cs="Times New Roman"/>
          <w:sz w:val="24"/>
          <w:szCs w:val="24"/>
        </w:rPr>
      </w:pPr>
    </w:p>
    <w:p w:rsidR="008241FD" w:rsidRPr="00C73D6F" w:rsidRDefault="008241FD" w:rsidP="00C73D6F">
      <w:pPr>
        <w:pStyle w:val="ListParagraph"/>
        <w:numPr>
          <w:ilvl w:val="0"/>
          <w:numId w:val="20"/>
        </w:numPr>
        <w:spacing w:after="0" w:line="240" w:lineRule="auto"/>
        <w:ind w:left="1080"/>
        <w:jc w:val="both"/>
        <w:rPr>
          <w:rFonts w:ascii="Times New Roman" w:hAnsi="Times New Roman" w:cs="Times New Roman"/>
          <w:sz w:val="24"/>
          <w:szCs w:val="24"/>
        </w:rPr>
      </w:pPr>
      <w:proofErr w:type="gramStart"/>
      <w:r w:rsidRPr="00C73D6F">
        <w:rPr>
          <w:rFonts w:ascii="Times New Roman" w:hAnsi="Times New Roman" w:cs="Times New Roman"/>
          <w:sz w:val="24"/>
          <w:szCs w:val="24"/>
        </w:rPr>
        <w:t>depending</w:t>
      </w:r>
      <w:proofErr w:type="gramEnd"/>
      <w:r w:rsidRPr="00C73D6F">
        <w:rPr>
          <w:rFonts w:ascii="Times New Roman" w:hAnsi="Times New Roman" w:cs="Times New Roman"/>
          <w:sz w:val="24"/>
          <w:szCs w:val="24"/>
        </w:rPr>
        <w:t xml:space="preserve"> on requirements of the </w:t>
      </w:r>
      <w:r w:rsidR="00C73D6F" w:rsidRPr="00C73D6F">
        <w:rPr>
          <w:rFonts w:ascii="Times New Roman" w:hAnsi="Times New Roman" w:cs="Times New Roman"/>
          <w:sz w:val="24"/>
          <w:szCs w:val="24"/>
        </w:rPr>
        <w:t>CHE</w:t>
      </w:r>
      <w:r w:rsidRPr="00C73D6F">
        <w:rPr>
          <w:rFonts w:ascii="Times New Roman" w:hAnsi="Times New Roman" w:cs="Times New Roman"/>
          <w:sz w:val="24"/>
          <w:szCs w:val="24"/>
        </w:rPr>
        <w:t>, it supports households who are able to sustain a mortgage long-term but are unable to save enough for a deposit.</w:t>
      </w:r>
    </w:p>
    <w:p w:rsidR="008241FD" w:rsidRPr="008241FD" w:rsidRDefault="008241FD" w:rsidP="008241FD">
      <w:pPr>
        <w:spacing w:after="0" w:line="240" w:lineRule="auto"/>
        <w:jc w:val="both"/>
        <w:rPr>
          <w:rFonts w:ascii="Times New Roman" w:hAnsi="Times New Roman" w:cs="Times New Roman"/>
          <w:sz w:val="24"/>
          <w:szCs w:val="24"/>
        </w:rPr>
      </w:pPr>
    </w:p>
    <w:p w:rsidR="008241FD" w:rsidRPr="008241FD" w:rsidRDefault="008241FD" w:rsidP="008241FD">
      <w:pPr>
        <w:spacing w:after="0" w:line="240" w:lineRule="auto"/>
        <w:jc w:val="both"/>
        <w:rPr>
          <w:rFonts w:ascii="Times New Roman" w:hAnsi="Times New Roman" w:cs="Times New Roman"/>
          <w:sz w:val="24"/>
          <w:szCs w:val="24"/>
        </w:rPr>
      </w:pPr>
      <w:r w:rsidRPr="008241FD">
        <w:rPr>
          <w:rFonts w:ascii="Times New Roman" w:hAnsi="Times New Roman" w:cs="Times New Roman"/>
          <w:sz w:val="24"/>
          <w:szCs w:val="24"/>
        </w:rPr>
        <w:fldChar w:fldCharType="begin"/>
      </w:r>
      <w:r w:rsidRPr="008241FD">
        <w:rPr>
          <w:rFonts w:ascii="Times New Roman" w:hAnsi="Times New Roman" w:cs="Times New Roman"/>
          <w:sz w:val="24"/>
          <w:szCs w:val="24"/>
        </w:rPr>
        <w:instrText xml:space="preserve"> AUTONUM  </w:instrText>
      </w:r>
      <w:r w:rsidRPr="008241FD">
        <w:rPr>
          <w:rFonts w:ascii="Times New Roman" w:hAnsi="Times New Roman" w:cs="Times New Roman"/>
          <w:sz w:val="24"/>
          <w:szCs w:val="24"/>
        </w:rPr>
        <w:fldChar w:fldCharType="end"/>
      </w:r>
      <w:r w:rsidRPr="008241FD">
        <w:rPr>
          <w:rFonts w:ascii="Times New Roman" w:hAnsi="Times New Roman" w:cs="Times New Roman"/>
          <w:sz w:val="24"/>
          <w:szCs w:val="24"/>
        </w:rPr>
        <w:tab/>
        <w:t>There are no environmental or cultural impacts associated with the options considered above.</w:t>
      </w:r>
    </w:p>
    <w:p w:rsidR="008241FD" w:rsidRDefault="008241FD" w:rsidP="00EF62B4">
      <w:pPr>
        <w:spacing w:after="0" w:line="240" w:lineRule="auto"/>
        <w:jc w:val="both"/>
        <w:rPr>
          <w:rFonts w:ascii="Times New Roman" w:hAnsi="Times New Roman" w:cs="Times New Roman"/>
          <w:sz w:val="24"/>
          <w:szCs w:val="24"/>
        </w:rPr>
      </w:pPr>
    </w:p>
    <w:p w:rsidR="00B95B1F" w:rsidRPr="00B95B1F" w:rsidRDefault="00B95B1F" w:rsidP="00EF62B4">
      <w:pPr>
        <w:spacing w:after="0" w:line="240" w:lineRule="auto"/>
        <w:jc w:val="both"/>
        <w:rPr>
          <w:rFonts w:ascii="Times New Roman" w:hAnsi="Times New Roman" w:cs="Times New Roman"/>
          <w:i/>
          <w:sz w:val="24"/>
          <w:szCs w:val="24"/>
        </w:rPr>
      </w:pPr>
      <w:r w:rsidRPr="00B95B1F">
        <w:rPr>
          <w:rFonts w:ascii="Times New Roman" w:hAnsi="Times New Roman" w:cs="Times New Roman"/>
          <w:i/>
          <w:sz w:val="24"/>
          <w:szCs w:val="24"/>
        </w:rPr>
        <w:t xml:space="preserve">Additional </w:t>
      </w:r>
      <w:r>
        <w:rPr>
          <w:rFonts w:ascii="Times New Roman" w:hAnsi="Times New Roman" w:cs="Times New Roman"/>
          <w:i/>
          <w:sz w:val="24"/>
          <w:szCs w:val="24"/>
        </w:rPr>
        <w:t xml:space="preserve">eligibility criteria – assets </w:t>
      </w:r>
      <w:r w:rsidR="00C24544">
        <w:rPr>
          <w:rFonts w:ascii="Times New Roman" w:hAnsi="Times New Roman" w:cs="Times New Roman"/>
          <w:i/>
          <w:sz w:val="24"/>
          <w:szCs w:val="24"/>
        </w:rPr>
        <w:t>cap</w:t>
      </w:r>
    </w:p>
    <w:p w:rsidR="00B95B1F" w:rsidRDefault="00B95B1F" w:rsidP="00EF62B4">
      <w:pPr>
        <w:spacing w:after="0" w:line="240" w:lineRule="auto"/>
        <w:jc w:val="both"/>
        <w:rPr>
          <w:rFonts w:ascii="Times New Roman" w:hAnsi="Times New Roman" w:cs="Times New Roman"/>
          <w:sz w:val="24"/>
          <w:szCs w:val="24"/>
        </w:rPr>
      </w:pPr>
    </w:p>
    <w:p w:rsidR="00C24544" w:rsidRPr="00C24544" w:rsidRDefault="00B95B1F" w:rsidP="00B95B1F">
      <w:pPr>
        <w:spacing w:after="0" w:line="240" w:lineRule="auto"/>
        <w:jc w:val="both"/>
        <w:rPr>
          <w:rFonts w:ascii="Times New Roman" w:hAnsi="Times New Roman" w:cs="Times New Roman"/>
          <w:sz w:val="24"/>
          <w:szCs w:val="24"/>
        </w:rPr>
      </w:pPr>
      <w:r w:rsidRPr="00B95B1F">
        <w:rPr>
          <w:rFonts w:ascii="Times New Roman" w:hAnsi="Times New Roman" w:cs="Times New Roman"/>
          <w:sz w:val="24"/>
          <w:szCs w:val="24"/>
        </w:rPr>
        <w:fldChar w:fldCharType="begin"/>
      </w:r>
      <w:r w:rsidRPr="00B95B1F">
        <w:rPr>
          <w:rFonts w:ascii="Times New Roman" w:hAnsi="Times New Roman" w:cs="Times New Roman"/>
          <w:sz w:val="24"/>
          <w:szCs w:val="24"/>
        </w:rPr>
        <w:instrText xml:space="preserve"> AUTONUM  </w:instrText>
      </w:r>
      <w:r w:rsidRPr="00B95B1F">
        <w:rPr>
          <w:rFonts w:ascii="Times New Roman" w:hAnsi="Times New Roman" w:cs="Times New Roman"/>
          <w:sz w:val="24"/>
          <w:szCs w:val="24"/>
        </w:rPr>
        <w:fldChar w:fldCharType="end"/>
      </w:r>
      <w:r w:rsidRPr="00B95B1F">
        <w:rPr>
          <w:rFonts w:ascii="Times New Roman" w:hAnsi="Times New Roman" w:cs="Times New Roman"/>
          <w:sz w:val="24"/>
          <w:szCs w:val="24"/>
        </w:rPr>
        <w:tab/>
        <w:t xml:space="preserve">Part of the eligibility criteria outlined in section 225D is the inclusion of an asset test to provide further protections from the asset rich/cash poor utilising affordable homeownership schemes.  </w:t>
      </w:r>
      <w:r w:rsidR="00C24544">
        <w:rPr>
          <w:rFonts w:ascii="Times New Roman" w:hAnsi="Times New Roman" w:cs="Times New Roman"/>
          <w:sz w:val="24"/>
          <w:szCs w:val="24"/>
        </w:rPr>
        <w:t xml:space="preserve">We first discussed the merits of an asset cap in the </w:t>
      </w:r>
      <w:r w:rsidR="00C24544" w:rsidRPr="00C24544">
        <w:rPr>
          <w:rFonts w:ascii="Times New Roman" w:hAnsi="Times New Roman" w:cs="Times New Roman"/>
          <w:i/>
          <w:sz w:val="24"/>
          <w:szCs w:val="24"/>
        </w:rPr>
        <w:t xml:space="preserve">Tax Treatment of community housing providers </w:t>
      </w:r>
      <w:r w:rsidR="00C24544" w:rsidRPr="00C24544">
        <w:rPr>
          <w:rFonts w:ascii="Times New Roman" w:hAnsi="Times New Roman" w:cs="Times New Roman"/>
          <w:sz w:val="24"/>
          <w:szCs w:val="24"/>
        </w:rPr>
        <w:t>RIS</w:t>
      </w:r>
      <w:r w:rsidR="00C24544">
        <w:rPr>
          <w:rFonts w:ascii="Times New Roman" w:hAnsi="Times New Roman" w:cs="Times New Roman"/>
          <w:i/>
          <w:sz w:val="24"/>
          <w:szCs w:val="24"/>
        </w:rPr>
        <w:t xml:space="preserve"> </w:t>
      </w:r>
      <w:r w:rsidR="00C24544" w:rsidRPr="00C24544">
        <w:rPr>
          <w:rFonts w:ascii="Times New Roman" w:hAnsi="Times New Roman" w:cs="Times New Roman"/>
          <w:sz w:val="24"/>
          <w:szCs w:val="24"/>
        </w:rPr>
        <w:t>(23 October 2013)</w:t>
      </w:r>
      <w:r w:rsidR="00C24544" w:rsidRPr="00C24544">
        <w:rPr>
          <w:rFonts w:ascii="Times New Roman" w:hAnsi="Times New Roman" w:cs="Times New Roman"/>
          <w:i/>
          <w:sz w:val="24"/>
          <w:szCs w:val="24"/>
        </w:rPr>
        <w:t>.</w:t>
      </w:r>
    </w:p>
    <w:p w:rsidR="00C24544" w:rsidRDefault="00C24544" w:rsidP="00B95B1F">
      <w:pPr>
        <w:spacing w:after="0" w:line="240" w:lineRule="auto"/>
        <w:jc w:val="both"/>
        <w:rPr>
          <w:rFonts w:ascii="Times New Roman" w:hAnsi="Times New Roman" w:cs="Times New Roman"/>
          <w:sz w:val="24"/>
          <w:szCs w:val="24"/>
        </w:rPr>
      </w:pPr>
    </w:p>
    <w:p w:rsidR="00B95B1F" w:rsidRDefault="00C24544" w:rsidP="00B95B1F">
      <w:pPr>
        <w:spacing w:after="0" w:line="240" w:lineRule="auto"/>
        <w:jc w:val="both"/>
        <w:rPr>
          <w:rFonts w:ascii="Times New Roman" w:hAnsi="Times New Roman" w:cs="Times New Roman"/>
          <w:sz w:val="24"/>
          <w:szCs w:val="24"/>
        </w:rPr>
      </w:pPr>
      <w:r w:rsidRPr="00C24544">
        <w:rPr>
          <w:rFonts w:ascii="Times New Roman" w:hAnsi="Times New Roman" w:cs="Times New Roman"/>
          <w:sz w:val="24"/>
          <w:szCs w:val="24"/>
        </w:rPr>
        <w:fldChar w:fldCharType="begin"/>
      </w:r>
      <w:r w:rsidRPr="00C24544">
        <w:rPr>
          <w:rFonts w:ascii="Times New Roman" w:hAnsi="Times New Roman" w:cs="Times New Roman"/>
          <w:sz w:val="24"/>
          <w:szCs w:val="24"/>
        </w:rPr>
        <w:instrText xml:space="preserve"> AUTONUM  </w:instrText>
      </w:r>
      <w:r w:rsidRPr="00C24544">
        <w:rPr>
          <w:rFonts w:ascii="Times New Roman" w:hAnsi="Times New Roman" w:cs="Times New Roman"/>
          <w:sz w:val="24"/>
          <w:szCs w:val="24"/>
        </w:rPr>
        <w:fldChar w:fldCharType="end"/>
      </w:r>
      <w:r w:rsidRPr="00C24544">
        <w:rPr>
          <w:rFonts w:ascii="Times New Roman" w:hAnsi="Times New Roman" w:cs="Times New Roman"/>
          <w:sz w:val="24"/>
          <w:szCs w:val="24"/>
        </w:rPr>
        <w:tab/>
      </w:r>
      <w:r>
        <w:rPr>
          <w:rFonts w:ascii="Times New Roman" w:hAnsi="Times New Roman" w:cs="Times New Roman"/>
          <w:sz w:val="24"/>
          <w:szCs w:val="24"/>
        </w:rPr>
        <w:t xml:space="preserve">For reasons of consistency and administrative ease we support the use of the </w:t>
      </w:r>
      <w:r w:rsidR="00B95B1F" w:rsidRPr="00B95B1F">
        <w:rPr>
          <w:rFonts w:ascii="Times New Roman" w:hAnsi="Times New Roman" w:cs="Times New Roman"/>
          <w:sz w:val="24"/>
          <w:szCs w:val="24"/>
        </w:rPr>
        <w:t>KiwiSaver HomeStart asset cap</w:t>
      </w:r>
      <w:r>
        <w:rPr>
          <w:rFonts w:ascii="Times New Roman" w:hAnsi="Times New Roman" w:cs="Times New Roman"/>
          <w:sz w:val="24"/>
          <w:szCs w:val="24"/>
        </w:rPr>
        <w:t xml:space="preserve">.  </w:t>
      </w:r>
      <w:r w:rsidR="00B95B1F" w:rsidRPr="00B95B1F">
        <w:rPr>
          <w:rFonts w:ascii="Times New Roman" w:hAnsi="Times New Roman" w:cs="Times New Roman"/>
          <w:sz w:val="24"/>
          <w:szCs w:val="24"/>
        </w:rPr>
        <w:t>The KiwiSaver HomeStart asset cap is as follows:</w:t>
      </w:r>
    </w:p>
    <w:p w:rsidR="00B95B1F" w:rsidRPr="00B95B1F" w:rsidRDefault="00B95B1F" w:rsidP="00B95B1F">
      <w:pPr>
        <w:spacing w:after="0" w:line="240" w:lineRule="auto"/>
        <w:jc w:val="both"/>
        <w:rPr>
          <w:rFonts w:ascii="Times New Roman" w:hAnsi="Times New Roman" w:cs="Times New Roman"/>
          <w:sz w:val="24"/>
          <w:szCs w:val="24"/>
        </w:rPr>
      </w:pPr>
    </w:p>
    <w:p w:rsidR="00B95B1F" w:rsidRDefault="00B95B1F" w:rsidP="00B95B1F">
      <w:pPr>
        <w:pStyle w:val="ListParagraph"/>
        <w:numPr>
          <w:ilvl w:val="0"/>
          <w:numId w:val="22"/>
        </w:numPr>
        <w:spacing w:after="0" w:line="240" w:lineRule="auto"/>
        <w:jc w:val="both"/>
        <w:rPr>
          <w:rFonts w:ascii="Times New Roman" w:hAnsi="Times New Roman" w:cs="Times New Roman"/>
          <w:sz w:val="24"/>
          <w:szCs w:val="24"/>
        </w:rPr>
      </w:pPr>
      <w:r w:rsidRPr="00B95B1F">
        <w:rPr>
          <w:rFonts w:ascii="Times New Roman" w:hAnsi="Times New Roman" w:cs="Times New Roman"/>
          <w:sz w:val="24"/>
          <w:szCs w:val="24"/>
        </w:rPr>
        <w:t>first-home buyers – no asset cap applies;</w:t>
      </w:r>
    </w:p>
    <w:p w:rsidR="00B95B1F" w:rsidRPr="00B95B1F" w:rsidRDefault="00B95B1F" w:rsidP="00B95B1F">
      <w:pPr>
        <w:pStyle w:val="ListParagraph"/>
        <w:spacing w:after="0" w:line="240" w:lineRule="auto"/>
        <w:jc w:val="both"/>
        <w:rPr>
          <w:rFonts w:ascii="Times New Roman" w:hAnsi="Times New Roman" w:cs="Times New Roman"/>
          <w:sz w:val="24"/>
          <w:szCs w:val="24"/>
        </w:rPr>
      </w:pPr>
    </w:p>
    <w:p w:rsidR="00B95B1F" w:rsidRDefault="00B95B1F" w:rsidP="00B95B1F">
      <w:pPr>
        <w:pStyle w:val="ListParagraph"/>
        <w:numPr>
          <w:ilvl w:val="0"/>
          <w:numId w:val="22"/>
        </w:numPr>
        <w:spacing w:after="0" w:line="240" w:lineRule="auto"/>
        <w:jc w:val="both"/>
        <w:rPr>
          <w:rFonts w:ascii="Times New Roman" w:hAnsi="Times New Roman" w:cs="Times New Roman"/>
          <w:sz w:val="24"/>
          <w:szCs w:val="24"/>
        </w:rPr>
      </w:pPr>
      <w:r w:rsidRPr="00B95B1F">
        <w:rPr>
          <w:rFonts w:ascii="Times New Roman" w:hAnsi="Times New Roman" w:cs="Times New Roman"/>
          <w:sz w:val="24"/>
          <w:szCs w:val="24"/>
        </w:rPr>
        <w:t>for those who have previously owned a house, but their financial position means they are now in a similar position to a first-home buyer (and require an affected provider to assist them into homeownership), the asset cap</w:t>
      </w:r>
      <w:r w:rsidRPr="0033278D">
        <w:rPr>
          <w:rFonts w:ascii="Times New Roman" w:hAnsi="Times New Roman" w:cs="Times New Roman"/>
          <w:sz w:val="24"/>
          <w:szCs w:val="24"/>
          <w:vertAlign w:val="superscript"/>
        </w:rPr>
        <w:footnoteReference w:id="4"/>
      </w:r>
      <w:r w:rsidRPr="00B95B1F">
        <w:rPr>
          <w:rFonts w:ascii="Times New Roman" w:hAnsi="Times New Roman" w:cs="Times New Roman"/>
          <w:sz w:val="24"/>
          <w:szCs w:val="24"/>
        </w:rPr>
        <w:t xml:space="preserve"> are as follows:</w:t>
      </w:r>
    </w:p>
    <w:p w:rsidR="00B95B1F" w:rsidRPr="00B95B1F" w:rsidRDefault="00B95B1F" w:rsidP="00B95B1F">
      <w:pPr>
        <w:pStyle w:val="ListParagraph"/>
        <w:spacing w:after="0" w:line="240" w:lineRule="auto"/>
        <w:jc w:val="both"/>
        <w:rPr>
          <w:rFonts w:ascii="Times New Roman" w:hAnsi="Times New Roman" w:cs="Times New Roman"/>
          <w:sz w:val="24"/>
          <w:szCs w:val="24"/>
        </w:rPr>
      </w:pPr>
    </w:p>
    <w:tbl>
      <w:tblPr>
        <w:tblStyle w:val="TableGrid"/>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6400"/>
      </w:tblGrid>
      <w:tr w:rsidR="00B95B1F" w:rsidRPr="00B95B1F" w:rsidTr="00C24544">
        <w:tc>
          <w:tcPr>
            <w:tcW w:w="1418" w:type="dxa"/>
            <w:hideMark/>
          </w:tcPr>
          <w:p w:rsidR="00B95B1F" w:rsidRPr="00B95B1F" w:rsidRDefault="00B95B1F" w:rsidP="00B95B1F">
            <w:pPr>
              <w:jc w:val="both"/>
              <w:rPr>
                <w:rFonts w:ascii="Times New Roman" w:hAnsi="Times New Roman" w:cs="Times New Roman"/>
                <w:sz w:val="20"/>
                <w:szCs w:val="24"/>
              </w:rPr>
            </w:pPr>
            <w:r w:rsidRPr="00B95B1F">
              <w:rPr>
                <w:rFonts w:ascii="Times New Roman" w:hAnsi="Times New Roman" w:cs="Times New Roman"/>
                <w:sz w:val="20"/>
                <w:szCs w:val="24"/>
              </w:rPr>
              <w:t>$110,000</w:t>
            </w:r>
          </w:p>
        </w:tc>
        <w:tc>
          <w:tcPr>
            <w:tcW w:w="6400" w:type="dxa"/>
            <w:hideMark/>
          </w:tcPr>
          <w:p w:rsidR="00B95B1F" w:rsidRPr="00B95B1F" w:rsidRDefault="00B95B1F" w:rsidP="00B95B1F">
            <w:pPr>
              <w:jc w:val="both"/>
              <w:rPr>
                <w:rFonts w:ascii="Times New Roman" w:hAnsi="Times New Roman" w:cs="Times New Roman"/>
                <w:sz w:val="20"/>
                <w:szCs w:val="24"/>
              </w:rPr>
            </w:pPr>
            <w:r w:rsidRPr="00B95B1F">
              <w:rPr>
                <w:rFonts w:ascii="Times New Roman" w:hAnsi="Times New Roman" w:cs="Times New Roman"/>
                <w:sz w:val="20"/>
                <w:szCs w:val="24"/>
              </w:rPr>
              <w:t>Auckland</w:t>
            </w:r>
          </w:p>
        </w:tc>
      </w:tr>
      <w:tr w:rsidR="00B95B1F" w:rsidRPr="00B95B1F" w:rsidTr="00C24544">
        <w:tc>
          <w:tcPr>
            <w:tcW w:w="1418" w:type="dxa"/>
            <w:hideMark/>
          </w:tcPr>
          <w:p w:rsidR="00B95B1F" w:rsidRDefault="00B95B1F" w:rsidP="00B95B1F">
            <w:pPr>
              <w:jc w:val="both"/>
              <w:rPr>
                <w:rFonts w:ascii="Times New Roman" w:hAnsi="Times New Roman" w:cs="Times New Roman"/>
                <w:sz w:val="20"/>
                <w:szCs w:val="24"/>
              </w:rPr>
            </w:pPr>
          </w:p>
          <w:p w:rsidR="00B95B1F" w:rsidRPr="00B95B1F" w:rsidRDefault="00B95B1F" w:rsidP="00B95B1F">
            <w:pPr>
              <w:jc w:val="both"/>
              <w:rPr>
                <w:rFonts w:ascii="Times New Roman" w:hAnsi="Times New Roman" w:cs="Times New Roman"/>
                <w:sz w:val="20"/>
                <w:szCs w:val="24"/>
              </w:rPr>
            </w:pPr>
            <w:r w:rsidRPr="00B95B1F">
              <w:rPr>
                <w:rFonts w:ascii="Times New Roman" w:hAnsi="Times New Roman" w:cs="Times New Roman"/>
                <w:sz w:val="20"/>
                <w:szCs w:val="24"/>
              </w:rPr>
              <w:t>$90,000</w:t>
            </w:r>
          </w:p>
        </w:tc>
        <w:tc>
          <w:tcPr>
            <w:tcW w:w="6400" w:type="dxa"/>
            <w:hideMark/>
          </w:tcPr>
          <w:p w:rsidR="00B95B1F" w:rsidRDefault="00B95B1F" w:rsidP="00B95B1F">
            <w:pPr>
              <w:jc w:val="both"/>
              <w:rPr>
                <w:rFonts w:ascii="Times New Roman" w:hAnsi="Times New Roman" w:cs="Times New Roman"/>
                <w:sz w:val="20"/>
                <w:szCs w:val="24"/>
              </w:rPr>
            </w:pPr>
          </w:p>
          <w:p w:rsidR="00B95B1F" w:rsidRPr="00B95B1F" w:rsidRDefault="00B95B1F" w:rsidP="00B95B1F">
            <w:pPr>
              <w:jc w:val="both"/>
              <w:rPr>
                <w:rFonts w:ascii="Times New Roman" w:hAnsi="Times New Roman" w:cs="Times New Roman"/>
                <w:sz w:val="20"/>
                <w:szCs w:val="24"/>
              </w:rPr>
            </w:pPr>
            <w:r w:rsidRPr="00B95B1F">
              <w:rPr>
                <w:rFonts w:ascii="Times New Roman" w:hAnsi="Times New Roman" w:cs="Times New Roman"/>
                <w:sz w:val="20"/>
                <w:szCs w:val="24"/>
              </w:rPr>
              <w:t xml:space="preserve">Hamilton City, Tauranga City, Western Bay of Plenty District, </w:t>
            </w:r>
            <w:proofErr w:type="spellStart"/>
            <w:r w:rsidRPr="00B95B1F">
              <w:rPr>
                <w:rFonts w:ascii="Times New Roman" w:hAnsi="Times New Roman" w:cs="Times New Roman"/>
                <w:sz w:val="20"/>
                <w:szCs w:val="24"/>
              </w:rPr>
              <w:t>Kapiti</w:t>
            </w:r>
            <w:proofErr w:type="spellEnd"/>
            <w:r w:rsidRPr="00B95B1F">
              <w:rPr>
                <w:rFonts w:ascii="Times New Roman" w:hAnsi="Times New Roman" w:cs="Times New Roman"/>
                <w:sz w:val="20"/>
                <w:szCs w:val="24"/>
              </w:rPr>
              <w:t xml:space="preserve"> Coast District, </w:t>
            </w:r>
            <w:proofErr w:type="spellStart"/>
            <w:r w:rsidRPr="00B95B1F">
              <w:rPr>
                <w:rFonts w:ascii="Times New Roman" w:hAnsi="Times New Roman" w:cs="Times New Roman"/>
                <w:sz w:val="20"/>
                <w:szCs w:val="24"/>
              </w:rPr>
              <w:t>Porirua</w:t>
            </w:r>
            <w:proofErr w:type="spellEnd"/>
            <w:r w:rsidRPr="00B95B1F">
              <w:rPr>
                <w:rFonts w:ascii="Times New Roman" w:hAnsi="Times New Roman" w:cs="Times New Roman"/>
                <w:sz w:val="20"/>
                <w:szCs w:val="24"/>
              </w:rPr>
              <w:t xml:space="preserve"> City, Upper Hutt City, Hutt City, Wellington City, Nelson City, Tasman District, </w:t>
            </w:r>
            <w:proofErr w:type="spellStart"/>
            <w:r w:rsidRPr="00B95B1F">
              <w:rPr>
                <w:rFonts w:ascii="Times New Roman" w:hAnsi="Times New Roman" w:cs="Times New Roman"/>
                <w:sz w:val="20"/>
                <w:szCs w:val="24"/>
              </w:rPr>
              <w:t>Waimakariri</w:t>
            </w:r>
            <w:proofErr w:type="spellEnd"/>
            <w:r w:rsidRPr="00B95B1F">
              <w:rPr>
                <w:rFonts w:ascii="Times New Roman" w:hAnsi="Times New Roman" w:cs="Times New Roman"/>
                <w:sz w:val="20"/>
                <w:szCs w:val="24"/>
              </w:rPr>
              <w:t xml:space="preserve"> District, Christchurch City, Selwyn District, Queenstown Lakes District</w:t>
            </w:r>
          </w:p>
        </w:tc>
      </w:tr>
      <w:tr w:rsidR="00B95B1F" w:rsidRPr="00B95B1F" w:rsidTr="00C24544">
        <w:tc>
          <w:tcPr>
            <w:tcW w:w="1418" w:type="dxa"/>
            <w:hideMark/>
          </w:tcPr>
          <w:p w:rsidR="00B95B1F" w:rsidRDefault="00B95B1F" w:rsidP="00B95B1F">
            <w:pPr>
              <w:jc w:val="both"/>
              <w:rPr>
                <w:rFonts w:ascii="Times New Roman" w:hAnsi="Times New Roman" w:cs="Times New Roman"/>
                <w:sz w:val="20"/>
                <w:szCs w:val="24"/>
              </w:rPr>
            </w:pPr>
          </w:p>
          <w:p w:rsidR="00B95B1F" w:rsidRPr="00B95B1F" w:rsidRDefault="00B95B1F" w:rsidP="00B95B1F">
            <w:pPr>
              <w:jc w:val="both"/>
              <w:rPr>
                <w:rFonts w:ascii="Times New Roman" w:hAnsi="Times New Roman" w:cs="Times New Roman"/>
                <w:sz w:val="20"/>
                <w:szCs w:val="24"/>
              </w:rPr>
            </w:pPr>
            <w:r w:rsidRPr="00B95B1F">
              <w:rPr>
                <w:rFonts w:ascii="Times New Roman" w:hAnsi="Times New Roman" w:cs="Times New Roman"/>
                <w:sz w:val="20"/>
                <w:szCs w:val="24"/>
              </w:rPr>
              <w:t>$70,000</w:t>
            </w:r>
          </w:p>
        </w:tc>
        <w:tc>
          <w:tcPr>
            <w:tcW w:w="6400" w:type="dxa"/>
            <w:hideMark/>
          </w:tcPr>
          <w:p w:rsidR="00B95B1F" w:rsidRDefault="00B95B1F" w:rsidP="00B95B1F">
            <w:pPr>
              <w:jc w:val="both"/>
              <w:rPr>
                <w:rFonts w:ascii="Times New Roman" w:hAnsi="Times New Roman" w:cs="Times New Roman"/>
                <w:sz w:val="20"/>
                <w:szCs w:val="24"/>
              </w:rPr>
            </w:pPr>
          </w:p>
          <w:p w:rsidR="00B95B1F" w:rsidRPr="00B95B1F" w:rsidRDefault="00B95B1F" w:rsidP="00B95B1F">
            <w:pPr>
              <w:jc w:val="both"/>
              <w:rPr>
                <w:rFonts w:ascii="Times New Roman" w:hAnsi="Times New Roman" w:cs="Times New Roman"/>
                <w:sz w:val="20"/>
                <w:szCs w:val="24"/>
              </w:rPr>
            </w:pPr>
            <w:r w:rsidRPr="00B95B1F">
              <w:rPr>
                <w:rFonts w:ascii="Times New Roman" w:hAnsi="Times New Roman" w:cs="Times New Roman"/>
                <w:sz w:val="20"/>
                <w:szCs w:val="24"/>
              </w:rPr>
              <w:t>Rest of New Zealand</w:t>
            </w:r>
          </w:p>
        </w:tc>
      </w:tr>
    </w:tbl>
    <w:p w:rsidR="00B95B1F" w:rsidRDefault="00B95B1F" w:rsidP="00B95B1F">
      <w:pPr>
        <w:spacing w:after="0" w:line="240" w:lineRule="auto"/>
        <w:jc w:val="both"/>
        <w:rPr>
          <w:rFonts w:ascii="Times New Roman" w:hAnsi="Times New Roman" w:cs="Times New Roman"/>
          <w:sz w:val="24"/>
          <w:szCs w:val="24"/>
        </w:rPr>
      </w:pPr>
    </w:p>
    <w:p w:rsidR="00C24544" w:rsidRDefault="00B95B1F" w:rsidP="00B95B1F">
      <w:pPr>
        <w:spacing w:after="0" w:line="240" w:lineRule="auto"/>
        <w:jc w:val="both"/>
        <w:rPr>
          <w:rFonts w:ascii="Times New Roman" w:hAnsi="Times New Roman" w:cs="Times New Roman"/>
          <w:sz w:val="24"/>
          <w:szCs w:val="24"/>
        </w:rPr>
      </w:pPr>
      <w:r w:rsidRPr="00B95B1F">
        <w:rPr>
          <w:rFonts w:ascii="Times New Roman" w:hAnsi="Times New Roman" w:cs="Times New Roman"/>
          <w:sz w:val="24"/>
          <w:szCs w:val="24"/>
        </w:rPr>
        <w:fldChar w:fldCharType="begin"/>
      </w:r>
      <w:r w:rsidRPr="00B95B1F">
        <w:rPr>
          <w:rFonts w:ascii="Times New Roman" w:hAnsi="Times New Roman" w:cs="Times New Roman"/>
          <w:sz w:val="24"/>
          <w:szCs w:val="24"/>
        </w:rPr>
        <w:instrText xml:space="preserve"> AUTONUM  </w:instrText>
      </w:r>
      <w:r w:rsidRPr="00B95B1F">
        <w:rPr>
          <w:rFonts w:ascii="Times New Roman" w:hAnsi="Times New Roman" w:cs="Times New Roman"/>
          <w:sz w:val="24"/>
          <w:szCs w:val="24"/>
        </w:rPr>
        <w:fldChar w:fldCharType="end"/>
      </w:r>
      <w:r w:rsidRPr="00B95B1F">
        <w:rPr>
          <w:rFonts w:ascii="Times New Roman" w:hAnsi="Times New Roman" w:cs="Times New Roman"/>
          <w:sz w:val="24"/>
          <w:szCs w:val="24"/>
        </w:rPr>
        <w:tab/>
      </w:r>
      <w:r w:rsidR="00C24544">
        <w:rPr>
          <w:rFonts w:ascii="Times New Roman" w:hAnsi="Times New Roman" w:cs="Times New Roman"/>
          <w:sz w:val="24"/>
          <w:szCs w:val="24"/>
        </w:rPr>
        <w:t>T</w:t>
      </w:r>
      <w:r w:rsidR="00C24544" w:rsidRPr="00C24544">
        <w:rPr>
          <w:rFonts w:ascii="Times New Roman" w:hAnsi="Times New Roman" w:cs="Times New Roman"/>
          <w:sz w:val="24"/>
          <w:szCs w:val="24"/>
        </w:rPr>
        <w:t xml:space="preserve">he </w:t>
      </w:r>
      <w:r w:rsidR="00C24544">
        <w:rPr>
          <w:rFonts w:ascii="Times New Roman" w:hAnsi="Times New Roman" w:cs="Times New Roman"/>
          <w:sz w:val="24"/>
          <w:szCs w:val="24"/>
        </w:rPr>
        <w:t xml:space="preserve">asset cap could be included in the </w:t>
      </w:r>
      <w:r w:rsidR="00C24544" w:rsidRPr="00C24544">
        <w:rPr>
          <w:rFonts w:ascii="Times New Roman" w:hAnsi="Times New Roman" w:cs="Times New Roman"/>
          <w:sz w:val="24"/>
          <w:szCs w:val="24"/>
        </w:rPr>
        <w:t>primary legislation (section CW 42B</w:t>
      </w:r>
      <w:r w:rsidR="00C24544">
        <w:rPr>
          <w:rFonts w:ascii="Times New Roman" w:hAnsi="Times New Roman" w:cs="Times New Roman"/>
          <w:sz w:val="24"/>
          <w:szCs w:val="24"/>
        </w:rPr>
        <w:t xml:space="preserve"> of the Income Tax Act 2007</w:t>
      </w:r>
      <w:r w:rsidR="00C24544" w:rsidRPr="00C24544">
        <w:rPr>
          <w:rFonts w:ascii="Times New Roman" w:hAnsi="Times New Roman" w:cs="Times New Roman"/>
          <w:sz w:val="24"/>
          <w:szCs w:val="24"/>
        </w:rPr>
        <w:t xml:space="preserve">) as </w:t>
      </w:r>
      <w:r w:rsidR="00C24544">
        <w:rPr>
          <w:rFonts w:ascii="Times New Roman" w:hAnsi="Times New Roman" w:cs="Times New Roman"/>
          <w:sz w:val="24"/>
          <w:szCs w:val="24"/>
        </w:rPr>
        <w:t xml:space="preserve">part of the </w:t>
      </w:r>
      <w:r w:rsidR="00C24544" w:rsidRPr="00C24544">
        <w:rPr>
          <w:rFonts w:ascii="Times New Roman" w:hAnsi="Times New Roman" w:cs="Times New Roman"/>
          <w:sz w:val="24"/>
          <w:szCs w:val="24"/>
        </w:rPr>
        <w:t>eligibility criteria for providers to access the current tax provisions.</w:t>
      </w:r>
    </w:p>
    <w:p w:rsidR="00C24544" w:rsidRDefault="00C24544" w:rsidP="00B95B1F">
      <w:pPr>
        <w:spacing w:after="0" w:line="240" w:lineRule="auto"/>
        <w:jc w:val="both"/>
        <w:rPr>
          <w:rFonts w:ascii="Times New Roman" w:hAnsi="Times New Roman" w:cs="Times New Roman"/>
          <w:sz w:val="24"/>
          <w:szCs w:val="24"/>
        </w:rPr>
      </w:pPr>
    </w:p>
    <w:p w:rsidR="00B95B1F" w:rsidRPr="00B95B1F" w:rsidRDefault="00C24544" w:rsidP="00B95B1F">
      <w:pPr>
        <w:spacing w:after="0" w:line="240" w:lineRule="auto"/>
        <w:jc w:val="both"/>
        <w:rPr>
          <w:rFonts w:ascii="Times New Roman" w:hAnsi="Times New Roman" w:cs="Times New Roman"/>
          <w:sz w:val="24"/>
          <w:szCs w:val="24"/>
        </w:rPr>
      </w:pPr>
      <w:r w:rsidRPr="00C24544">
        <w:rPr>
          <w:rFonts w:ascii="Times New Roman" w:hAnsi="Times New Roman" w:cs="Times New Roman"/>
          <w:sz w:val="24"/>
          <w:szCs w:val="24"/>
        </w:rPr>
        <w:fldChar w:fldCharType="begin"/>
      </w:r>
      <w:r w:rsidRPr="00C24544">
        <w:rPr>
          <w:rFonts w:ascii="Times New Roman" w:hAnsi="Times New Roman" w:cs="Times New Roman"/>
          <w:sz w:val="24"/>
          <w:szCs w:val="24"/>
        </w:rPr>
        <w:instrText xml:space="preserve"> AUTONUM  </w:instrText>
      </w:r>
      <w:r w:rsidRPr="00C24544">
        <w:rPr>
          <w:rFonts w:ascii="Times New Roman" w:hAnsi="Times New Roman" w:cs="Times New Roman"/>
          <w:sz w:val="24"/>
          <w:szCs w:val="24"/>
        </w:rPr>
        <w:fldChar w:fldCharType="end"/>
      </w:r>
      <w:r w:rsidRPr="00C24544">
        <w:rPr>
          <w:rFonts w:ascii="Times New Roman" w:hAnsi="Times New Roman" w:cs="Times New Roman"/>
          <w:sz w:val="24"/>
          <w:szCs w:val="24"/>
        </w:rPr>
        <w:tab/>
      </w:r>
      <w:r w:rsidR="00B95B1F" w:rsidRPr="00B95B1F">
        <w:rPr>
          <w:rFonts w:ascii="Times New Roman" w:hAnsi="Times New Roman" w:cs="Times New Roman"/>
          <w:sz w:val="24"/>
          <w:szCs w:val="24"/>
        </w:rPr>
        <w:t xml:space="preserve">The sector </w:t>
      </w:r>
      <w:r>
        <w:rPr>
          <w:rFonts w:ascii="Times New Roman" w:hAnsi="Times New Roman" w:cs="Times New Roman"/>
          <w:sz w:val="24"/>
          <w:szCs w:val="24"/>
        </w:rPr>
        <w:t>has not</w:t>
      </w:r>
      <w:r w:rsidR="00B95B1F" w:rsidRPr="00B95B1F">
        <w:rPr>
          <w:rFonts w:ascii="Times New Roman" w:hAnsi="Times New Roman" w:cs="Times New Roman"/>
          <w:sz w:val="24"/>
          <w:szCs w:val="24"/>
        </w:rPr>
        <w:t xml:space="preserve"> been consulted on the asset cap</w:t>
      </w:r>
      <w:r w:rsidR="00BC5CE0">
        <w:rPr>
          <w:rFonts w:ascii="Times New Roman" w:hAnsi="Times New Roman" w:cs="Times New Roman"/>
          <w:sz w:val="24"/>
          <w:szCs w:val="24"/>
        </w:rPr>
        <w:t xml:space="preserve"> since the </w:t>
      </w:r>
      <w:r w:rsidR="00B97CF0">
        <w:rPr>
          <w:rFonts w:ascii="Times New Roman" w:hAnsi="Times New Roman" w:cs="Times New Roman"/>
          <w:sz w:val="24"/>
          <w:szCs w:val="24"/>
        </w:rPr>
        <w:t xml:space="preserve">legislation enacting the income tax exemption </w:t>
      </w:r>
      <w:r w:rsidR="00BC5CE0">
        <w:rPr>
          <w:rFonts w:ascii="Times New Roman" w:hAnsi="Times New Roman" w:cs="Times New Roman"/>
          <w:sz w:val="24"/>
          <w:szCs w:val="24"/>
        </w:rPr>
        <w:t xml:space="preserve">was before </w:t>
      </w:r>
      <w:r w:rsidR="00B97CF0">
        <w:rPr>
          <w:rFonts w:ascii="Times New Roman" w:hAnsi="Times New Roman" w:cs="Times New Roman"/>
          <w:sz w:val="24"/>
          <w:szCs w:val="24"/>
        </w:rPr>
        <w:t>the s</w:t>
      </w:r>
      <w:r w:rsidR="00BC5CE0">
        <w:rPr>
          <w:rFonts w:ascii="Times New Roman" w:hAnsi="Times New Roman" w:cs="Times New Roman"/>
          <w:sz w:val="24"/>
          <w:szCs w:val="24"/>
        </w:rPr>
        <w:t xml:space="preserve">elect </w:t>
      </w:r>
      <w:r w:rsidR="00B97CF0">
        <w:rPr>
          <w:rFonts w:ascii="Times New Roman" w:hAnsi="Times New Roman" w:cs="Times New Roman"/>
          <w:sz w:val="24"/>
          <w:szCs w:val="24"/>
        </w:rPr>
        <w:t>c</w:t>
      </w:r>
      <w:r w:rsidR="00BC5CE0">
        <w:rPr>
          <w:rFonts w:ascii="Times New Roman" w:hAnsi="Times New Roman" w:cs="Times New Roman"/>
          <w:sz w:val="24"/>
          <w:szCs w:val="24"/>
        </w:rPr>
        <w:t>ommittee in February 2014</w:t>
      </w:r>
      <w:r w:rsidR="00B95B1F" w:rsidRPr="00B95B1F">
        <w:rPr>
          <w:rFonts w:ascii="Times New Roman" w:hAnsi="Times New Roman" w:cs="Times New Roman"/>
          <w:sz w:val="24"/>
          <w:szCs w:val="24"/>
        </w:rPr>
        <w:t>.</w:t>
      </w:r>
      <w:r w:rsidR="00BC5CE0">
        <w:rPr>
          <w:rFonts w:ascii="Times New Roman" w:hAnsi="Times New Roman" w:cs="Times New Roman"/>
          <w:sz w:val="24"/>
          <w:szCs w:val="24"/>
        </w:rPr>
        <w:t xml:space="preserve">  At the time they opposed the use </w:t>
      </w:r>
      <w:r w:rsidR="0033278D">
        <w:rPr>
          <w:rFonts w:ascii="Times New Roman" w:hAnsi="Times New Roman" w:cs="Times New Roman"/>
          <w:sz w:val="24"/>
          <w:szCs w:val="24"/>
        </w:rPr>
        <w:t xml:space="preserve">of </w:t>
      </w:r>
      <w:r w:rsidR="00BC5CE0">
        <w:rPr>
          <w:rFonts w:ascii="Times New Roman" w:hAnsi="Times New Roman" w:cs="Times New Roman"/>
          <w:sz w:val="24"/>
          <w:szCs w:val="24"/>
        </w:rPr>
        <w:t>both an income threshold and an asset test as part of the eligibility criteria.</w:t>
      </w:r>
      <w:r w:rsidR="00B95B1F" w:rsidRPr="00B95B1F">
        <w:rPr>
          <w:rFonts w:ascii="Times New Roman" w:hAnsi="Times New Roman" w:cs="Times New Roman"/>
          <w:sz w:val="24"/>
          <w:szCs w:val="24"/>
        </w:rPr>
        <w:t xml:space="preserve">  If </w:t>
      </w:r>
      <w:r w:rsidR="008A7A7E">
        <w:rPr>
          <w:rFonts w:ascii="Times New Roman" w:hAnsi="Times New Roman" w:cs="Times New Roman"/>
          <w:sz w:val="24"/>
          <w:szCs w:val="24"/>
        </w:rPr>
        <w:t xml:space="preserve">the asset </w:t>
      </w:r>
      <w:r>
        <w:rPr>
          <w:rFonts w:ascii="Times New Roman" w:hAnsi="Times New Roman" w:cs="Times New Roman"/>
          <w:sz w:val="24"/>
          <w:szCs w:val="24"/>
        </w:rPr>
        <w:t xml:space="preserve">cap </w:t>
      </w:r>
      <w:r w:rsidR="008A7A7E">
        <w:rPr>
          <w:rFonts w:ascii="Times New Roman" w:hAnsi="Times New Roman" w:cs="Times New Roman"/>
          <w:sz w:val="24"/>
          <w:szCs w:val="24"/>
        </w:rPr>
        <w:t xml:space="preserve">is included in the proposed </w:t>
      </w:r>
      <w:r w:rsidR="00B95B1F" w:rsidRPr="00B95B1F">
        <w:rPr>
          <w:rFonts w:ascii="Times New Roman" w:hAnsi="Times New Roman" w:cs="Times New Roman"/>
          <w:sz w:val="24"/>
          <w:szCs w:val="24"/>
        </w:rPr>
        <w:t>Supplementary Order Paper</w:t>
      </w:r>
      <w:r w:rsidR="00B95B1F">
        <w:rPr>
          <w:rFonts w:ascii="Times New Roman" w:hAnsi="Times New Roman" w:cs="Times New Roman"/>
          <w:sz w:val="24"/>
          <w:szCs w:val="24"/>
        </w:rPr>
        <w:t xml:space="preserve"> </w:t>
      </w:r>
      <w:r w:rsidR="00041E8C">
        <w:rPr>
          <w:rFonts w:ascii="Times New Roman" w:hAnsi="Times New Roman" w:cs="Times New Roman"/>
          <w:sz w:val="24"/>
          <w:szCs w:val="24"/>
        </w:rPr>
        <w:t xml:space="preserve">(SOP) </w:t>
      </w:r>
      <w:r w:rsidR="00B95B1F">
        <w:rPr>
          <w:rFonts w:ascii="Times New Roman" w:hAnsi="Times New Roman" w:cs="Times New Roman"/>
          <w:sz w:val="24"/>
          <w:szCs w:val="24"/>
        </w:rPr>
        <w:t>(see implementation section of this paper)</w:t>
      </w:r>
      <w:r w:rsidR="00B95B1F" w:rsidRPr="00B95B1F">
        <w:rPr>
          <w:rFonts w:ascii="Times New Roman" w:hAnsi="Times New Roman" w:cs="Times New Roman"/>
          <w:sz w:val="24"/>
          <w:szCs w:val="24"/>
        </w:rPr>
        <w:t xml:space="preserve">, there will </w:t>
      </w:r>
      <w:r w:rsidR="008A7A7E">
        <w:rPr>
          <w:rFonts w:ascii="Times New Roman" w:hAnsi="Times New Roman" w:cs="Times New Roman"/>
          <w:sz w:val="24"/>
          <w:szCs w:val="24"/>
        </w:rPr>
        <w:t xml:space="preserve">not </w:t>
      </w:r>
      <w:r w:rsidR="00B95B1F" w:rsidRPr="00B95B1F">
        <w:rPr>
          <w:rFonts w:ascii="Times New Roman" w:hAnsi="Times New Roman" w:cs="Times New Roman"/>
          <w:sz w:val="24"/>
          <w:szCs w:val="24"/>
        </w:rPr>
        <w:t xml:space="preserve">be an opportunity for formal consultation with the sector on this issue.  Therefore, we </w:t>
      </w:r>
      <w:r w:rsidR="008A7A7E">
        <w:rPr>
          <w:rFonts w:ascii="Times New Roman" w:hAnsi="Times New Roman" w:cs="Times New Roman"/>
          <w:sz w:val="24"/>
          <w:szCs w:val="24"/>
        </w:rPr>
        <w:t>propose</w:t>
      </w:r>
      <w:r w:rsidR="00B95B1F" w:rsidRPr="00B95B1F">
        <w:rPr>
          <w:rFonts w:ascii="Times New Roman" w:hAnsi="Times New Roman" w:cs="Times New Roman"/>
          <w:sz w:val="24"/>
          <w:szCs w:val="24"/>
        </w:rPr>
        <w:t xml:space="preserve"> to consult informally with </w:t>
      </w:r>
      <w:r w:rsidR="008A7A7E">
        <w:rPr>
          <w:rFonts w:ascii="Times New Roman" w:hAnsi="Times New Roman" w:cs="Times New Roman"/>
          <w:sz w:val="24"/>
          <w:szCs w:val="24"/>
        </w:rPr>
        <w:t xml:space="preserve">Community Housing Aotearoa </w:t>
      </w:r>
      <w:r w:rsidR="00B95B1F" w:rsidRPr="00B95B1F">
        <w:rPr>
          <w:rFonts w:ascii="Times New Roman" w:hAnsi="Times New Roman" w:cs="Times New Roman"/>
          <w:sz w:val="24"/>
          <w:szCs w:val="24"/>
        </w:rPr>
        <w:t>and other bodies as appropriate on the proposed SOP.</w:t>
      </w:r>
    </w:p>
    <w:p w:rsidR="00B95B1F" w:rsidRPr="00B95B1F" w:rsidRDefault="00B95B1F" w:rsidP="00B95B1F">
      <w:pPr>
        <w:spacing w:after="0" w:line="240" w:lineRule="auto"/>
        <w:jc w:val="both"/>
        <w:rPr>
          <w:rFonts w:ascii="Times New Roman" w:hAnsi="Times New Roman" w:cs="Times New Roman"/>
          <w:sz w:val="24"/>
          <w:szCs w:val="24"/>
        </w:rPr>
      </w:pPr>
    </w:p>
    <w:p w:rsidR="000A4C6F" w:rsidRPr="00EF7E34" w:rsidRDefault="000A4C6F" w:rsidP="00EF62B4">
      <w:pPr>
        <w:spacing w:after="0" w:line="240" w:lineRule="auto"/>
        <w:jc w:val="both"/>
        <w:rPr>
          <w:rFonts w:ascii="Times New Roman" w:hAnsi="Times New Roman" w:cs="Times New Roman"/>
          <w:sz w:val="24"/>
          <w:szCs w:val="24"/>
        </w:rPr>
      </w:pPr>
    </w:p>
    <w:p w:rsidR="00EF7E34" w:rsidRPr="00B800AC" w:rsidRDefault="00EF7E34" w:rsidP="00EF7E34">
      <w:pPr>
        <w:spacing w:after="0" w:line="240" w:lineRule="auto"/>
        <w:jc w:val="both"/>
        <w:rPr>
          <w:rFonts w:ascii="Times New Roman" w:hAnsi="Times New Roman" w:cs="Times New Roman"/>
          <w:b/>
          <w:caps/>
          <w:sz w:val="24"/>
          <w:szCs w:val="24"/>
        </w:rPr>
      </w:pPr>
      <w:r w:rsidRPr="00B800AC">
        <w:rPr>
          <w:rFonts w:ascii="Times New Roman" w:hAnsi="Times New Roman" w:cs="Times New Roman"/>
          <w:b/>
          <w:caps/>
          <w:sz w:val="24"/>
          <w:szCs w:val="24"/>
        </w:rPr>
        <w:t>Consultation</w:t>
      </w:r>
    </w:p>
    <w:p w:rsidR="00EF7E34" w:rsidRPr="00EF7E34" w:rsidRDefault="00EF7E34" w:rsidP="00EF7E34">
      <w:pPr>
        <w:spacing w:after="0" w:line="240" w:lineRule="auto"/>
        <w:jc w:val="both"/>
        <w:rPr>
          <w:rFonts w:ascii="Times New Roman" w:hAnsi="Times New Roman" w:cs="Times New Roman"/>
          <w:sz w:val="24"/>
          <w:szCs w:val="24"/>
        </w:rPr>
      </w:pPr>
    </w:p>
    <w:p w:rsidR="00EF7E34" w:rsidRPr="00EF7E34" w:rsidRDefault="00EF7E34" w:rsidP="00EF7E34">
      <w:pPr>
        <w:spacing w:after="0" w:line="240" w:lineRule="auto"/>
        <w:jc w:val="both"/>
        <w:rPr>
          <w:rFonts w:ascii="Times New Roman" w:hAnsi="Times New Roman" w:cs="Times New Roman"/>
          <w:sz w:val="24"/>
          <w:szCs w:val="24"/>
        </w:rPr>
      </w:pPr>
      <w:r w:rsidRPr="00EF7E34">
        <w:rPr>
          <w:rFonts w:ascii="Times New Roman" w:hAnsi="Times New Roman" w:cs="Times New Roman"/>
          <w:sz w:val="24"/>
          <w:szCs w:val="24"/>
        </w:rPr>
        <w:fldChar w:fldCharType="begin"/>
      </w:r>
      <w:r w:rsidRPr="00EF7E34">
        <w:rPr>
          <w:rFonts w:ascii="Times New Roman" w:hAnsi="Times New Roman" w:cs="Times New Roman"/>
          <w:sz w:val="24"/>
          <w:szCs w:val="24"/>
        </w:rPr>
        <w:instrText xml:space="preserve"> AUTONUM  </w:instrText>
      </w:r>
      <w:r w:rsidRPr="00EF7E34">
        <w:rPr>
          <w:rFonts w:ascii="Times New Roman" w:hAnsi="Times New Roman" w:cs="Times New Roman"/>
          <w:sz w:val="24"/>
          <w:szCs w:val="24"/>
        </w:rPr>
        <w:fldChar w:fldCharType="end"/>
      </w:r>
      <w:r w:rsidRPr="00EF7E34">
        <w:rPr>
          <w:rFonts w:ascii="Times New Roman" w:hAnsi="Times New Roman" w:cs="Times New Roman"/>
          <w:sz w:val="24"/>
          <w:szCs w:val="24"/>
        </w:rPr>
        <w:tab/>
      </w:r>
      <w:r w:rsidR="00EF62B4">
        <w:rPr>
          <w:rFonts w:ascii="Times New Roman" w:hAnsi="Times New Roman" w:cs="Times New Roman"/>
          <w:sz w:val="24"/>
          <w:szCs w:val="24"/>
        </w:rPr>
        <w:t>The</w:t>
      </w:r>
      <w:r w:rsidRPr="00EF7E34">
        <w:rPr>
          <w:rFonts w:ascii="Times New Roman" w:hAnsi="Times New Roman" w:cs="Times New Roman"/>
          <w:sz w:val="24"/>
          <w:szCs w:val="24"/>
        </w:rPr>
        <w:t xml:space="preserve"> options </w:t>
      </w:r>
      <w:r w:rsidR="00EF62B4">
        <w:rPr>
          <w:rFonts w:ascii="Times New Roman" w:hAnsi="Times New Roman" w:cs="Times New Roman"/>
          <w:sz w:val="24"/>
          <w:szCs w:val="24"/>
        </w:rPr>
        <w:t xml:space="preserve">considered in this RIS were </w:t>
      </w:r>
      <w:r w:rsidRPr="00EF7E34">
        <w:rPr>
          <w:rFonts w:ascii="Times New Roman" w:hAnsi="Times New Roman" w:cs="Times New Roman"/>
          <w:sz w:val="24"/>
          <w:szCs w:val="24"/>
        </w:rPr>
        <w:t xml:space="preserve">developed </w:t>
      </w:r>
      <w:r w:rsidR="00EF62B4">
        <w:rPr>
          <w:rFonts w:ascii="Times New Roman" w:hAnsi="Times New Roman" w:cs="Times New Roman"/>
          <w:sz w:val="24"/>
          <w:szCs w:val="24"/>
        </w:rPr>
        <w:t xml:space="preserve">in consultation with </w:t>
      </w:r>
      <w:r w:rsidR="00F74AE9">
        <w:rPr>
          <w:rFonts w:ascii="Times New Roman" w:hAnsi="Times New Roman" w:cs="Times New Roman"/>
          <w:sz w:val="24"/>
          <w:szCs w:val="24"/>
        </w:rPr>
        <w:t>the Ministry of Business, Innovation and Employment</w:t>
      </w:r>
      <w:r w:rsidR="00EF62B4">
        <w:rPr>
          <w:rFonts w:ascii="Times New Roman" w:hAnsi="Times New Roman" w:cs="Times New Roman"/>
          <w:sz w:val="24"/>
          <w:szCs w:val="24"/>
        </w:rPr>
        <w:t xml:space="preserve"> and the Treasury.  In addition, the sector</w:t>
      </w:r>
      <w:r w:rsidR="00EF62B4" w:rsidRPr="00EF62B4">
        <w:rPr>
          <w:rFonts w:ascii="Times New Roman" w:hAnsi="Times New Roman" w:cs="Times New Roman"/>
          <w:sz w:val="24"/>
          <w:szCs w:val="24"/>
        </w:rPr>
        <w:t xml:space="preserve"> has been closely involved with this process over t</w:t>
      </w:r>
      <w:r w:rsidR="00EF62B4">
        <w:rPr>
          <w:rFonts w:ascii="Times New Roman" w:hAnsi="Times New Roman" w:cs="Times New Roman"/>
          <w:sz w:val="24"/>
          <w:szCs w:val="24"/>
        </w:rPr>
        <w:t>he last two years.</w:t>
      </w:r>
    </w:p>
    <w:p w:rsidR="00EF7E34" w:rsidRDefault="00EF7E34" w:rsidP="00EF7E34">
      <w:pPr>
        <w:spacing w:after="0" w:line="240" w:lineRule="auto"/>
        <w:jc w:val="both"/>
        <w:rPr>
          <w:rFonts w:ascii="Times New Roman" w:hAnsi="Times New Roman" w:cs="Times New Roman"/>
          <w:i/>
          <w:sz w:val="24"/>
          <w:szCs w:val="24"/>
        </w:rPr>
      </w:pPr>
    </w:p>
    <w:p w:rsidR="0096366F" w:rsidRDefault="0096366F">
      <w:pPr>
        <w:rPr>
          <w:rFonts w:ascii="Times New Roman" w:hAnsi="Times New Roman" w:cs="Times New Roman"/>
          <w:i/>
          <w:sz w:val="24"/>
          <w:szCs w:val="24"/>
        </w:rPr>
      </w:pPr>
      <w:r>
        <w:rPr>
          <w:rFonts w:ascii="Times New Roman" w:hAnsi="Times New Roman" w:cs="Times New Roman"/>
          <w:i/>
          <w:sz w:val="24"/>
          <w:szCs w:val="24"/>
        </w:rPr>
        <w:br w:type="page"/>
      </w:r>
    </w:p>
    <w:p w:rsidR="00EF7E34" w:rsidRDefault="00F74AE9" w:rsidP="00EF7E3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Ministry of Business, Innovation and Employment’s</w:t>
      </w:r>
      <w:r w:rsidR="00EF62B4">
        <w:rPr>
          <w:rFonts w:ascii="Times New Roman" w:hAnsi="Times New Roman" w:cs="Times New Roman"/>
          <w:i/>
          <w:sz w:val="24"/>
          <w:szCs w:val="24"/>
        </w:rPr>
        <w:t xml:space="preserve"> view</w:t>
      </w:r>
    </w:p>
    <w:p w:rsidR="00EF62B4" w:rsidRPr="00EF7E34" w:rsidRDefault="00EF62B4" w:rsidP="00EF7E34">
      <w:pPr>
        <w:spacing w:after="0" w:line="240" w:lineRule="auto"/>
        <w:jc w:val="both"/>
        <w:rPr>
          <w:rFonts w:ascii="Times New Roman" w:hAnsi="Times New Roman" w:cs="Times New Roman"/>
          <w:sz w:val="24"/>
          <w:szCs w:val="24"/>
        </w:rPr>
      </w:pPr>
    </w:p>
    <w:p w:rsidR="00EF7E34" w:rsidRPr="00EF7E34" w:rsidRDefault="00EF7E34" w:rsidP="00EF7E34">
      <w:pPr>
        <w:spacing w:after="0" w:line="240" w:lineRule="auto"/>
        <w:jc w:val="both"/>
        <w:rPr>
          <w:rFonts w:ascii="Times New Roman" w:hAnsi="Times New Roman" w:cs="Times New Roman"/>
          <w:sz w:val="24"/>
          <w:szCs w:val="24"/>
        </w:rPr>
      </w:pPr>
      <w:r w:rsidRPr="00EF7E34">
        <w:rPr>
          <w:rFonts w:ascii="Times New Roman" w:hAnsi="Times New Roman" w:cs="Times New Roman"/>
          <w:sz w:val="24"/>
          <w:szCs w:val="24"/>
        </w:rPr>
        <w:fldChar w:fldCharType="begin"/>
      </w:r>
      <w:r w:rsidRPr="00EF7E34">
        <w:rPr>
          <w:rFonts w:ascii="Times New Roman" w:hAnsi="Times New Roman" w:cs="Times New Roman"/>
          <w:sz w:val="24"/>
          <w:szCs w:val="24"/>
        </w:rPr>
        <w:instrText xml:space="preserve"> AUTONUM  </w:instrText>
      </w:r>
      <w:r w:rsidRPr="00EF7E34">
        <w:rPr>
          <w:rFonts w:ascii="Times New Roman" w:hAnsi="Times New Roman" w:cs="Times New Roman"/>
          <w:sz w:val="24"/>
          <w:szCs w:val="24"/>
        </w:rPr>
        <w:fldChar w:fldCharType="end"/>
      </w:r>
      <w:r w:rsidRPr="00EF7E34">
        <w:rPr>
          <w:rFonts w:ascii="Times New Roman" w:hAnsi="Times New Roman" w:cs="Times New Roman"/>
          <w:sz w:val="24"/>
          <w:szCs w:val="24"/>
        </w:rPr>
        <w:tab/>
        <w:t>MBIE</w:t>
      </w:r>
      <w:r w:rsidR="00041E8C">
        <w:rPr>
          <w:rFonts w:ascii="Times New Roman" w:hAnsi="Times New Roman" w:cs="Times New Roman"/>
          <w:sz w:val="24"/>
          <w:szCs w:val="24"/>
        </w:rPr>
        <w:t xml:space="preserve"> supports raising</w:t>
      </w:r>
      <w:r w:rsidRPr="00EF7E34">
        <w:rPr>
          <w:rFonts w:ascii="Times New Roman" w:hAnsi="Times New Roman" w:cs="Times New Roman"/>
          <w:sz w:val="24"/>
          <w:szCs w:val="24"/>
        </w:rPr>
        <w:t xml:space="preserve"> the income threshold </w:t>
      </w:r>
      <w:r w:rsidR="00041E8C">
        <w:rPr>
          <w:rFonts w:ascii="Times New Roman" w:hAnsi="Times New Roman" w:cs="Times New Roman"/>
          <w:sz w:val="24"/>
          <w:szCs w:val="24"/>
        </w:rPr>
        <w:t xml:space="preserve">and setting it </w:t>
      </w:r>
      <w:r w:rsidR="00AF7599">
        <w:rPr>
          <w:rFonts w:ascii="Times New Roman" w:hAnsi="Times New Roman" w:cs="Times New Roman"/>
          <w:sz w:val="24"/>
          <w:szCs w:val="24"/>
        </w:rPr>
        <w:t xml:space="preserve">by reference to </w:t>
      </w:r>
      <w:r w:rsidRPr="00EF7E34">
        <w:rPr>
          <w:rFonts w:ascii="Times New Roman" w:hAnsi="Times New Roman" w:cs="Times New Roman"/>
          <w:sz w:val="24"/>
          <w:szCs w:val="24"/>
        </w:rPr>
        <w:t>the KiwiSaver HomeStart levels</w:t>
      </w:r>
      <w:r w:rsidR="00DC5156">
        <w:rPr>
          <w:rFonts w:ascii="Times New Roman" w:hAnsi="Times New Roman" w:cs="Times New Roman"/>
          <w:sz w:val="24"/>
          <w:szCs w:val="24"/>
        </w:rPr>
        <w:t xml:space="preserve"> (option 2</w:t>
      </w:r>
      <w:r w:rsidR="00EF62B4">
        <w:rPr>
          <w:rFonts w:ascii="Times New Roman" w:hAnsi="Times New Roman" w:cs="Times New Roman"/>
          <w:sz w:val="24"/>
          <w:szCs w:val="24"/>
        </w:rPr>
        <w:t>)</w:t>
      </w:r>
      <w:r w:rsidRPr="00EF7E34">
        <w:rPr>
          <w:rFonts w:ascii="Times New Roman" w:hAnsi="Times New Roman" w:cs="Times New Roman"/>
          <w:sz w:val="24"/>
          <w:szCs w:val="24"/>
        </w:rPr>
        <w:t>.  The sector has been facing uncertainty over their charitable and tax status since the Q</w:t>
      </w:r>
      <w:r w:rsidR="00041E8C">
        <w:rPr>
          <w:rFonts w:ascii="Times New Roman" w:hAnsi="Times New Roman" w:cs="Times New Roman"/>
          <w:sz w:val="24"/>
          <w:szCs w:val="24"/>
        </w:rPr>
        <w:t xml:space="preserve">ueenstown </w:t>
      </w:r>
      <w:r w:rsidRPr="00EF7E34">
        <w:rPr>
          <w:rFonts w:ascii="Times New Roman" w:hAnsi="Times New Roman" w:cs="Times New Roman"/>
          <w:sz w:val="24"/>
          <w:szCs w:val="24"/>
        </w:rPr>
        <w:t>L</w:t>
      </w:r>
      <w:r w:rsidR="00041E8C">
        <w:rPr>
          <w:rFonts w:ascii="Times New Roman" w:hAnsi="Times New Roman" w:cs="Times New Roman"/>
          <w:sz w:val="24"/>
          <w:szCs w:val="24"/>
        </w:rPr>
        <w:t xml:space="preserve">akes </w:t>
      </w:r>
      <w:r w:rsidRPr="00EF7E34">
        <w:rPr>
          <w:rFonts w:ascii="Times New Roman" w:hAnsi="Times New Roman" w:cs="Times New Roman"/>
          <w:sz w:val="24"/>
          <w:szCs w:val="24"/>
        </w:rPr>
        <w:t>C</w:t>
      </w:r>
      <w:r w:rsidR="00041E8C">
        <w:rPr>
          <w:rFonts w:ascii="Times New Roman" w:hAnsi="Times New Roman" w:cs="Times New Roman"/>
          <w:sz w:val="24"/>
          <w:szCs w:val="24"/>
        </w:rPr>
        <w:t xml:space="preserve">ommunity </w:t>
      </w:r>
      <w:r w:rsidRPr="00EF7E34">
        <w:rPr>
          <w:rFonts w:ascii="Times New Roman" w:hAnsi="Times New Roman" w:cs="Times New Roman"/>
          <w:sz w:val="24"/>
          <w:szCs w:val="24"/>
        </w:rPr>
        <w:t>H</w:t>
      </w:r>
      <w:r w:rsidR="00041E8C">
        <w:rPr>
          <w:rFonts w:ascii="Times New Roman" w:hAnsi="Times New Roman" w:cs="Times New Roman"/>
          <w:sz w:val="24"/>
          <w:szCs w:val="24"/>
        </w:rPr>
        <w:t xml:space="preserve">ousing </w:t>
      </w:r>
      <w:r w:rsidRPr="00EF7E34">
        <w:rPr>
          <w:rFonts w:ascii="Times New Roman" w:hAnsi="Times New Roman" w:cs="Times New Roman"/>
          <w:sz w:val="24"/>
          <w:szCs w:val="24"/>
        </w:rPr>
        <w:t>T</w:t>
      </w:r>
      <w:r w:rsidR="00041E8C">
        <w:rPr>
          <w:rFonts w:ascii="Times New Roman" w:hAnsi="Times New Roman" w:cs="Times New Roman"/>
          <w:sz w:val="24"/>
          <w:szCs w:val="24"/>
        </w:rPr>
        <w:t>rust</w:t>
      </w:r>
      <w:r w:rsidRPr="00EF7E34">
        <w:rPr>
          <w:rFonts w:ascii="Times New Roman" w:hAnsi="Times New Roman" w:cs="Times New Roman"/>
          <w:sz w:val="24"/>
          <w:szCs w:val="24"/>
        </w:rPr>
        <w:t xml:space="preserve"> decision</w:t>
      </w:r>
      <w:r w:rsidR="00B97CF0">
        <w:rPr>
          <w:rFonts w:ascii="Times New Roman" w:hAnsi="Times New Roman" w:cs="Times New Roman"/>
          <w:sz w:val="24"/>
          <w:szCs w:val="24"/>
        </w:rPr>
        <w:t xml:space="preserve"> of the High Court</w:t>
      </w:r>
      <w:r w:rsidRPr="00EF7E34">
        <w:rPr>
          <w:rFonts w:ascii="Times New Roman" w:hAnsi="Times New Roman" w:cs="Times New Roman"/>
          <w:sz w:val="24"/>
          <w:szCs w:val="24"/>
        </w:rPr>
        <w:t xml:space="preserve"> in 2011.  They have received a number of promises </w:t>
      </w:r>
      <w:r w:rsidR="00B97CF0">
        <w:rPr>
          <w:rFonts w:ascii="Times New Roman" w:hAnsi="Times New Roman" w:cs="Times New Roman"/>
          <w:sz w:val="24"/>
          <w:szCs w:val="24"/>
        </w:rPr>
        <w:t xml:space="preserve">from Ministers </w:t>
      </w:r>
      <w:r w:rsidRPr="00EF7E34">
        <w:rPr>
          <w:rFonts w:ascii="Times New Roman" w:hAnsi="Times New Roman" w:cs="Times New Roman"/>
          <w:sz w:val="24"/>
          <w:szCs w:val="24"/>
        </w:rPr>
        <w:t>that this issue will be resolved to enable them to fully participate in the S</w:t>
      </w:r>
      <w:r w:rsidR="00AF7599">
        <w:rPr>
          <w:rFonts w:ascii="Times New Roman" w:hAnsi="Times New Roman" w:cs="Times New Roman"/>
          <w:sz w:val="24"/>
          <w:szCs w:val="24"/>
        </w:rPr>
        <w:t xml:space="preserve">ocial </w:t>
      </w:r>
      <w:r w:rsidRPr="00EF7E34">
        <w:rPr>
          <w:rFonts w:ascii="Times New Roman" w:hAnsi="Times New Roman" w:cs="Times New Roman"/>
          <w:sz w:val="24"/>
          <w:szCs w:val="24"/>
        </w:rPr>
        <w:t>H</w:t>
      </w:r>
      <w:r w:rsidR="00AF7599">
        <w:rPr>
          <w:rFonts w:ascii="Times New Roman" w:hAnsi="Times New Roman" w:cs="Times New Roman"/>
          <w:sz w:val="24"/>
          <w:szCs w:val="24"/>
        </w:rPr>
        <w:t xml:space="preserve">ousing </w:t>
      </w:r>
      <w:r w:rsidRPr="00EF7E34">
        <w:rPr>
          <w:rFonts w:ascii="Times New Roman" w:hAnsi="Times New Roman" w:cs="Times New Roman"/>
          <w:sz w:val="24"/>
          <w:szCs w:val="24"/>
        </w:rPr>
        <w:t>R</w:t>
      </w:r>
      <w:r w:rsidR="00AF7599">
        <w:rPr>
          <w:rFonts w:ascii="Times New Roman" w:hAnsi="Times New Roman" w:cs="Times New Roman"/>
          <w:sz w:val="24"/>
          <w:szCs w:val="24"/>
        </w:rPr>
        <w:t xml:space="preserve">eform </w:t>
      </w:r>
      <w:r w:rsidRPr="00EF7E34">
        <w:rPr>
          <w:rFonts w:ascii="Times New Roman" w:hAnsi="Times New Roman" w:cs="Times New Roman"/>
          <w:sz w:val="24"/>
          <w:szCs w:val="24"/>
        </w:rPr>
        <w:t>P</w:t>
      </w:r>
      <w:r w:rsidR="00AF7599">
        <w:rPr>
          <w:rFonts w:ascii="Times New Roman" w:hAnsi="Times New Roman" w:cs="Times New Roman"/>
          <w:sz w:val="24"/>
          <w:szCs w:val="24"/>
        </w:rPr>
        <w:t>rogramme</w:t>
      </w:r>
      <w:r w:rsidRPr="00EF7E34">
        <w:rPr>
          <w:rFonts w:ascii="Times New Roman" w:hAnsi="Times New Roman" w:cs="Times New Roman"/>
          <w:sz w:val="24"/>
          <w:szCs w:val="24"/>
        </w:rPr>
        <w:t xml:space="preserve"> and assist families into affordable </w:t>
      </w:r>
      <w:r w:rsidR="00DE07F5">
        <w:rPr>
          <w:rFonts w:ascii="Times New Roman" w:hAnsi="Times New Roman" w:cs="Times New Roman"/>
          <w:sz w:val="24"/>
          <w:szCs w:val="24"/>
        </w:rPr>
        <w:t>homeownership</w:t>
      </w:r>
      <w:r w:rsidR="00DC5156">
        <w:rPr>
          <w:rFonts w:ascii="Times New Roman" w:hAnsi="Times New Roman" w:cs="Times New Roman"/>
          <w:sz w:val="24"/>
          <w:szCs w:val="24"/>
        </w:rPr>
        <w:t>.  T</w:t>
      </w:r>
      <w:r w:rsidRPr="00EF7E34">
        <w:rPr>
          <w:rFonts w:ascii="Times New Roman" w:hAnsi="Times New Roman" w:cs="Times New Roman"/>
          <w:sz w:val="24"/>
          <w:szCs w:val="24"/>
        </w:rPr>
        <w:t xml:space="preserve">here is a level of expectation </w:t>
      </w:r>
      <w:r w:rsidR="00314CFD">
        <w:rPr>
          <w:rFonts w:ascii="Times New Roman" w:hAnsi="Times New Roman" w:cs="Times New Roman"/>
          <w:sz w:val="24"/>
          <w:szCs w:val="24"/>
        </w:rPr>
        <w:t xml:space="preserve">on part of providers </w:t>
      </w:r>
      <w:r w:rsidRPr="00EF7E34">
        <w:rPr>
          <w:rFonts w:ascii="Times New Roman" w:hAnsi="Times New Roman" w:cs="Times New Roman"/>
          <w:sz w:val="24"/>
          <w:szCs w:val="24"/>
        </w:rPr>
        <w:t xml:space="preserve">that these promises will be met.  Implementing a tax treatment with an income level less than KiwiSaver HomeStart will not capture all affected providers and is likely to be viewed by the sector as a broken promise.  On the ground, this could jeopardise a number of existing housing developments such as </w:t>
      </w:r>
      <w:proofErr w:type="spellStart"/>
      <w:r w:rsidRPr="00EF7E34">
        <w:rPr>
          <w:rFonts w:ascii="Times New Roman" w:hAnsi="Times New Roman" w:cs="Times New Roman"/>
          <w:sz w:val="24"/>
          <w:szCs w:val="24"/>
        </w:rPr>
        <w:t>Waimahia</w:t>
      </w:r>
      <w:proofErr w:type="spellEnd"/>
      <w:r w:rsidRPr="00EF7E34">
        <w:rPr>
          <w:rFonts w:ascii="Times New Roman" w:hAnsi="Times New Roman" w:cs="Times New Roman"/>
          <w:sz w:val="24"/>
          <w:szCs w:val="24"/>
        </w:rPr>
        <w:t xml:space="preserve"> Inlet.</w:t>
      </w:r>
    </w:p>
    <w:p w:rsidR="00EF7E34" w:rsidRPr="00EF7E34" w:rsidRDefault="00EF7E34" w:rsidP="00EF7E34">
      <w:pPr>
        <w:spacing w:after="0" w:line="240" w:lineRule="auto"/>
        <w:jc w:val="both"/>
        <w:rPr>
          <w:rFonts w:ascii="Times New Roman" w:hAnsi="Times New Roman" w:cs="Times New Roman"/>
          <w:sz w:val="24"/>
          <w:szCs w:val="24"/>
        </w:rPr>
      </w:pPr>
    </w:p>
    <w:p w:rsidR="00EF7E34" w:rsidRPr="00EF7E34" w:rsidRDefault="00EF7E34" w:rsidP="00EF7E34">
      <w:pPr>
        <w:spacing w:after="0" w:line="240" w:lineRule="auto"/>
        <w:jc w:val="both"/>
        <w:rPr>
          <w:rFonts w:ascii="Times New Roman" w:hAnsi="Times New Roman" w:cs="Times New Roman"/>
          <w:sz w:val="24"/>
          <w:szCs w:val="24"/>
        </w:rPr>
      </w:pPr>
      <w:r w:rsidRPr="00EF7E34">
        <w:rPr>
          <w:rFonts w:ascii="Times New Roman" w:hAnsi="Times New Roman" w:cs="Times New Roman"/>
          <w:sz w:val="24"/>
          <w:szCs w:val="24"/>
        </w:rPr>
        <w:fldChar w:fldCharType="begin"/>
      </w:r>
      <w:r w:rsidRPr="00EF7E34">
        <w:rPr>
          <w:rFonts w:ascii="Times New Roman" w:hAnsi="Times New Roman" w:cs="Times New Roman"/>
          <w:sz w:val="24"/>
          <w:szCs w:val="24"/>
        </w:rPr>
        <w:instrText xml:space="preserve"> AUTONUM  </w:instrText>
      </w:r>
      <w:r w:rsidRPr="00EF7E34">
        <w:rPr>
          <w:rFonts w:ascii="Times New Roman" w:hAnsi="Times New Roman" w:cs="Times New Roman"/>
          <w:sz w:val="24"/>
          <w:szCs w:val="24"/>
        </w:rPr>
        <w:fldChar w:fldCharType="end"/>
      </w:r>
      <w:r w:rsidRPr="00EF7E34">
        <w:rPr>
          <w:rFonts w:ascii="Times New Roman" w:hAnsi="Times New Roman" w:cs="Times New Roman"/>
          <w:sz w:val="24"/>
          <w:szCs w:val="24"/>
        </w:rPr>
        <w:tab/>
        <w:t xml:space="preserve">Affected providers offer affordable </w:t>
      </w:r>
      <w:r w:rsidR="00DE07F5">
        <w:rPr>
          <w:rFonts w:ascii="Times New Roman" w:hAnsi="Times New Roman" w:cs="Times New Roman"/>
          <w:sz w:val="24"/>
          <w:szCs w:val="24"/>
        </w:rPr>
        <w:t>homeownership</w:t>
      </w:r>
      <w:r w:rsidRPr="00EF7E34">
        <w:rPr>
          <w:rFonts w:ascii="Times New Roman" w:hAnsi="Times New Roman" w:cs="Times New Roman"/>
          <w:sz w:val="24"/>
          <w:szCs w:val="24"/>
        </w:rPr>
        <w:t xml:space="preserve"> schemes to families who may be in a position to transition out of social housing along the housing continuum into a rent-to-buy </w:t>
      </w:r>
      <w:r w:rsidR="00041E8C">
        <w:rPr>
          <w:rFonts w:ascii="Times New Roman" w:hAnsi="Times New Roman" w:cs="Times New Roman"/>
          <w:sz w:val="24"/>
          <w:szCs w:val="24"/>
        </w:rPr>
        <w:t>scheme</w:t>
      </w:r>
      <w:r w:rsidRPr="00EF7E34">
        <w:rPr>
          <w:rFonts w:ascii="Times New Roman" w:hAnsi="Times New Roman" w:cs="Times New Roman"/>
          <w:sz w:val="24"/>
          <w:szCs w:val="24"/>
        </w:rPr>
        <w:t>.  This could potentially free-up valuable social houses for other families in high housing need.</w:t>
      </w:r>
    </w:p>
    <w:p w:rsidR="00EF7E34" w:rsidRPr="00EF7E34" w:rsidRDefault="00EF7E34" w:rsidP="00EF7E34">
      <w:pPr>
        <w:spacing w:after="0" w:line="240" w:lineRule="auto"/>
        <w:jc w:val="both"/>
        <w:rPr>
          <w:rFonts w:ascii="Times New Roman" w:hAnsi="Times New Roman" w:cs="Times New Roman"/>
          <w:i/>
          <w:sz w:val="24"/>
          <w:szCs w:val="24"/>
        </w:rPr>
      </w:pPr>
    </w:p>
    <w:p w:rsidR="00EF7E34" w:rsidRPr="00EF7E34" w:rsidRDefault="00EF62B4" w:rsidP="00EF7E3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Treasury’s view</w:t>
      </w:r>
    </w:p>
    <w:p w:rsidR="00EF7E34" w:rsidRPr="00EF7E34" w:rsidRDefault="00EF7E34" w:rsidP="00EF7E34">
      <w:pPr>
        <w:spacing w:after="0" w:line="240" w:lineRule="auto"/>
        <w:jc w:val="both"/>
        <w:rPr>
          <w:rFonts w:ascii="Times New Roman" w:hAnsi="Times New Roman" w:cs="Times New Roman"/>
          <w:sz w:val="24"/>
          <w:szCs w:val="24"/>
        </w:rPr>
      </w:pPr>
    </w:p>
    <w:p w:rsidR="00F74AE9" w:rsidRPr="00F74AE9" w:rsidRDefault="00F74AE9" w:rsidP="00F74AE9">
      <w:pPr>
        <w:spacing w:after="0" w:line="240" w:lineRule="auto"/>
        <w:jc w:val="both"/>
        <w:rPr>
          <w:rFonts w:ascii="Times New Roman" w:hAnsi="Times New Roman" w:cs="Times New Roman"/>
          <w:sz w:val="24"/>
          <w:szCs w:val="24"/>
        </w:rPr>
      </w:pPr>
      <w:r w:rsidRPr="00F74AE9">
        <w:rPr>
          <w:rFonts w:ascii="Times New Roman" w:hAnsi="Times New Roman" w:cs="Times New Roman"/>
          <w:sz w:val="24"/>
          <w:szCs w:val="24"/>
        </w:rPr>
        <w:fldChar w:fldCharType="begin"/>
      </w:r>
      <w:r w:rsidRPr="00F74AE9">
        <w:rPr>
          <w:rFonts w:ascii="Times New Roman" w:hAnsi="Times New Roman" w:cs="Times New Roman"/>
          <w:sz w:val="24"/>
          <w:szCs w:val="24"/>
        </w:rPr>
        <w:instrText xml:space="preserve"> AUTONUM  </w:instrText>
      </w:r>
      <w:r w:rsidRPr="00F74AE9">
        <w:rPr>
          <w:rFonts w:ascii="Times New Roman" w:hAnsi="Times New Roman" w:cs="Times New Roman"/>
          <w:sz w:val="24"/>
          <w:szCs w:val="24"/>
        </w:rPr>
        <w:fldChar w:fldCharType="end"/>
      </w:r>
      <w:r w:rsidRPr="00F74AE9">
        <w:rPr>
          <w:rFonts w:ascii="Times New Roman" w:hAnsi="Times New Roman" w:cs="Times New Roman"/>
          <w:sz w:val="24"/>
          <w:szCs w:val="24"/>
        </w:rPr>
        <w:tab/>
        <w:t>Treasury’s first preference is for time-limited assistance to providers that are de-registered as a charity and registered with the Community Housing Regulatory Authority, as opposed to an extension of the tax exemption.</w:t>
      </w:r>
      <w:r>
        <w:rPr>
          <w:rFonts w:ascii="Times New Roman" w:hAnsi="Times New Roman" w:cs="Times New Roman"/>
          <w:sz w:val="24"/>
          <w:szCs w:val="24"/>
        </w:rPr>
        <w:t xml:space="preserve"> </w:t>
      </w:r>
      <w:r w:rsidRPr="00F74AE9">
        <w:rPr>
          <w:rFonts w:ascii="Times New Roman" w:hAnsi="Times New Roman" w:cs="Times New Roman"/>
          <w:sz w:val="24"/>
          <w:szCs w:val="24"/>
        </w:rPr>
        <w:t xml:space="preserve"> However, given the history and the expectation of providers, Treasury supports an extension of the income threshold to KiwiSaver HomeStart levels (option 2) as a pragmatic</w:t>
      </w:r>
      <w:r>
        <w:rPr>
          <w:rFonts w:ascii="Times New Roman" w:hAnsi="Times New Roman" w:cs="Times New Roman"/>
          <w:sz w:val="24"/>
          <w:szCs w:val="24"/>
        </w:rPr>
        <w:t xml:space="preserve"> solution to resolve the issue.</w:t>
      </w:r>
    </w:p>
    <w:p w:rsidR="00F74AE9" w:rsidRPr="00F74AE9" w:rsidRDefault="00F74AE9" w:rsidP="00EF7E34">
      <w:pPr>
        <w:spacing w:after="0" w:line="240" w:lineRule="auto"/>
        <w:jc w:val="both"/>
        <w:rPr>
          <w:rFonts w:ascii="Times New Roman" w:hAnsi="Times New Roman" w:cs="Times New Roman"/>
          <w:sz w:val="24"/>
          <w:szCs w:val="24"/>
        </w:rPr>
      </w:pPr>
    </w:p>
    <w:p w:rsidR="00EF7E34" w:rsidRPr="00EF7E34" w:rsidRDefault="00EF7E34" w:rsidP="00EF7E34">
      <w:pPr>
        <w:spacing w:after="0" w:line="240" w:lineRule="auto"/>
        <w:jc w:val="both"/>
        <w:rPr>
          <w:rFonts w:ascii="Times New Roman" w:hAnsi="Times New Roman" w:cs="Times New Roman"/>
          <w:sz w:val="24"/>
          <w:szCs w:val="24"/>
        </w:rPr>
      </w:pPr>
      <w:r w:rsidRPr="00EF7E34">
        <w:rPr>
          <w:rFonts w:ascii="Times New Roman" w:hAnsi="Times New Roman" w:cs="Times New Roman"/>
          <w:i/>
          <w:sz w:val="24"/>
          <w:szCs w:val="24"/>
        </w:rPr>
        <w:t>Sector consultation</w:t>
      </w:r>
    </w:p>
    <w:p w:rsidR="00EF7E34" w:rsidRPr="00EF7E34" w:rsidRDefault="00EF7E34" w:rsidP="00EF7E34">
      <w:pPr>
        <w:spacing w:after="0" w:line="240" w:lineRule="auto"/>
        <w:jc w:val="both"/>
        <w:rPr>
          <w:rFonts w:ascii="Times New Roman" w:hAnsi="Times New Roman" w:cs="Times New Roman"/>
          <w:sz w:val="24"/>
          <w:szCs w:val="24"/>
        </w:rPr>
      </w:pPr>
    </w:p>
    <w:p w:rsidR="006158C5" w:rsidRDefault="00EF7E34" w:rsidP="002319EB">
      <w:pPr>
        <w:spacing w:after="0" w:line="240" w:lineRule="auto"/>
        <w:jc w:val="both"/>
        <w:rPr>
          <w:rFonts w:ascii="Times New Roman" w:hAnsi="Times New Roman" w:cs="Times New Roman"/>
          <w:sz w:val="24"/>
          <w:szCs w:val="24"/>
        </w:rPr>
      </w:pPr>
      <w:r w:rsidRPr="00EF7E34">
        <w:rPr>
          <w:rFonts w:ascii="Times New Roman" w:hAnsi="Times New Roman" w:cs="Times New Roman"/>
          <w:sz w:val="24"/>
          <w:szCs w:val="24"/>
        </w:rPr>
        <w:fldChar w:fldCharType="begin"/>
      </w:r>
      <w:r w:rsidRPr="00EF7E34">
        <w:rPr>
          <w:rFonts w:ascii="Times New Roman" w:hAnsi="Times New Roman" w:cs="Times New Roman"/>
          <w:sz w:val="24"/>
          <w:szCs w:val="24"/>
        </w:rPr>
        <w:instrText xml:space="preserve"> AUTONUM  </w:instrText>
      </w:r>
      <w:r w:rsidRPr="00EF7E34">
        <w:rPr>
          <w:rFonts w:ascii="Times New Roman" w:hAnsi="Times New Roman" w:cs="Times New Roman"/>
          <w:sz w:val="24"/>
          <w:szCs w:val="24"/>
        </w:rPr>
        <w:fldChar w:fldCharType="end"/>
      </w:r>
      <w:r w:rsidRPr="00EF7E34">
        <w:rPr>
          <w:rFonts w:ascii="Times New Roman" w:hAnsi="Times New Roman" w:cs="Times New Roman"/>
          <w:sz w:val="24"/>
          <w:szCs w:val="24"/>
        </w:rPr>
        <w:tab/>
      </w:r>
      <w:r w:rsidR="002319EB" w:rsidRPr="002319EB">
        <w:rPr>
          <w:rFonts w:ascii="Times New Roman" w:hAnsi="Times New Roman" w:cs="Times New Roman"/>
          <w:sz w:val="24"/>
          <w:szCs w:val="24"/>
        </w:rPr>
        <w:t xml:space="preserve">The </w:t>
      </w:r>
      <w:r w:rsidR="00AF7599">
        <w:rPr>
          <w:rFonts w:ascii="Times New Roman" w:hAnsi="Times New Roman" w:cs="Times New Roman"/>
          <w:sz w:val="24"/>
          <w:szCs w:val="24"/>
        </w:rPr>
        <w:t>housing sector’s umbrella</w:t>
      </w:r>
      <w:r w:rsidR="00AF7599" w:rsidRPr="002319EB">
        <w:rPr>
          <w:rFonts w:ascii="Times New Roman" w:hAnsi="Times New Roman" w:cs="Times New Roman"/>
          <w:sz w:val="24"/>
          <w:szCs w:val="24"/>
        </w:rPr>
        <w:t xml:space="preserve"> </w:t>
      </w:r>
      <w:r w:rsidR="00AF7599">
        <w:rPr>
          <w:rFonts w:ascii="Times New Roman" w:hAnsi="Times New Roman" w:cs="Times New Roman"/>
          <w:sz w:val="24"/>
          <w:szCs w:val="24"/>
        </w:rPr>
        <w:t xml:space="preserve">organisation </w:t>
      </w:r>
      <w:r w:rsidR="002319EB" w:rsidRPr="002319EB">
        <w:rPr>
          <w:rFonts w:ascii="Times New Roman" w:hAnsi="Times New Roman" w:cs="Times New Roman"/>
          <w:sz w:val="24"/>
          <w:szCs w:val="24"/>
        </w:rPr>
        <w:t xml:space="preserve">is Community Housing Aotearoa (CHA).  </w:t>
      </w:r>
      <w:r w:rsidR="00AF7599">
        <w:rPr>
          <w:rFonts w:ascii="Times New Roman" w:hAnsi="Times New Roman" w:cs="Times New Roman"/>
          <w:sz w:val="24"/>
          <w:szCs w:val="24"/>
        </w:rPr>
        <w:t xml:space="preserve">CHA </w:t>
      </w:r>
      <w:r w:rsidR="002319EB" w:rsidRPr="002319EB">
        <w:rPr>
          <w:rFonts w:ascii="Times New Roman" w:hAnsi="Times New Roman" w:cs="Times New Roman"/>
          <w:sz w:val="24"/>
          <w:szCs w:val="24"/>
        </w:rPr>
        <w:t>is strongly opposed to the use of an</w:t>
      </w:r>
      <w:r w:rsidR="005C1739">
        <w:rPr>
          <w:rFonts w:ascii="Times New Roman" w:hAnsi="Times New Roman" w:cs="Times New Roman"/>
          <w:sz w:val="24"/>
          <w:szCs w:val="24"/>
        </w:rPr>
        <w:t>y</w:t>
      </w:r>
      <w:r w:rsidR="002319EB" w:rsidRPr="002319EB">
        <w:rPr>
          <w:rFonts w:ascii="Times New Roman" w:hAnsi="Times New Roman" w:cs="Times New Roman"/>
          <w:sz w:val="24"/>
          <w:szCs w:val="24"/>
        </w:rPr>
        <w:t xml:space="preserve"> income and/or asset test as part of the eligibility criteria, because they do not believe that the lower quartile of household income will capture providers that may rely on the income tax exemption.  </w:t>
      </w:r>
      <w:r w:rsidR="00AF7599">
        <w:rPr>
          <w:rFonts w:ascii="Times New Roman" w:hAnsi="Times New Roman" w:cs="Times New Roman"/>
          <w:sz w:val="24"/>
          <w:szCs w:val="24"/>
        </w:rPr>
        <w:t xml:space="preserve">CHA’s </w:t>
      </w:r>
      <w:r w:rsidR="002319EB" w:rsidRPr="002319EB">
        <w:rPr>
          <w:rFonts w:ascii="Times New Roman" w:hAnsi="Times New Roman" w:cs="Times New Roman"/>
          <w:sz w:val="24"/>
          <w:szCs w:val="24"/>
        </w:rPr>
        <w:t xml:space="preserve">first preference is to amend the Charities Act 2005, to confer charitable status on providers offering affordable </w:t>
      </w:r>
      <w:r w:rsidR="00DE07F5">
        <w:rPr>
          <w:rFonts w:ascii="Times New Roman" w:hAnsi="Times New Roman" w:cs="Times New Roman"/>
          <w:sz w:val="24"/>
          <w:szCs w:val="24"/>
        </w:rPr>
        <w:t>homeownership</w:t>
      </w:r>
      <w:r w:rsidR="002319EB" w:rsidRPr="002319EB">
        <w:rPr>
          <w:rFonts w:ascii="Times New Roman" w:hAnsi="Times New Roman" w:cs="Times New Roman"/>
          <w:sz w:val="24"/>
          <w:szCs w:val="24"/>
        </w:rPr>
        <w:t xml:space="preserve">.  Now that this option is no longer available, </w:t>
      </w:r>
      <w:r w:rsidR="00AF7599">
        <w:rPr>
          <w:rFonts w:ascii="Times New Roman" w:hAnsi="Times New Roman" w:cs="Times New Roman"/>
          <w:sz w:val="24"/>
          <w:szCs w:val="24"/>
        </w:rPr>
        <w:t xml:space="preserve">CHA </w:t>
      </w:r>
      <w:r w:rsidR="002319EB" w:rsidRPr="002319EB">
        <w:rPr>
          <w:rFonts w:ascii="Times New Roman" w:hAnsi="Times New Roman" w:cs="Times New Roman"/>
          <w:sz w:val="24"/>
          <w:szCs w:val="24"/>
        </w:rPr>
        <w:t>has indicated that if an option has to include an income threshold, its preference would be one based on KiwiSaver HomeStart</w:t>
      </w:r>
      <w:r w:rsidR="00C42E01">
        <w:rPr>
          <w:rFonts w:ascii="Times New Roman" w:hAnsi="Times New Roman" w:cs="Times New Roman"/>
          <w:sz w:val="24"/>
          <w:szCs w:val="24"/>
        </w:rPr>
        <w:t xml:space="preserve"> (option 2</w:t>
      </w:r>
      <w:r w:rsidR="002319EB">
        <w:rPr>
          <w:rFonts w:ascii="Times New Roman" w:hAnsi="Times New Roman" w:cs="Times New Roman"/>
          <w:sz w:val="24"/>
          <w:szCs w:val="24"/>
        </w:rPr>
        <w:t>)</w:t>
      </w:r>
      <w:r w:rsidR="006158C5">
        <w:rPr>
          <w:rFonts w:ascii="Times New Roman" w:hAnsi="Times New Roman" w:cs="Times New Roman"/>
          <w:sz w:val="24"/>
          <w:szCs w:val="24"/>
        </w:rPr>
        <w:t>.</w:t>
      </w:r>
    </w:p>
    <w:p w:rsidR="006158C5" w:rsidRDefault="006158C5" w:rsidP="002319EB">
      <w:pPr>
        <w:spacing w:after="0" w:line="240" w:lineRule="auto"/>
        <w:jc w:val="both"/>
        <w:rPr>
          <w:rFonts w:ascii="Times New Roman" w:hAnsi="Times New Roman" w:cs="Times New Roman"/>
          <w:sz w:val="24"/>
          <w:szCs w:val="24"/>
        </w:rPr>
      </w:pPr>
    </w:p>
    <w:p w:rsidR="002319EB" w:rsidRDefault="006158C5" w:rsidP="002319EB">
      <w:pPr>
        <w:spacing w:after="0" w:line="240" w:lineRule="auto"/>
        <w:jc w:val="both"/>
        <w:rPr>
          <w:rFonts w:ascii="Times New Roman" w:hAnsi="Times New Roman" w:cs="Times New Roman"/>
          <w:sz w:val="24"/>
          <w:szCs w:val="24"/>
        </w:rPr>
      </w:pPr>
      <w:r w:rsidRPr="006158C5">
        <w:rPr>
          <w:rFonts w:ascii="Times New Roman" w:hAnsi="Times New Roman" w:cs="Times New Roman"/>
          <w:sz w:val="24"/>
          <w:szCs w:val="24"/>
        </w:rPr>
        <w:fldChar w:fldCharType="begin"/>
      </w:r>
      <w:r w:rsidRPr="006158C5">
        <w:rPr>
          <w:rFonts w:ascii="Times New Roman" w:hAnsi="Times New Roman" w:cs="Times New Roman"/>
          <w:sz w:val="24"/>
          <w:szCs w:val="24"/>
        </w:rPr>
        <w:instrText xml:space="preserve"> AUTONUM  </w:instrText>
      </w:r>
      <w:r w:rsidRPr="006158C5">
        <w:rPr>
          <w:rFonts w:ascii="Times New Roman" w:hAnsi="Times New Roman" w:cs="Times New Roman"/>
          <w:sz w:val="24"/>
          <w:szCs w:val="24"/>
        </w:rPr>
        <w:fldChar w:fldCharType="end"/>
      </w:r>
      <w:r w:rsidRPr="006158C5">
        <w:rPr>
          <w:rFonts w:ascii="Times New Roman" w:hAnsi="Times New Roman" w:cs="Times New Roman"/>
          <w:sz w:val="24"/>
          <w:szCs w:val="24"/>
        </w:rPr>
        <w:tab/>
      </w:r>
      <w:r w:rsidR="00AF7599">
        <w:rPr>
          <w:rFonts w:ascii="Times New Roman" w:hAnsi="Times New Roman" w:cs="Times New Roman"/>
          <w:sz w:val="24"/>
          <w:szCs w:val="24"/>
        </w:rPr>
        <w:t xml:space="preserve">CHA </w:t>
      </w:r>
      <w:r w:rsidR="002319EB" w:rsidRPr="002319EB">
        <w:rPr>
          <w:rFonts w:ascii="Times New Roman" w:hAnsi="Times New Roman" w:cs="Times New Roman"/>
          <w:sz w:val="24"/>
          <w:szCs w:val="24"/>
        </w:rPr>
        <w:t xml:space="preserve">wants the income threshold to be set at a level that supports growth and innovation in the sector, which will deliver new entry-level housing supply through projects such as </w:t>
      </w:r>
      <w:proofErr w:type="spellStart"/>
      <w:r w:rsidR="002319EB" w:rsidRPr="002319EB">
        <w:rPr>
          <w:rFonts w:ascii="Times New Roman" w:hAnsi="Times New Roman" w:cs="Times New Roman"/>
          <w:sz w:val="24"/>
          <w:szCs w:val="24"/>
        </w:rPr>
        <w:t>Waimahia</w:t>
      </w:r>
      <w:proofErr w:type="spellEnd"/>
      <w:r w:rsidR="002319EB" w:rsidRPr="002319EB">
        <w:rPr>
          <w:rFonts w:ascii="Times New Roman" w:hAnsi="Times New Roman" w:cs="Times New Roman"/>
          <w:sz w:val="24"/>
          <w:szCs w:val="24"/>
        </w:rPr>
        <w:t xml:space="preserve"> Inlet.  </w:t>
      </w:r>
      <w:r w:rsidR="00AF7599">
        <w:rPr>
          <w:rFonts w:ascii="Times New Roman" w:hAnsi="Times New Roman" w:cs="Times New Roman"/>
          <w:sz w:val="24"/>
          <w:szCs w:val="24"/>
        </w:rPr>
        <w:t xml:space="preserve">CHA </w:t>
      </w:r>
      <w:r w:rsidR="002319EB" w:rsidRPr="002319EB">
        <w:rPr>
          <w:rFonts w:ascii="Times New Roman" w:hAnsi="Times New Roman" w:cs="Times New Roman"/>
          <w:sz w:val="24"/>
          <w:szCs w:val="24"/>
        </w:rPr>
        <w:t xml:space="preserve">believes that the KiwiSaver HomeStart income levels are the minimum </w:t>
      </w:r>
      <w:r w:rsidR="00AF7599">
        <w:rPr>
          <w:rFonts w:ascii="Times New Roman" w:hAnsi="Times New Roman" w:cs="Times New Roman"/>
          <w:sz w:val="24"/>
          <w:szCs w:val="24"/>
        </w:rPr>
        <w:t xml:space="preserve">needed </w:t>
      </w:r>
      <w:r w:rsidR="002319EB" w:rsidRPr="002319EB">
        <w:rPr>
          <w:rFonts w:ascii="Times New Roman" w:hAnsi="Times New Roman" w:cs="Times New Roman"/>
          <w:sz w:val="24"/>
          <w:szCs w:val="24"/>
        </w:rPr>
        <w:t>to achieve this.</w:t>
      </w:r>
    </w:p>
    <w:p w:rsidR="002319EB" w:rsidRDefault="002319EB" w:rsidP="002319EB">
      <w:pPr>
        <w:spacing w:after="0" w:line="240" w:lineRule="auto"/>
        <w:jc w:val="both"/>
        <w:rPr>
          <w:rFonts w:ascii="Times New Roman" w:hAnsi="Times New Roman" w:cs="Times New Roman"/>
          <w:sz w:val="24"/>
          <w:szCs w:val="24"/>
        </w:rPr>
      </w:pPr>
    </w:p>
    <w:p w:rsidR="00A07990" w:rsidRPr="002319EB" w:rsidRDefault="00A07990" w:rsidP="002319EB">
      <w:pPr>
        <w:spacing w:after="0" w:line="240" w:lineRule="auto"/>
        <w:jc w:val="both"/>
        <w:rPr>
          <w:rFonts w:ascii="Times New Roman" w:hAnsi="Times New Roman" w:cs="Times New Roman"/>
          <w:sz w:val="24"/>
          <w:szCs w:val="24"/>
        </w:rPr>
      </w:pPr>
    </w:p>
    <w:p w:rsidR="00EF62B4" w:rsidRPr="00EF62B4" w:rsidRDefault="00EF62B4" w:rsidP="00EF7E34">
      <w:pPr>
        <w:spacing w:after="0" w:line="240" w:lineRule="auto"/>
        <w:jc w:val="both"/>
        <w:rPr>
          <w:rFonts w:ascii="Times New Roman" w:hAnsi="Times New Roman" w:cs="Times New Roman"/>
          <w:b/>
          <w:caps/>
          <w:sz w:val="24"/>
          <w:szCs w:val="24"/>
        </w:rPr>
      </w:pPr>
      <w:r w:rsidRPr="00EF62B4">
        <w:rPr>
          <w:rFonts w:ascii="Times New Roman" w:hAnsi="Times New Roman" w:cs="Times New Roman"/>
          <w:b/>
          <w:caps/>
          <w:sz w:val="24"/>
          <w:szCs w:val="24"/>
        </w:rPr>
        <w:t>Conclusions and recommendations</w:t>
      </w:r>
    </w:p>
    <w:p w:rsidR="00EF62B4" w:rsidRDefault="00EF62B4" w:rsidP="00EF7E34">
      <w:pPr>
        <w:spacing w:after="0" w:line="240" w:lineRule="auto"/>
        <w:jc w:val="both"/>
        <w:rPr>
          <w:rFonts w:ascii="Times New Roman" w:hAnsi="Times New Roman" w:cs="Times New Roman"/>
          <w:sz w:val="24"/>
          <w:szCs w:val="24"/>
        </w:rPr>
      </w:pPr>
    </w:p>
    <w:p w:rsidR="00EF62B4" w:rsidRPr="00EF62B4" w:rsidRDefault="00EF62B4" w:rsidP="00EF62B4">
      <w:pPr>
        <w:spacing w:after="0" w:line="240" w:lineRule="auto"/>
        <w:jc w:val="both"/>
        <w:rPr>
          <w:rFonts w:ascii="Times New Roman" w:hAnsi="Times New Roman" w:cs="Times New Roman"/>
          <w:sz w:val="24"/>
          <w:szCs w:val="24"/>
        </w:rPr>
      </w:pPr>
      <w:r w:rsidRPr="00EF62B4">
        <w:rPr>
          <w:rFonts w:ascii="Times New Roman" w:hAnsi="Times New Roman" w:cs="Times New Roman"/>
          <w:sz w:val="24"/>
          <w:szCs w:val="24"/>
        </w:rPr>
        <w:fldChar w:fldCharType="begin"/>
      </w:r>
      <w:r w:rsidRPr="00EF62B4">
        <w:rPr>
          <w:rFonts w:ascii="Times New Roman" w:hAnsi="Times New Roman" w:cs="Times New Roman"/>
          <w:sz w:val="24"/>
          <w:szCs w:val="24"/>
        </w:rPr>
        <w:instrText xml:space="preserve"> AUTONUM  </w:instrText>
      </w:r>
      <w:r w:rsidRPr="00EF62B4">
        <w:rPr>
          <w:rFonts w:ascii="Times New Roman" w:hAnsi="Times New Roman" w:cs="Times New Roman"/>
          <w:sz w:val="24"/>
          <w:szCs w:val="24"/>
        </w:rPr>
        <w:fldChar w:fldCharType="end"/>
      </w:r>
      <w:r w:rsidRPr="00EF62B4">
        <w:rPr>
          <w:rFonts w:ascii="Times New Roman" w:hAnsi="Times New Roman" w:cs="Times New Roman"/>
          <w:sz w:val="24"/>
          <w:szCs w:val="24"/>
        </w:rPr>
        <w:tab/>
        <w:t xml:space="preserve">Of the options discussed in this RIS, Inland Revenue favours using the KiwiSaver HomeStart income thresholds (option </w:t>
      </w:r>
      <w:r w:rsidR="00AF7599">
        <w:rPr>
          <w:rFonts w:ascii="Times New Roman" w:hAnsi="Times New Roman" w:cs="Times New Roman"/>
          <w:sz w:val="24"/>
          <w:szCs w:val="24"/>
        </w:rPr>
        <w:t>2</w:t>
      </w:r>
      <w:r w:rsidRPr="00EF62B4">
        <w:rPr>
          <w:rFonts w:ascii="Times New Roman" w:hAnsi="Times New Roman" w:cs="Times New Roman"/>
          <w:sz w:val="24"/>
          <w:szCs w:val="24"/>
        </w:rPr>
        <w:t xml:space="preserve">) on the basis that it is well-principled and represents a pragmatic solution, should Ministers seek to achieve both tax policy and housing policy objectives.  Using the KiwiSaver HomeStart income thresholds would mean lower compliance costs for providers and their recipients and administrative costs for Inland Revenue, compared with options 1 and </w:t>
      </w:r>
      <w:r w:rsidR="00AF7599">
        <w:rPr>
          <w:rFonts w:ascii="Times New Roman" w:hAnsi="Times New Roman" w:cs="Times New Roman"/>
          <w:sz w:val="24"/>
          <w:szCs w:val="24"/>
        </w:rPr>
        <w:t>3</w:t>
      </w:r>
      <w:r w:rsidRPr="00EF62B4">
        <w:rPr>
          <w:rFonts w:ascii="Times New Roman" w:hAnsi="Times New Roman" w:cs="Times New Roman"/>
          <w:sz w:val="24"/>
          <w:szCs w:val="24"/>
        </w:rPr>
        <w:t>.</w:t>
      </w:r>
    </w:p>
    <w:p w:rsidR="00EF62B4" w:rsidRDefault="00EF62B4" w:rsidP="00EF7E34">
      <w:pPr>
        <w:spacing w:after="0" w:line="240" w:lineRule="auto"/>
        <w:jc w:val="both"/>
        <w:rPr>
          <w:rFonts w:ascii="Times New Roman" w:hAnsi="Times New Roman" w:cs="Times New Roman"/>
          <w:sz w:val="24"/>
          <w:szCs w:val="24"/>
        </w:rPr>
      </w:pPr>
    </w:p>
    <w:p w:rsidR="00EF62B4" w:rsidRPr="00EF7E34" w:rsidRDefault="00EF62B4" w:rsidP="00EF7E34">
      <w:pPr>
        <w:spacing w:after="0" w:line="240" w:lineRule="auto"/>
        <w:jc w:val="both"/>
        <w:rPr>
          <w:rFonts w:ascii="Times New Roman" w:hAnsi="Times New Roman" w:cs="Times New Roman"/>
          <w:sz w:val="24"/>
          <w:szCs w:val="24"/>
        </w:rPr>
      </w:pPr>
    </w:p>
    <w:p w:rsidR="00EF7E34" w:rsidRPr="00EF7E34" w:rsidRDefault="00EF7E34" w:rsidP="00EF7E34">
      <w:pPr>
        <w:spacing w:after="0" w:line="240" w:lineRule="auto"/>
        <w:jc w:val="both"/>
        <w:rPr>
          <w:rFonts w:ascii="Times New Roman" w:hAnsi="Times New Roman" w:cs="Times New Roman"/>
          <w:b/>
          <w:caps/>
          <w:sz w:val="24"/>
          <w:szCs w:val="24"/>
        </w:rPr>
      </w:pPr>
      <w:r w:rsidRPr="00EF7E34">
        <w:rPr>
          <w:rFonts w:ascii="Times New Roman" w:hAnsi="Times New Roman" w:cs="Times New Roman"/>
          <w:b/>
          <w:caps/>
          <w:sz w:val="24"/>
          <w:szCs w:val="24"/>
        </w:rPr>
        <w:t>Implementation</w:t>
      </w:r>
    </w:p>
    <w:p w:rsidR="00EF7E34" w:rsidRDefault="00EF7E34" w:rsidP="00EF7E34">
      <w:pPr>
        <w:spacing w:after="0" w:line="240" w:lineRule="auto"/>
        <w:jc w:val="both"/>
        <w:rPr>
          <w:rFonts w:ascii="Times New Roman" w:hAnsi="Times New Roman" w:cs="Times New Roman"/>
          <w:sz w:val="24"/>
          <w:szCs w:val="24"/>
        </w:rPr>
      </w:pPr>
    </w:p>
    <w:p w:rsidR="00EF7E34" w:rsidRDefault="00EF7E34" w:rsidP="00EF7E34">
      <w:pPr>
        <w:spacing w:after="0" w:line="240" w:lineRule="auto"/>
        <w:jc w:val="both"/>
        <w:rPr>
          <w:rFonts w:ascii="Times New Roman" w:hAnsi="Times New Roman" w:cs="Times New Roman"/>
          <w:sz w:val="24"/>
          <w:szCs w:val="24"/>
        </w:rPr>
      </w:pPr>
      <w:r w:rsidRPr="00EF7E34">
        <w:rPr>
          <w:rFonts w:ascii="Times New Roman" w:hAnsi="Times New Roman" w:cs="Times New Roman"/>
          <w:sz w:val="24"/>
          <w:szCs w:val="24"/>
        </w:rPr>
        <w:fldChar w:fldCharType="begin"/>
      </w:r>
      <w:r w:rsidRPr="00EF7E34">
        <w:rPr>
          <w:rFonts w:ascii="Times New Roman" w:hAnsi="Times New Roman" w:cs="Times New Roman"/>
          <w:sz w:val="24"/>
          <w:szCs w:val="24"/>
        </w:rPr>
        <w:instrText xml:space="preserve"> AUTONUM  </w:instrText>
      </w:r>
      <w:r w:rsidRPr="00EF7E34">
        <w:rPr>
          <w:rFonts w:ascii="Times New Roman" w:hAnsi="Times New Roman" w:cs="Times New Roman"/>
          <w:sz w:val="24"/>
          <w:szCs w:val="24"/>
        </w:rPr>
        <w:fldChar w:fldCharType="end"/>
      </w:r>
      <w:r w:rsidRPr="00EF7E34">
        <w:rPr>
          <w:rFonts w:ascii="Times New Roman" w:hAnsi="Times New Roman" w:cs="Times New Roman"/>
          <w:sz w:val="24"/>
          <w:szCs w:val="24"/>
        </w:rPr>
        <w:tab/>
      </w:r>
      <w:r>
        <w:rPr>
          <w:rFonts w:ascii="Times New Roman" w:hAnsi="Times New Roman" w:cs="Times New Roman"/>
          <w:sz w:val="24"/>
          <w:szCs w:val="24"/>
        </w:rPr>
        <w:t xml:space="preserve">The status quo (option </w:t>
      </w:r>
      <w:r w:rsidR="00AF7599">
        <w:rPr>
          <w:rFonts w:ascii="Times New Roman" w:hAnsi="Times New Roman" w:cs="Times New Roman"/>
          <w:sz w:val="24"/>
          <w:szCs w:val="24"/>
        </w:rPr>
        <w:t>3</w:t>
      </w:r>
      <w:r>
        <w:rPr>
          <w:rFonts w:ascii="Times New Roman" w:hAnsi="Times New Roman" w:cs="Times New Roman"/>
          <w:sz w:val="24"/>
          <w:szCs w:val="24"/>
        </w:rPr>
        <w:t xml:space="preserve">) does not require legislation to implement.  </w:t>
      </w:r>
      <w:r w:rsidRPr="00EF7E34">
        <w:rPr>
          <w:rFonts w:ascii="Times New Roman" w:hAnsi="Times New Roman" w:cs="Times New Roman"/>
          <w:sz w:val="24"/>
          <w:szCs w:val="24"/>
        </w:rPr>
        <w:t xml:space="preserve">Legislative change </w:t>
      </w:r>
      <w:r w:rsidR="003D4D10">
        <w:rPr>
          <w:rFonts w:ascii="Times New Roman" w:hAnsi="Times New Roman" w:cs="Times New Roman"/>
          <w:sz w:val="24"/>
          <w:szCs w:val="24"/>
        </w:rPr>
        <w:t xml:space="preserve">is </w:t>
      </w:r>
      <w:r w:rsidRPr="00EF7E34">
        <w:rPr>
          <w:rFonts w:ascii="Times New Roman" w:hAnsi="Times New Roman" w:cs="Times New Roman"/>
          <w:sz w:val="24"/>
          <w:szCs w:val="24"/>
        </w:rPr>
        <w:t>required if the income threshold is t</w:t>
      </w:r>
      <w:r>
        <w:rPr>
          <w:rFonts w:ascii="Times New Roman" w:hAnsi="Times New Roman" w:cs="Times New Roman"/>
          <w:sz w:val="24"/>
          <w:szCs w:val="24"/>
        </w:rPr>
        <w:t xml:space="preserve">o be raised (options </w:t>
      </w:r>
      <w:r w:rsidR="00AF7599">
        <w:rPr>
          <w:rFonts w:ascii="Times New Roman" w:hAnsi="Times New Roman" w:cs="Times New Roman"/>
          <w:sz w:val="24"/>
          <w:szCs w:val="24"/>
        </w:rPr>
        <w:t>1</w:t>
      </w:r>
      <w:r>
        <w:rPr>
          <w:rFonts w:ascii="Times New Roman" w:hAnsi="Times New Roman" w:cs="Times New Roman"/>
          <w:sz w:val="24"/>
          <w:szCs w:val="24"/>
        </w:rPr>
        <w:t xml:space="preserve"> and </w:t>
      </w:r>
      <w:r w:rsidR="00AF7599">
        <w:rPr>
          <w:rFonts w:ascii="Times New Roman" w:hAnsi="Times New Roman" w:cs="Times New Roman"/>
          <w:sz w:val="24"/>
          <w:szCs w:val="24"/>
        </w:rPr>
        <w:t>2</w:t>
      </w:r>
      <w:r>
        <w:rPr>
          <w:rFonts w:ascii="Times New Roman" w:hAnsi="Times New Roman" w:cs="Times New Roman"/>
          <w:sz w:val="24"/>
          <w:szCs w:val="24"/>
        </w:rPr>
        <w:t>)</w:t>
      </w:r>
      <w:r w:rsidR="008A7A7E">
        <w:rPr>
          <w:rFonts w:ascii="Times New Roman" w:hAnsi="Times New Roman" w:cs="Times New Roman"/>
          <w:sz w:val="24"/>
          <w:szCs w:val="24"/>
        </w:rPr>
        <w:t xml:space="preserve">.  In addition, a legislative change is required to include an assets </w:t>
      </w:r>
      <w:r w:rsidR="00C24544">
        <w:rPr>
          <w:rFonts w:ascii="Times New Roman" w:hAnsi="Times New Roman" w:cs="Times New Roman"/>
          <w:sz w:val="24"/>
          <w:szCs w:val="24"/>
        </w:rPr>
        <w:t>cap</w:t>
      </w:r>
      <w:r w:rsidR="008A7A7E">
        <w:rPr>
          <w:rFonts w:ascii="Times New Roman" w:hAnsi="Times New Roman" w:cs="Times New Roman"/>
          <w:sz w:val="24"/>
          <w:szCs w:val="24"/>
        </w:rPr>
        <w:t xml:space="preserve"> in the eligibility criteria</w:t>
      </w:r>
      <w:r>
        <w:rPr>
          <w:rFonts w:ascii="Times New Roman" w:hAnsi="Times New Roman" w:cs="Times New Roman"/>
          <w:sz w:val="24"/>
          <w:szCs w:val="24"/>
        </w:rPr>
        <w:t>.</w:t>
      </w:r>
    </w:p>
    <w:p w:rsidR="00EF7E34" w:rsidRDefault="00EF7E34" w:rsidP="00EF7E34">
      <w:pPr>
        <w:spacing w:after="0" w:line="240" w:lineRule="auto"/>
        <w:jc w:val="both"/>
        <w:rPr>
          <w:rFonts w:ascii="Times New Roman" w:hAnsi="Times New Roman" w:cs="Times New Roman"/>
          <w:sz w:val="24"/>
          <w:szCs w:val="24"/>
        </w:rPr>
      </w:pPr>
    </w:p>
    <w:p w:rsidR="00EF7E34" w:rsidRDefault="00EF7E34" w:rsidP="008A7A7E">
      <w:pPr>
        <w:spacing w:after="0" w:line="240" w:lineRule="auto"/>
        <w:jc w:val="both"/>
        <w:rPr>
          <w:rFonts w:ascii="Times New Roman" w:hAnsi="Times New Roman" w:cs="Times New Roman"/>
          <w:sz w:val="24"/>
          <w:szCs w:val="24"/>
        </w:rPr>
      </w:pPr>
      <w:r w:rsidRPr="00EF7E34">
        <w:rPr>
          <w:rFonts w:ascii="Times New Roman" w:hAnsi="Times New Roman" w:cs="Times New Roman"/>
          <w:sz w:val="24"/>
          <w:szCs w:val="24"/>
        </w:rPr>
        <w:fldChar w:fldCharType="begin"/>
      </w:r>
      <w:r w:rsidRPr="00EF7E34">
        <w:rPr>
          <w:rFonts w:ascii="Times New Roman" w:hAnsi="Times New Roman" w:cs="Times New Roman"/>
          <w:sz w:val="24"/>
          <w:szCs w:val="24"/>
        </w:rPr>
        <w:instrText xml:space="preserve"> AUTONUM  </w:instrText>
      </w:r>
      <w:r w:rsidRPr="00EF7E34">
        <w:rPr>
          <w:rFonts w:ascii="Times New Roman" w:hAnsi="Times New Roman" w:cs="Times New Roman"/>
          <w:sz w:val="24"/>
          <w:szCs w:val="24"/>
        </w:rPr>
        <w:fldChar w:fldCharType="end"/>
      </w:r>
      <w:r w:rsidRPr="00EF7E34">
        <w:rPr>
          <w:rFonts w:ascii="Times New Roman" w:hAnsi="Times New Roman" w:cs="Times New Roman"/>
          <w:sz w:val="24"/>
          <w:szCs w:val="24"/>
        </w:rPr>
        <w:tab/>
      </w:r>
      <w:r w:rsidR="008A7A7E" w:rsidRPr="008A7A7E">
        <w:rPr>
          <w:rFonts w:ascii="Times New Roman" w:hAnsi="Times New Roman" w:cs="Times New Roman"/>
          <w:sz w:val="24"/>
          <w:szCs w:val="24"/>
        </w:rPr>
        <w:t xml:space="preserve">Any amendments to give effect to </w:t>
      </w:r>
      <w:r w:rsidR="003D4D10">
        <w:rPr>
          <w:rFonts w:ascii="Times New Roman" w:hAnsi="Times New Roman" w:cs="Times New Roman"/>
          <w:sz w:val="24"/>
          <w:szCs w:val="24"/>
        </w:rPr>
        <w:t xml:space="preserve">either option 1 or option 2 </w:t>
      </w:r>
      <w:r w:rsidR="008A7A7E">
        <w:rPr>
          <w:rFonts w:ascii="Times New Roman" w:hAnsi="Times New Roman" w:cs="Times New Roman"/>
          <w:sz w:val="24"/>
          <w:szCs w:val="24"/>
        </w:rPr>
        <w:t>c</w:t>
      </w:r>
      <w:r w:rsidR="008A7A7E" w:rsidRPr="008A7A7E">
        <w:rPr>
          <w:rFonts w:ascii="Times New Roman" w:hAnsi="Times New Roman" w:cs="Times New Roman"/>
          <w:sz w:val="24"/>
          <w:szCs w:val="24"/>
        </w:rPr>
        <w:t>ould be included in the Taxation (Annual Rates for 2015-16, Research and Development, and Remedial Matters) Bill by way of a Supplementary Order Paper at the Committee of Whole stage of the Bill.  The Bill is currently before the Financ</w:t>
      </w:r>
      <w:r w:rsidR="008A7A7E">
        <w:rPr>
          <w:rFonts w:ascii="Times New Roman" w:hAnsi="Times New Roman" w:cs="Times New Roman"/>
          <w:sz w:val="24"/>
          <w:szCs w:val="24"/>
        </w:rPr>
        <w:t xml:space="preserve">e and Expenditure Committee and is </w:t>
      </w:r>
      <w:r w:rsidR="008A7A7E" w:rsidRPr="008A7A7E">
        <w:rPr>
          <w:rFonts w:ascii="Times New Roman" w:hAnsi="Times New Roman" w:cs="Times New Roman"/>
          <w:sz w:val="24"/>
          <w:szCs w:val="24"/>
        </w:rPr>
        <w:t xml:space="preserve">due to be reported back to the House at the end of August 2015.  </w:t>
      </w:r>
      <w:r w:rsidR="003D4D10">
        <w:rPr>
          <w:rFonts w:ascii="Times New Roman" w:hAnsi="Times New Roman" w:cs="Times New Roman"/>
          <w:sz w:val="24"/>
          <w:szCs w:val="24"/>
        </w:rPr>
        <w:t xml:space="preserve">Although this </w:t>
      </w:r>
      <w:r w:rsidR="003D4D10" w:rsidRPr="003D4D10">
        <w:rPr>
          <w:rFonts w:ascii="Times New Roman" w:hAnsi="Times New Roman" w:cs="Times New Roman"/>
          <w:sz w:val="24"/>
          <w:szCs w:val="24"/>
        </w:rPr>
        <w:t>approach will enable legislative changes to be made quickly to provide much needed certainty for potentially affected providers</w:t>
      </w:r>
      <w:r w:rsidR="003D4D10">
        <w:rPr>
          <w:rFonts w:ascii="Times New Roman" w:hAnsi="Times New Roman" w:cs="Times New Roman"/>
          <w:sz w:val="24"/>
          <w:szCs w:val="24"/>
        </w:rPr>
        <w:t xml:space="preserve">, </w:t>
      </w:r>
      <w:r w:rsidR="008A7A7E" w:rsidRPr="008A7A7E">
        <w:rPr>
          <w:rFonts w:ascii="Times New Roman" w:hAnsi="Times New Roman" w:cs="Times New Roman"/>
          <w:sz w:val="24"/>
          <w:szCs w:val="24"/>
        </w:rPr>
        <w:t xml:space="preserve">there will be no opportunity to consult </w:t>
      </w:r>
      <w:r w:rsidR="003D4D10">
        <w:rPr>
          <w:rFonts w:ascii="Times New Roman" w:hAnsi="Times New Roman" w:cs="Times New Roman"/>
          <w:sz w:val="24"/>
          <w:szCs w:val="24"/>
        </w:rPr>
        <w:t xml:space="preserve">formally </w:t>
      </w:r>
      <w:r w:rsidR="008A7A7E" w:rsidRPr="008A7A7E">
        <w:rPr>
          <w:rFonts w:ascii="Times New Roman" w:hAnsi="Times New Roman" w:cs="Times New Roman"/>
          <w:sz w:val="24"/>
          <w:szCs w:val="24"/>
        </w:rPr>
        <w:t xml:space="preserve">on the proposed </w:t>
      </w:r>
      <w:r w:rsidR="003D4D10">
        <w:rPr>
          <w:rFonts w:ascii="Times New Roman" w:hAnsi="Times New Roman" w:cs="Times New Roman"/>
          <w:sz w:val="24"/>
          <w:szCs w:val="24"/>
        </w:rPr>
        <w:t>changes</w:t>
      </w:r>
      <w:r w:rsidR="008A7A7E" w:rsidRPr="008A7A7E">
        <w:rPr>
          <w:rFonts w:ascii="Times New Roman" w:hAnsi="Times New Roman" w:cs="Times New Roman"/>
          <w:sz w:val="24"/>
          <w:szCs w:val="24"/>
        </w:rPr>
        <w:t>.</w:t>
      </w:r>
    </w:p>
    <w:p w:rsidR="00C24544" w:rsidRDefault="00C24544" w:rsidP="008A7A7E">
      <w:pPr>
        <w:spacing w:after="0" w:line="240" w:lineRule="auto"/>
        <w:jc w:val="both"/>
        <w:rPr>
          <w:rFonts w:ascii="Times New Roman" w:hAnsi="Times New Roman" w:cs="Times New Roman"/>
          <w:sz w:val="24"/>
          <w:szCs w:val="24"/>
        </w:rPr>
      </w:pPr>
    </w:p>
    <w:p w:rsidR="00EF62B4" w:rsidRDefault="00EF62B4" w:rsidP="00EF7E34">
      <w:pPr>
        <w:spacing w:after="0" w:line="240" w:lineRule="auto"/>
        <w:jc w:val="both"/>
        <w:rPr>
          <w:rFonts w:ascii="Times New Roman" w:hAnsi="Times New Roman" w:cs="Times New Roman"/>
          <w:sz w:val="24"/>
          <w:szCs w:val="24"/>
        </w:rPr>
      </w:pPr>
      <w:r w:rsidRPr="00EF62B4">
        <w:rPr>
          <w:rFonts w:ascii="Times New Roman" w:hAnsi="Times New Roman" w:cs="Times New Roman"/>
          <w:sz w:val="24"/>
          <w:szCs w:val="24"/>
        </w:rPr>
        <w:fldChar w:fldCharType="begin"/>
      </w:r>
      <w:r w:rsidRPr="00EF62B4">
        <w:rPr>
          <w:rFonts w:ascii="Times New Roman" w:hAnsi="Times New Roman" w:cs="Times New Roman"/>
          <w:sz w:val="24"/>
          <w:szCs w:val="24"/>
        </w:rPr>
        <w:instrText xml:space="preserve"> AUTONUM  </w:instrText>
      </w:r>
      <w:r w:rsidRPr="00EF62B4">
        <w:rPr>
          <w:rFonts w:ascii="Times New Roman" w:hAnsi="Times New Roman" w:cs="Times New Roman"/>
          <w:sz w:val="24"/>
          <w:szCs w:val="24"/>
        </w:rPr>
        <w:fldChar w:fldCharType="end"/>
      </w:r>
      <w:r w:rsidRPr="00EF62B4">
        <w:rPr>
          <w:rFonts w:ascii="Times New Roman" w:hAnsi="Times New Roman" w:cs="Times New Roman"/>
          <w:sz w:val="24"/>
          <w:szCs w:val="24"/>
        </w:rPr>
        <w:tab/>
      </w:r>
      <w:r>
        <w:rPr>
          <w:rFonts w:ascii="Times New Roman" w:hAnsi="Times New Roman" w:cs="Times New Roman"/>
          <w:sz w:val="24"/>
          <w:szCs w:val="24"/>
        </w:rPr>
        <w:t>Inland Revenue will communicate an</w:t>
      </w:r>
      <w:r w:rsidR="00E92DEB">
        <w:rPr>
          <w:rFonts w:ascii="Times New Roman" w:hAnsi="Times New Roman" w:cs="Times New Roman"/>
          <w:sz w:val="24"/>
          <w:szCs w:val="24"/>
        </w:rPr>
        <w:t>y legislative tax changes to CHE</w:t>
      </w:r>
      <w:r>
        <w:rPr>
          <w:rFonts w:ascii="Times New Roman" w:hAnsi="Times New Roman" w:cs="Times New Roman"/>
          <w:sz w:val="24"/>
          <w:szCs w:val="24"/>
        </w:rPr>
        <w:t xml:space="preserve">s and their advisors through its existing channels, such as the </w:t>
      </w:r>
      <w:r>
        <w:rPr>
          <w:rFonts w:ascii="Times New Roman" w:hAnsi="Times New Roman" w:cs="Times New Roman"/>
          <w:i/>
          <w:sz w:val="24"/>
          <w:szCs w:val="24"/>
        </w:rPr>
        <w:t xml:space="preserve">Tax Information Bulletin </w:t>
      </w:r>
      <w:r>
        <w:rPr>
          <w:rFonts w:ascii="Times New Roman" w:hAnsi="Times New Roman" w:cs="Times New Roman"/>
          <w:sz w:val="24"/>
          <w:szCs w:val="24"/>
        </w:rPr>
        <w:t>and by updating its guides.</w:t>
      </w:r>
    </w:p>
    <w:p w:rsidR="00EF62B4" w:rsidRDefault="00EF62B4" w:rsidP="00EF7E34">
      <w:pPr>
        <w:spacing w:after="0" w:line="240" w:lineRule="auto"/>
        <w:jc w:val="both"/>
        <w:rPr>
          <w:rFonts w:ascii="Times New Roman" w:hAnsi="Times New Roman" w:cs="Times New Roman"/>
          <w:sz w:val="24"/>
          <w:szCs w:val="24"/>
        </w:rPr>
      </w:pPr>
    </w:p>
    <w:p w:rsidR="000C3CEA" w:rsidRPr="00EF62B4" w:rsidRDefault="000C3CEA" w:rsidP="00EF7E34">
      <w:pPr>
        <w:spacing w:after="0" w:line="240" w:lineRule="auto"/>
        <w:jc w:val="both"/>
        <w:rPr>
          <w:rFonts w:ascii="Times New Roman" w:hAnsi="Times New Roman" w:cs="Times New Roman"/>
          <w:sz w:val="24"/>
          <w:szCs w:val="24"/>
        </w:rPr>
      </w:pPr>
      <w:r w:rsidRPr="000C3CEA">
        <w:rPr>
          <w:rFonts w:ascii="Times New Roman" w:hAnsi="Times New Roman" w:cs="Times New Roman"/>
          <w:sz w:val="24"/>
          <w:szCs w:val="24"/>
        </w:rPr>
        <w:fldChar w:fldCharType="begin"/>
      </w:r>
      <w:r w:rsidRPr="000C3CEA">
        <w:rPr>
          <w:rFonts w:ascii="Times New Roman" w:hAnsi="Times New Roman" w:cs="Times New Roman"/>
          <w:sz w:val="24"/>
          <w:szCs w:val="24"/>
        </w:rPr>
        <w:instrText xml:space="preserve"> AUTONUM  </w:instrText>
      </w:r>
      <w:r w:rsidRPr="000C3CEA">
        <w:rPr>
          <w:rFonts w:ascii="Times New Roman" w:hAnsi="Times New Roman" w:cs="Times New Roman"/>
          <w:sz w:val="24"/>
          <w:szCs w:val="24"/>
        </w:rPr>
        <w:fldChar w:fldCharType="end"/>
      </w:r>
      <w:r w:rsidRPr="000C3CEA">
        <w:rPr>
          <w:rFonts w:ascii="Times New Roman" w:hAnsi="Times New Roman" w:cs="Times New Roman"/>
          <w:sz w:val="24"/>
          <w:szCs w:val="24"/>
        </w:rPr>
        <w:tab/>
      </w:r>
      <w:r>
        <w:rPr>
          <w:rFonts w:ascii="Times New Roman" w:hAnsi="Times New Roman" w:cs="Times New Roman"/>
          <w:sz w:val="24"/>
          <w:szCs w:val="24"/>
        </w:rPr>
        <w:t xml:space="preserve">Inland Revenue and </w:t>
      </w:r>
      <w:r w:rsidR="00F74AE9">
        <w:rPr>
          <w:rFonts w:ascii="Times New Roman" w:hAnsi="Times New Roman" w:cs="Times New Roman"/>
          <w:sz w:val="24"/>
          <w:szCs w:val="24"/>
        </w:rPr>
        <w:t>the Ministry for Business, Innovation and Employment</w:t>
      </w:r>
      <w:r>
        <w:rPr>
          <w:rFonts w:ascii="Times New Roman" w:hAnsi="Times New Roman" w:cs="Times New Roman"/>
          <w:sz w:val="24"/>
          <w:szCs w:val="24"/>
        </w:rPr>
        <w:t xml:space="preserve"> will work together to ensure that there is guidance and information available to affected providers about the legislative changes and to help them transition to the new tax rules.</w:t>
      </w:r>
    </w:p>
    <w:p w:rsidR="00EF62B4" w:rsidRDefault="00EF62B4" w:rsidP="00EF7E34">
      <w:pPr>
        <w:spacing w:after="0" w:line="240" w:lineRule="auto"/>
        <w:jc w:val="both"/>
        <w:rPr>
          <w:rFonts w:ascii="Times New Roman" w:hAnsi="Times New Roman" w:cs="Times New Roman"/>
          <w:sz w:val="24"/>
          <w:szCs w:val="24"/>
        </w:rPr>
      </w:pPr>
    </w:p>
    <w:p w:rsidR="000C3CEA" w:rsidRDefault="000C3CEA" w:rsidP="00EF7E34">
      <w:pPr>
        <w:spacing w:after="0" w:line="240" w:lineRule="auto"/>
        <w:jc w:val="both"/>
        <w:rPr>
          <w:rFonts w:ascii="Times New Roman" w:hAnsi="Times New Roman" w:cs="Times New Roman"/>
          <w:sz w:val="24"/>
          <w:szCs w:val="24"/>
        </w:rPr>
      </w:pPr>
    </w:p>
    <w:p w:rsidR="00EF7E34" w:rsidRPr="00EF7E34" w:rsidRDefault="00EF7E34" w:rsidP="00EF7E34">
      <w:pPr>
        <w:spacing w:after="0" w:line="240" w:lineRule="auto"/>
        <w:jc w:val="both"/>
        <w:rPr>
          <w:rFonts w:ascii="Times New Roman" w:hAnsi="Times New Roman" w:cs="Times New Roman"/>
          <w:b/>
          <w:caps/>
          <w:sz w:val="24"/>
          <w:szCs w:val="24"/>
        </w:rPr>
      </w:pPr>
      <w:r w:rsidRPr="00EF7E34">
        <w:rPr>
          <w:rFonts w:ascii="Times New Roman" w:hAnsi="Times New Roman" w:cs="Times New Roman"/>
          <w:b/>
          <w:caps/>
          <w:sz w:val="24"/>
          <w:szCs w:val="24"/>
        </w:rPr>
        <w:t>Monitoring, Evaluation and Review</w:t>
      </w:r>
    </w:p>
    <w:p w:rsidR="00EF7E34" w:rsidRDefault="00EF7E34" w:rsidP="00EF7E34">
      <w:pPr>
        <w:spacing w:after="0" w:line="240" w:lineRule="auto"/>
        <w:jc w:val="both"/>
        <w:rPr>
          <w:rFonts w:ascii="Times New Roman" w:hAnsi="Times New Roman" w:cs="Times New Roman"/>
          <w:sz w:val="24"/>
          <w:szCs w:val="24"/>
        </w:rPr>
      </w:pPr>
    </w:p>
    <w:p w:rsidR="00EF7E34" w:rsidRDefault="00EF7E34" w:rsidP="00EF7E34">
      <w:pPr>
        <w:spacing w:after="0" w:line="240" w:lineRule="auto"/>
        <w:jc w:val="both"/>
        <w:rPr>
          <w:rFonts w:ascii="Times New Roman" w:hAnsi="Times New Roman" w:cs="Times New Roman"/>
          <w:sz w:val="24"/>
          <w:szCs w:val="24"/>
        </w:rPr>
      </w:pPr>
      <w:r w:rsidRPr="00EF7E34">
        <w:rPr>
          <w:rFonts w:ascii="Times New Roman" w:hAnsi="Times New Roman" w:cs="Times New Roman"/>
          <w:sz w:val="24"/>
          <w:szCs w:val="24"/>
        </w:rPr>
        <w:fldChar w:fldCharType="begin"/>
      </w:r>
      <w:r w:rsidRPr="00EF7E34">
        <w:rPr>
          <w:rFonts w:ascii="Times New Roman" w:hAnsi="Times New Roman" w:cs="Times New Roman"/>
          <w:sz w:val="24"/>
          <w:szCs w:val="24"/>
        </w:rPr>
        <w:instrText xml:space="preserve"> AUTONUM  </w:instrText>
      </w:r>
      <w:r w:rsidRPr="00EF7E34">
        <w:rPr>
          <w:rFonts w:ascii="Times New Roman" w:hAnsi="Times New Roman" w:cs="Times New Roman"/>
          <w:sz w:val="24"/>
          <w:szCs w:val="24"/>
        </w:rPr>
        <w:fldChar w:fldCharType="end"/>
      </w:r>
      <w:r w:rsidRPr="00EF7E34">
        <w:rPr>
          <w:rFonts w:ascii="Times New Roman" w:hAnsi="Times New Roman" w:cs="Times New Roman"/>
          <w:sz w:val="24"/>
          <w:szCs w:val="24"/>
        </w:rPr>
        <w:tab/>
      </w:r>
      <w:r>
        <w:rPr>
          <w:rFonts w:ascii="Times New Roman" w:hAnsi="Times New Roman" w:cs="Times New Roman"/>
          <w:sz w:val="24"/>
          <w:szCs w:val="24"/>
        </w:rPr>
        <w:t xml:space="preserve">There are no specific plans to monitor, evaluate and review the changes to the Tax Acts to give effect to the specific tax exemption or the </w:t>
      </w:r>
      <w:proofErr w:type="spellStart"/>
      <w:r>
        <w:rPr>
          <w:rFonts w:ascii="Times New Roman" w:hAnsi="Times New Roman" w:cs="Times New Roman"/>
          <w:sz w:val="24"/>
          <w:szCs w:val="24"/>
        </w:rPr>
        <w:t>donee</w:t>
      </w:r>
      <w:proofErr w:type="spellEnd"/>
      <w:r>
        <w:rPr>
          <w:rFonts w:ascii="Times New Roman" w:hAnsi="Times New Roman" w:cs="Times New Roman"/>
          <w:sz w:val="24"/>
          <w:szCs w:val="24"/>
        </w:rPr>
        <w:t xml:space="preserve"> organisation change.  If any detailed concerns are raised in relation to these changes, Inland Revenue will determine whether there are substantive grounds for review under the Generic Tax Policy Process (GTPP).</w:t>
      </w:r>
    </w:p>
    <w:p w:rsidR="006158C5" w:rsidRDefault="006158C5" w:rsidP="00EF7E34">
      <w:pPr>
        <w:spacing w:after="0" w:line="240" w:lineRule="auto"/>
        <w:jc w:val="both"/>
        <w:rPr>
          <w:rFonts w:ascii="Times New Roman" w:hAnsi="Times New Roman" w:cs="Times New Roman"/>
          <w:sz w:val="24"/>
          <w:szCs w:val="24"/>
        </w:rPr>
      </w:pPr>
    </w:p>
    <w:p w:rsidR="006158C5" w:rsidRDefault="00B800AC" w:rsidP="00EF7E34">
      <w:pPr>
        <w:spacing w:after="0" w:line="240" w:lineRule="auto"/>
        <w:jc w:val="both"/>
        <w:rPr>
          <w:rFonts w:ascii="Times New Roman" w:hAnsi="Times New Roman" w:cs="Times New Roman"/>
          <w:sz w:val="24"/>
          <w:szCs w:val="24"/>
        </w:rPr>
      </w:pPr>
      <w:r w:rsidRPr="00B800AC">
        <w:rPr>
          <w:rFonts w:ascii="Times New Roman" w:hAnsi="Times New Roman" w:cs="Times New Roman"/>
          <w:sz w:val="24"/>
          <w:szCs w:val="24"/>
        </w:rPr>
        <w:fldChar w:fldCharType="begin"/>
      </w:r>
      <w:r w:rsidRPr="00B800AC">
        <w:rPr>
          <w:rFonts w:ascii="Times New Roman" w:hAnsi="Times New Roman" w:cs="Times New Roman"/>
          <w:sz w:val="24"/>
          <w:szCs w:val="24"/>
        </w:rPr>
        <w:instrText xml:space="preserve"> AUTONUM  </w:instrText>
      </w:r>
      <w:r w:rsidRPr="00B800AC">
        <w:rPr>
          <w:rFonts w:ascii="Times New Roman" w:hAnsi="Times New Roman" w:cs="Times New Roman"/>
          <w:sz w:val="24"/>
          <w:szCs w:val="24"/>
        </w:rPr>
        <w:fldChar w:fldCharType="end"/>
      </w:r>
      <w:r w:rsidRPr="00B800AC">
        <w:rPr>
          <w:rFonts w:ascii="Times New Roman" w:hAnsi="Times New Roman" w:cs="Times New Roman"/>
          <w:sz w:val="24"/>
          <w:szCs w:val="24"/>
        </w:rPr>
        <w:tab/>
      </w:r>
      <w:r w:rsidR="006158C5">
        <w:rPr>
          <w:rFonts w:ascii="Times New Roman" w:hAnsi="Times New Roman" w:cs="Times New Roman"/>
          <w:sz w:val="24"/>
          <w:szCs w:val="24"/>
        </w:rPr>
        <w:t xml:space="preserve">Providers that are deregistered and who do not qualify for the income tax exemption and </w:t>
      </w:r>
      <w:proofErr w:type="spellStart"/>
      <w:r w:rsidR="006158C5">
        <w:rPr>
          <w:rFonts w:ascii="Times New Roman" w:hAnsi="Times New Roman" w:cs="Times New Roman"/>
          <w:sz w:val="24"/>
          <w:szCs w:val="24"/>
        </w:rPr>
        <w:t>donee</w:t>
      </w:r>
      <w:proofErr w:type="spellEnd"/>
      <w:r w:rsidR="006158C5">
        <w:rPr>
          <w:rFonts w:ascii="Times New Roman" w:hAnsi="Times New Roman" w:cs="Times New Roman"/>
          <w:sz w:val="24"/>
          <w:szCs w:val="24"/>
        </w:rPr>
        <w:t xml:space="preserve"> status for </w:t>
      </w:r>
      <w:proofErr w:type="spellStart"/>
      <w:r w:rsidR="006158C5">
        <w:rPr>
          <w:rFonts w:ascii="Times New Roman" w:hAnsi="Times New Roman" w:cs="Times New Roman"/>
          <w:sz w:val="24"/>
          <w:szCs w:val="24"/>
        </w:rPr>
        <w:t>CHEs</w:t>
      </w:r>
      <w:proofErr w:type="spellEnd"/>
      <w:r w:rsidR="006158C5">
        <w:rPr>
          <w:rFonts w:ascii="Times New Roman" w:hAnsi="Times New Roman" w:cs="Times New Roman"/>
          <w:sz w:val="24"/>
          <w:szCs w:val="24"/>
        </w:rPr>
        <w:t xml:space="preserve"> are likely to approach Ministers for some form of intervention.</w:t>
      </w:r>
    </w:p>
    <w:p w:rsidR="006158C5" w:rsidRDefault="006158C5" w:rsidP="00EF7E34">
      <w:pPr>
        <w:spacing w:after="0" w:line="240" w:lineRule="auto"/>
        <w:jc w:val="both"/>
        <w:rPr>
          <w:rFonts w:ascii="Times New Roman" w:hAnsi="Times New Roman" w:cs="Times New Roman"/>
          <w:sz w:val="24"/>
          <w:szCs w:val="24"/>
        </w:rPr>
      </w:pPr>
    </w:p>
    <w:p w:rsidR="006158C5" w:rsidRPr="00EF7E34" w:rsidRDefault="006158C5" w:rsidP="00EF7E34">
      <w:pPr>
        <w:spacing w:after="0" w:line="240" w:lineRule="auto"/>
        <w:jc w:val="both"/>
        <w:rPr>
          <w:rFonts w:ascii="Times New Roman" w:hAnsi="Times New Roman" w:cs="Times New Roman"/>
          <w:sz w:val="24"/>
          <w:szCs w:val="24"/>
        </w:rPr>
        <w:sectPr w:rsidR="006158C5" w:rsidRPr="00EF7E34" w:rsidSect="002B6D9C">
          <w:headerReference w:type="default" r:id="rId15"/>
          <w:headerReference w:type="first" r:id="rId16"/>
          <w:pgSz w:w="11906" w:h="16838" w:code="9"/>
          <w:pgMar w:top="1560" w:right="1531" w:bottom="1871" w:left="1531" w:header="720" w:footer="720" w:gutter="0"/>
          <w:cols w:space="708"/>
          <w:docGrid w:linePitch="360"/>
        </w:sectPr>
      </w:pPr>
    </w:p>
    <w:p w:rsidR="00EF7E34" w:rsidRPr="00EF7E34" w:rsidRDefault="00EF7E34" w:rsidP="00881BDA">
      <w:pPr>
        <w:spacing w:after="0" w:line="240" w:lineRule="auto"/>
        <w:jc w:val="right"/>
        <w:rPr>
          <w:rFonts w:ascii="Times New Roman" w:hAnsi="Times New Roman" w:cs="Times New Roman"/>
          <w:b/>
          <w:sz w:val="24"/>
          <w:szCs w:val="24"/>
        </w:rPr>
      </w:pPr>
      <w:r w:rsidRPr="00EF7E34">
        <w:rPr>
          <w:rFonts w:ascii="Times New Roman" w:hAnsi="Times New Roman" w:cs="Times New Roman"/>
          <w:b/>
          <w:sz w:val="24"/>
          <w:szCs w:val="24"/>
        </w:rPr>
        <w:t xml:space="preserve">Appendix </w:t>
      </w:r>
      <w:r w:rsidR="00431DCE">
        <w:rPr>
          <w:rFonts w:ascii="Times New Roman" w:hAnsi="Times New Roman" w:cs="Times New Roman"/>
          <w:b/>
          <w:sz w:val="24"/>
          <w:szCs w:val="24"/>
        </w:rPr>
        <w:t>1</w:t>
      </w:r>
    </w:p>
    <w:p w:rsidR="00EF7E34" w:rsidRPr="00EF7E34" w:rsidRDefault="00EF7E34" w:rsidP="00881BDA">
      <w:pPr>
        <w:spacing w:after="0" w:line="240" w:lineRule="auto"/>
        <w:jc w:val="right"/>
        <w:rPr>
          <w:rFonts w:ascii="Times New Roman" w:hAnsi="Times New Roman" w:cs="Times New Roman"/>
          <w:b/>
          <w:sz w:val="24"/>
          <w:szCs w:val="24"/>
        </w:rPr>
      </w:pPr>
      <w:r w:rsidRPr="00EF7E34">
        <w:rPr>
          <w:rFonts w:ascii="Times New Roman" w:hAnsi="Times New Roman" w:cs="Times New Roman"/>
          <w:b/>
          <w:sz w:val="24"/>
          <w:szCs w:val="24"/>
        </w:rPr>
        <w:t>Accommodation Supplement Information</w:t>
      </w:r>
      <w:r w:rsidR="00314CFD">
        <w:rPr>
          <w:rFonts w:ascii="Times New Roman" w:hAnsi="Times New Roman" w:cs="Times New Roman"/>
          <w:b/>
          <w:sz w:val="24"/>
          <w:szCs w:val="24"/>
        </w:rPr>
        <w:t xml:space="preserve"> (option 1)</w:t>
      </w:r>
    </w:p>
    <w:p w:rsidR="00EF7E34" w:rsidRPr="00EF7E34" w:rsidRDefault="00EF7E34" w:rsidP="00EF7E34">
      <w:pPr>
        <w:spacing w:after="0" w:line="240" w:lineRule="auto"/>
        <w:jc w:val="both"/>
        <w:rPr>
          <w:rFonts w:ascii="Times New Roman" w:hAnsi="Times New Roman" w:cs="Times New Roman"/>
          <w:sz w:val="24"/>
          <w:szCs w:val="24"/>
        </w:rPr>
      </w:pPr>
    </w:p>
    <w:p w:rsidR="00EF7E34" w:rsidRPr="00EF7E34" w:rsidRDefault="00EF7E34" w:rsidP="00EF7E34">
      <w:pPr>
        <w:spacing w:after="0" w:line="240" w:lineRule="auto"/>
        <w:jc w:val="both"/>
        <w:rPr>
          <w:rFonts w:ascii="Times New Roman" w:hAnsi="Times New Roman" w:cs="Times New Roman"/>
          <w:b/>
          <w:sz w:val="24"/>
          <w:szCs w:val="24"/>
        </w:rPr>
      </w:pPr>
      <w:r w:rsidRPr="00EF7E34">
        <w:rPr>
          <w:rFonts w:ascii="Times New Roman" w:hAnsi="Times New Roman" w:cs="Times New Roman"/>
          <w:b/>
          <w:sz w:val="24"/>
          <w:szCs w:val="24"/>
        </w:rPr>
        <w:t>Annual income thresholds</w:t>
      </w:r>
    </w:p>
    <w:tbl>
      <w:tblPr>
        <w:tblW w:w="0" w:type="auto"/>
        <w:tblCellSpacing w:w="0" w:type="dxa"/>
        <w:tblCellMar>
          <w:left w:w="0" w:type="dxa"/>
          <w:right w:w="0" w:type="dxa"/>
        </w:tblCellMar>
        <w:tblLook w:val="04A0" w:firstRow="1" w:lastRow="0" w:firstColumn="1" w:lastColumn="0" w:noHBand="0" w:noVBand="1"/>
        <w:tblDescription w:val="This table shows what accommodation supplement you can get base on your income, relationship status, children and area you are in."/>
      </w:tblPr>
      <w:tblGrid>
        <w:gridCol w:w="3455"/>
        <w:gridCol w:w="1035"/>
        <w:gridCol w:w="1035"/>
        <w:gridCol w:w="1035"/>
        <w:gridCol w:w="1035"/>
      </w:tblGrid>
      <w:tr w:rsidR="00EF7E34" w:rsidRPr="00EF7E34" w:rsidTr="00EF7E34">
        <w:trPr>
          <w:tblCellSpacing w:w="0" w:type="dxa"/>
        </w:trPr>
        <w:tc>
          <w:tcPr>
            <w:tcW w:w="0" w:type="auto"/>
            <w:tcBorders>
              <w:right w:val="single" w:sz="6" w:space="0" w:color="FFFFFF"/>
            </w:tcBorders>
            <w:shd w:val="clear" w:color="auto" w:fill="DAEEF3" w:themeFill="accent5" w:themeFillTint="33"/>
            <w:tcMar>
              <w:top w:w="60" w:type="dxa"/>
              <w:left w:w="120" w:type="dxa"/>
              <w:bottom w:w="60" w:type="dxa"/>
              <w:right w:w="120" w:type="dxa"/>
            </w:tcMar>
            <w:hideMark/>
          </w:tcPr>
          <w:p w:rsidR="00EF7E34" w:rsidRPr="00EF7E34" w:rsidRDefault="00EF7E34" w:rsidP="00EF7E34">
            <w:pPr>
              <w:spacing w:after="0" w:line="240" w:lineRule="auto"/>
              <w:jc w:val="both"/>
              <w:rPr>
                <w:rFonts w:ascii="Times New Roman" w:hAnsi="Times New Roman" w:cs="Times New Roman"/>
                <w:b/>
                <w:bCs/>
                <w:sz w:val="24"/>
                <w:szCs w:val="24"/>
              </w:rPr>
            </w:pPr>
            <w:r w:rsidRPr="00EF7E34">
              <w:rPr>
                <w:rFonts w:ascii="Times New Roman" w:hAnsi="Times New Roman" w:cs="Times New Roman"/>
                <w:b/>
                <w:bCs/>
                <w:sz w:val="24"/>
                <w:szCs w:val="24"/>
              </w:rPr>
              <w:t>Composition of household…</w:t>
            </w:r>
          </w:p>
        </w:tc>
        <w:tc>
          <w:tcPr>
            <w:tcW w:w="0" w:type="auto"/>
            <w:tcBorders>
              <w:right w:val="single" w:sz="6" w:space="0" w:color="FFFFFF"/>
            </w:tcBorders>
            <w:shd w:val="clear" w:color="auto" w:fill="DAEEF3" w:themeFill="accent5" w:themeFillTint="33"/>
            <w:tcMar>
              <w:top w:w="60" w:type="dxa"/>
              <w:left w:w="120" w:type="dxa"/>
              <w:bottom w:w="60" w:type="dxa"/>
              <w:right w:w="120" w:type="dxa"/>
            </w:tcMar>
            <w:hideMark/>
          </w:tcPr>
          <w:p w:rsidR="00EF7E34" w:rsidRPr="00EF7E34" w:rsidRDefault="00EF7E34" w:rsidP="00EF7E34">
            <w:pPr>
              <w:spacing w:after="0" w:line="240" w:lineRule="auto"/>
              <w:jc w:val="both"/>
              <w:rPr>
                <w:rFonts w:ascii="Times New Roman" w:hAnsi="Times New Roman" w:cs="Times New Roman"/>
                <w:b/>
                <w:bCs/>
                <w:sz w:val="24"/>
                <w:szCs w:val="24"/>
              </w:rPr>
            </w:pPr>
            <w:r w:rsidRPr="00EF7E34">
              <w:rPr>
                <w:rFonts w:ascii="Times New Roman" w:hAnsi="Times New Roman" w:cs="Times New Roman"/>
                <w:b/>
                <w:bCs/>
                <w:sz w:val="24"/>
                <w:szCs w:val="24"/>
              </w:rPr>
              <w:t>Area 1</w:t>
            </w:r>
          </w:p>
        </w:tc>
        <w:tc>
          <w:tcPr>
            <w:tcW w:w="0" w:type="auto"/>
            <w:tcBorders>
              <w:right w:val="single" w:sz="6" w:space="0" w:color="FFFFFF"/>
            </w:tcBorders>
            <w:shd w:val="clear" w:color="auto" w:fill="DAEEF3" w:themeFill="accent5" w:themeFillTint="33"/>
            <w:tcMar>
              <w:top w:w="60" w:type="dxa"/>
              <w:left w:w="120" w:type="dxa"/>
              <w:bottom w:w="60" w:type="dxa"/>
              <w:right w:w="120" w:type="dxa"/>
            </w:tcMar>
            <w:hideMark/>
          </w:tcPr>
          <w:p w:rsidR="00EF7E34" w:rsidRPr="00EF7E34" w:rsidRDefault="00EF7E34" w:rsidP="00EF7E34">
            <w:pPr>
              <w:spacing w:after="0" w:line="240" w:lineRule="auto"/>
              <w:jc w:val="both"/>
              <w:rPr>
                <w:rFonts w:ascii="Times New Roman" w:hAnsi="Times New Roman" w:cs="Times New Roman"/>
                <w:b/>
                <w:bCs/>
                <w:sz w:val="24"/>
                <w:szCs w:val="24"/>
              </w:rPr>
            </w:pPr>
            <w:r w:rsidRPr="00EF7E34">
              <w:rPr>
                <w:rFonts w:ascii="Times New Roman" w:hAnsi="Times New Roman" w:cs="Times New Roman"/>
                <w:b/>
                <w:bCs/>
                <w:sz w:val="24"/>
                <w:szCs w:val="24"/>
              </w:rPr>
              <w:t>Area 2</w:t>
            </w:r>
          </w:p>
        </w:tc>
        <w:tc>
          <w:tcPr>
            <w:tcW w:w="0" w:type="auto"/>
            <w:tcBorders>
              <w:right w:val="single" w:sz="6" w:space="0" w:color="FFFFFF"/>
            </w:tcBorders>
            <w:shd w:val="clear" w:color="auto" w:fill="DAEEF3" w:themeFill="accent5" w:themeFillTint="33"/>
            <w:tcMar>
              <w:top w:w="60" w:type="dxa"/>
              <w:left w:w="120" w:type="dxa"/>
              <w:bottom w:w="60" w:type="dxa"/>
              <w:right w:w="120" w:type="dxa"/>
            </w:tcMar>
            <w:hideMark/>
          </w:tcPr>
          <w:p w:rsidR="00EF7E34" w:rsidRPr="00EF7E34" w:rsidRDefault="00EF7E34" w:rsidP="00EF7E34">
            <w:pPr>
              <w:spacing w:after="0" w:line="240" w:lineRule="auto"/>
              <w:jc w:val="both"/>
              <w:rPr>
                <w:rFonts w:ascii="Times New Roman" w:hAnsi="Times New Roman" w:cs="Times New Roman"/>
                <w:b/>
                <w:bCs/>
                <w:sz w:val="24"/>
                <w:szCs w:val="24"/>
              </w:rPr>
            </w:pPr>
            <w:r w:rsidRPr="00EF7E34">
              <w:rPr>
                <w:rFonts w:ascii="Times New Roman" w:hAnsi="Times New Roman" w:cs="Times New Roman"/>
                <w:b/>
                <w:bCs/>
                <w:sz w:val="24"/>
                <w:szCs w:val="24"/>
              </w:rPr>
              <w:t>Area 3</w:t>
            </w:r>
          </w:p>
        </w:tc>
        <w:tc>
          <w:tcPr>
            <w:tcW w:w="0" w:type="auto"/>
            <w:tcBorders>
              <w:right w:val="single" w:sz="6" w:space="0" w:color="FFFFFF"/>
            </w:tcBorders>
            <w:shd w:val="clear" w:color="auto" w:fill="DAEEF3" w:themeFill="accent5" w:themeFillTint="33"/>
            <w:tcMar>
              <w:top w:w="60" w:type="dxa"/>
              <w:left w:w="120" w:type="dxa"/>
              <w:bottom w:w="60" w:type="dxa"/>
              <w:right w:w="120" w:type="dxa"/>
            </w:tcMar>
            <w:hideMark/>
          </w:tcPr>
          <w:p w:rsidR="00EF7E34" w:rsidRPr="00EF7E34" w:rsidRDefault="00EF7E34" w:rsidP="00EF7E34">
            <w:pPr>
              <w:spacing w:after="0" w:line="240" w:lineRule="auto"/>
              <w:jc w:val="both"/>
              <w:rPr>
                <w:rFonts w:ascii="Times New Roman" w:hAnsi="Times New Roman" w:cs="Times New Roman"/>
                <w:b/>
                <w:bCs/>
                <w:sz w:val="24"/>
                <w:szCs w:val="24"/>
              </w:rPr>
            </w:pPr>
            <w:r w:rsidRPr="00EF7E34">
              <w:rPr>
                <w:rFonts w:ascii="Times New Roman" w:hAnsi="Times New Roman" w:cs="Times New Roman"/>
                <w:b/>
                <w:bCs/>
                <w:sz w:val="24"/>
                <w:szCs w:val="24"/>
              </w:rPr>
              <w:t>Area 4</w:t>
            </w:r>
          </w:p>
        </w:tc>
      </w:tr>
      <w:tr w:rsidR="00EF7E34" w:rsidRPr="00EF7E34" w:rsidTr="00EF7E34">
        <w:trPr>
          <w:tblCellSpacing w:w="0" w:type="dxa"/>
        </w:trPr>
        <w:tc>
          <w:tcPr>
            <w:tcW w:w="0" w:type="auto"/>
            <w:tcBorders>
              <w:right w:val="single" w:sz="6" w:space="0" w:color="FFFFFF"/>
            </w:tcBorders>
            <w:shd w:val="clear" w:color="auto" w:fill="DAEEF3" w:themeFill="accent5" w:themeFillTint="33"/>
            <w:tcMar>
              <w:top w:w="60" w:type="dxa"/>
              <w:left w:w="120" w:type="dxa"/>
              <w:bottom w:w="60" w:type="dxa"/>
              <w:right w:w="120" w:type="dxa"/>
            </w:tcMar>
            <w:vAlign w:val="center"/>
            <w:hideMark/>
          </w:tcPr>
          <w:p w:rsidR="00EF7E34" w:rsidRPr="00EF7E34" w:rsidRDefault="00EF7E34" w:rsidP="00EF7E34">
            <w:pPr>
              <w:spacing w:after="0" w:line="240" w:lineRule="auto"/>
              <w:jc w:val="both"/>
              <w:rPr>
                <w:rFonts w:ascii="Times New Roman" w:hAnsi="Times New Roman" w:cs="Times New Roman"/>
                <w:sz w:val="24"/>
                <w:szCs w:val="24"/>
              </w:rPr>
            </w:pPr>
            <w:r w:rsidRPr="00EF7E34">
              <w:rPr>
                <w:rFonts w:ascii="Times New Roman" w:hAnsi="Times New Roman" w:cs="Times New Roman"/>
                <w:sz w:val="24"/>
                <w:szCs w:val="24"/>
              </w:rPr>
              <w:t>Single with no children</w:t>
            </w:r>
          </w:p>
        </w:tc>
        <w:tc>
          <w:tcPr>
            <w:tcW w:w="0" w:type="auto"/>
            <w:tcBorders>
              <w:right w:val="single" w:sz="6" w:space="0" w:color="FFFFFF"/>
            </w:tcBorders>
            <w:shd w:val="clear" w:color="auto" w:fill="DAEEF3" w:themeFill="accent5" w:themeFillTint="33"/>
            <w:tcMar>
              <w:top w:w="60" w:type="dxa"/>
              <w:left w:w="120" w:type="dxa"/>
              <w:bottom w:w="60" w:type="dxa"/>
              <w:right w:w="120" w:type="dxa"/>
            </w:tcMar>
            <w:vAlign w:val="center"/>
            <w:hideMark/>
          </w:tcPr>
          <w:p w:rsidR="00EF7E34" w:rsidRPr="00EF7E34" w:rsidRDefault="00EF7E34" w:rsidP="00EF7E34">
            <w:pPr>
              <w:spacing w:after="0" w:line="240" w:lineRule="auto"/>
              <w:jc w:val="both"/>
              <w:rPr>
                <w:rFonts w:ascii="Times New Roman" w:hAnsi="Times New Roman" w:cs="Times New Roman"/>
                <w:sz w:val="24"/>
                <w:szCs w:val="24"/>
              </w:rPr>
            </w:pPr>
            <w:r w:rsidRPr="00EF7E34">
              <w:rPr>
                <w:rFonts w:ascii="Times New Roman" w:hAnsi="Times New Roman" w:cs="Times New Roman"/>
                <w:sz w:val="24"/>
                <w:szCs w:val="24"/>
              </w:rPr>
              <w:t>$49,972</w:t>
            </w:r>
          </w:p>
        </w:tc>
        <w:tc>
          <w:tcPr>
            <w:tcW w:w="0" w:type="auto"/>
            <w:tcBorders>
              <w:right w:val="single" w:sz="6" w:space="0" w:color="FFFFFF"/>
            </w:tcBorders>
            <w:shd w:val="clear" w:color="auto" w:fill="DAEEF3" w:themeFill="accent5" w:themeFillTint="33"/>
            <w:tcMar>
              <w:top w:w="60" w:type="dxa"/>
              <w:left w:w="120" w:type="dxa"/>
              <w:bottom w:w="60" w:type="dxa"/>
              <w:right w:w="120" w:type="dxa"/>
            </w:tcMar>
            <w:vAlign w:val="center"/>
            <w:hideMark/>
          </w:tcPr>
          <w:p w:rsidR="00EF7E34" w:rsidRPr="00EF7E34" w:rsidRDefault="00EF7E34" w:rsidP="00EF7E34">
            <w:pPr>
              <w:spacing w:after="0" w:line="240" w:lineRule="auto"/>
              <w:jc w:val="both"/>
              <w:rPr>
                <w:rFonts w:ascii="Times New Roman" w:hAnsi="Times New Roman" w:cs="Times New Roman"/>
                <w:sz w:val="24"/>
                <w:szCs w:val="24"/>
              </w:rPr>
            </w:pPr>
            <w:r w:rsidRPr="00EF7E34">
              <w:rPr>
                <w:rFonts w:ascii="Times New Roman" w:hAnsi="Times New Roman" w:cs="Times New Roman"/>
                <w:sz w:val="24"/>
                <w:szCs w:val="24"/>
              </w:rPr>
              <w:t>$40,612</w:t>
            </w:r>
          </w:p>
        </w:tc>
        <w:tc>
          <w:tcPr>
            <w:tcW w:w="0" w:type="auto"/>
            <w:tcBorders>
              <w:right w:val="single" w:sz="6" w:space="0" w:color="FFFFFF"/>
            </w:tcBorders>
            <w:shd w:val="clear" w:color="auto" w:fill="DAEEF3" w:themeFill="accent5" w:themeFillTint="33"/>
            <w:tcMar>
              <w:top w:w="60" w:type="dxa"/>
              <w:left w:w="120" w:type="dxa"/>
              <w:bottom w:w="60" w:type="dxa"/>
              <w:right w:w="120" w:type="dxa"/>
            </w:tcMar>
            <w:vAlign w:val="center"/>
            <w:hideMark/>
          </w:tcPr>
          <w:p w:rsidR="00EF7E34" w:rsidRPr="00EF7E34" w:rsidRDefault="00EF7E34" w:rsidP="00EF7E34">
            <w:pPr>
              <w:spacing w:after="0" w:line="240" w:lineRule="auto"/>
              <w:jc w:val="both"/>
              <w:rPr>
                <w:rFonts w:ascii="Times New Roman" w:hAnsi="Times New Roman" w:cs="Times New Roman"/>
                <w:sz w:val="24"/>
                <w:szCs w:val="24"/>
              </w:rPr>
            </w:pPr>
            <w:r w:rsidRPr="00EF7E34">
              <w:rPr>
                <w:rFonts w:ascii="Times New Roman" w:hAnsi="Times New Roman" w:cs="Times New Roman"/>
                <w:sz w:val="24"/>
                <w:szCs w:val="24"/>
              </w:rPr>
              <w:t>$33,332</w:t>
            </w:r>
          </w:p>
        </w:tc>
        <w:tc>
          <w:tcPr>
            <w:tcW w:w="0" w:type="auto"/>
            <w:tcBorders>
              <w:right w:val="single" w:sz="6" w:space="0" w:color="FFFFFF"/>
            </w:tcBorders>
            <w:shd w:val="clear" w:color="auto" w:fill="DAEEF3" w:themeFill="accent5" w:themeFillTint="33"/>
            <w:tcMar>
              <w:top w:w="60" w:type="dxa"/>
              <w:left w:w="120" w:type="dxa"/>
              <w:bottom w:w="60" w:type="dxa"/>
              <w:right w:w="120" w:type="dxa"/>
            </w:tcMar>
            <w:vAlign w:val="center"/>
            <w:hideMark/>
          </w:tcPr>
          <w:p w:rsidR="00EF7E34" w:rsidRPr="00EF7E34" w:rsidRDefault="00EF7E34" w:rsidP="00EF7E34">
            <w:pPr>
              <w:spacing w:after="0" w:line="240" w:lineRule="auto"/>
              <w:jc w:val="both"/>
              <w:rPr>
                <w:rFonts w:ascii="Times New Roman" w:hAnsi="Times New Roman" w:cs="Times New Roman"/>
                <w:sz w:val="24"/>
                <w:szCs w:val="24"/>
              </w:rPr>
            </w:pPr>
            <w:r w:rsidRPr="00EF7E34">
              <w:rPr>
                <w:rFonts w:ascii="Times New Roman" w:hAnsi="Times New Roman" w:cs="Times New Roman"/>
                <w:sz w:val="24"/>
                <w:szCs w:val="24"/>
              </w:rPr>
              <w:t>$29,172</w:t>
            </w:r>
          </w:p>
        </w:tc>
      </w:tr>
      <w:tr w:rsidR="00EF7E34" w:rsidRPr="00EF7E34" w:rsidTr="00EF7E34">
        <w:trPr>
          <w:tblCellSpacing w:w="0" w:type="dxa"/>
        </w:trPr>
        <w:tc>
          <w:tcPr>
            <w:tcW w:w="0" w:type="auto"/>
            <w:tcBorders>
              <w:right w:val="single" w:sz="6" w:space="0" w:color="FFFFFF"/>
            </w:tcBorders>
            <w:shd w:val="clear" w:color="auto" w:fill="DAEEF3" w:themeFill="accent5" w:themeFillTint="33"/>
            <w:tcMar>
              <w:top w:w="60" w:type="dxa"/>
              <w:left w:w="120" w:type="dxa"/>
              <w:bottom w:w="60" w:type="dxa"/>
              <w:right w:w="120" w:type="dxa"/>
            </w:tcMar>
            <w:vAlign w:val="center"/>
            <w:hideMark/>
          </w:tcPr>
          <w:p w:rsidR="00EF7E34" w:rsidRPr="00EF7E34" w:rsidRDefault="00EF7E34" w:rsidP="00EF7E34">
            <w:pPr>
              <w:spacing w:after="0" w:line="240" w:lineRule="auto"/>
              <w:jc w:val="both"/>
              <w:rPr>
                <w:rFonts w:ascii="Times New Roman" w:hAnsi="Times New Roman" w:cs="Times New Roman"/>
                <w:sz w:val="24"/>
                <w:szCs w:val="24"/>
              </w:rPr>
            </w:pPr>
            <w:r w:rsidRPr="00EF7E34">
              <w:rPr>
                <w:rFonts w:ascii="Times New Roman" w:hAnsi="Times New Roman" w:cs="Times New Roman"/>
                <w:sz w:val="24"/>
                <w:szCs w:val="24"/>
              </w:rPr>
              <w:t>A couple with no children</w:t>
            </w:r>
          </w:p>
        </w:tc>
        <w:tc>
          <w:tcPr>
            <w:tcW w:w="0" w:type="auto"/>
            <w:tcBorders>
              <w:right w:val="single" w:sz="6" w:space="0" w:color="FFFFFF"/>
            </w:tcBorders>
            <w:shd w:val="clear" w:color="auto" w:fill="DAEEF3" w:themeFill="accent5" w:themeFillTint="33"/>
            <w:tcMar>
              <w:top w:w="60" w:type="dxa"/>
              <w:left w:w="120" w:type="dxa"/>
              <w:bottom w:w="60" w:type="dxa"/>
              <w:right w:w="120" w:type="dxa"/>
            </w:tcMar>
            <w:vAlign w:val="center"/>
            <w:hideMark/>
          </w:tcPr>
          <w:p w:rsidR="00EF7E34" w:rsidRPr="00EF7E34" w:rsidRDefault="00EF7E34" w:rsidP="00EF7E34">
            <w:pPr>
              <w:spacing w:after="0" w:line="240" w:lineRule="auto"/>
              <w:jc w:val="both"/>
              <w:rPr>
                <w:rFonts w:ascii="Times New Roman" w:hAnsi="Times New Roman" w:cs="Times New Roman"/>
                <w:sz w:val="24"/>
                <w:szCs w:val="24"/>
              </w:rPr>
            </w:pPr>
            <w:r w:rsidRPr="00EF7E34">
              <w:rPr>
                <w:rFonts w:ascii="Times New Roman" w:hAnsi="Times New Roman" w:cs="Times New Roman"/>
                <w:sz w:val="24"/>
                <w:szCs w:val="24"/>
              </w:rPr>
              <w:t>$63,492</w:t>
            </w:r>
          </w:p>
        </w:tc>
        <w:tc>
          <w:tcPr>
            <w:tcW w:w="0" w:type="auto"/>
            <w:tcBorders>
              <w:right w:val="single" w:sz="6" w:space="0" w:color="FFFFFF"/>
            </w:tcBorders>
            <w:shd w:val="clear" w:color="auto" w:fill="DAEEF3" w:themeFill="accent5" w:themeFillTint="33"/>
            <w:tcMar>
              <w:top w:w="60" w:type="dxa"/>
              <w:left w:w="120" w:type="dxa"/>
              <w:bottom w:w="60" w:type="dxa"/>
              <w:right w:w="120" w:type="dxa"/>
            </w:tcMar>
            <w:vAlign w:val="center"/>
            <w:hideMark/>
          </w:tcPr>
          <w:p w:rsidR="00EF7E34" w:rsidRPr="00EF7E34" w:rsidRDefault="00EF7E34" w:rsidP="00EF7E34">
            <w:pPr>
              <w:spacing w:after="0" w:line="240" w:lineRule="auto"/>
              <w:jc w:val="both"/>
              <w:rPr>
                <w:rFonts w:ascii="Times New Roman" w:hAnsi="Times New Roman" w:cs="Times New Roman"/>
                <w:sz w:val="24"/>
                <w:szCs w:val="24"/>
              </w:rPr>
            </w:pPr>
            <w:r w:rsidRPr="00EF7E34">
              <w:rPr>
                <w:rFonts w:ascii="Times New Roman" w:hAnsi="Times New Roman" w:cs="Times New Roman"/>
                <w:sz w:val="24"/>
                <w:szCs w:val="24"/>
              </w:rPr>
              <w:t>$56,212</w:t>
            </w:r>
          </w:p>
        </w:tc>
        <w:tc>
          <w:tcPr>
            <w:tcW w:w="0" w:type="auto"/>
            <w:tcBorders>
              <w:right w:val="single" w:sz="6" w:space="0" w:color="FFFFFF"/>
            </w:tcBorders>
            <w:shd w:val="clear" w:color="auto" w:fill="DAEEF3" w:themeFill="accent5" w:themeFillTint="33"/>
            <w:tcMar>
              <w:top w:w="60" w:type="dxa"/>
              <w:left w:w="120" w:type="dxa"/>
              <w:bottom w:w="60" w:type="dxa"/>
              <w:right w:w="120" w:type="dxa"/>
            </w:tcMar>
            <w:vAlign w:val="center"/>
            <w:hideMark/>
          </w:tcPr>
          <w:p w:rsidR="00EF7E34" w:rsidRPr="00EF7E34" w:rsidRDefault="00EF7E34" w:rsidP="00EF7E34">
            <w:pPr>
              <w:spacing w:after="0" w:line="240" w:lineRule="auto"/>
              <w:jc w:val="both"/>
              <w:rPr>
                <w:rFonts w:ascii="Times New Roman" w:hAnsi="Times New Roman" w:cs="Times New Roman"/>
                <w:sz w:val="24"/>
                <w:szCs w:val="24"/>
              </w:rPr>
            </w:pPr>
            <w:r w:rsidRPr="00EF7E34">
              <w:rPr>
                <w:rFonts w:ascii="Times New Roman" w:hAnsi="Times New Roman" w:cs="Times New Roman"/>
                <w:sz w:val="24"/>
                <w:szCs w:val="24"/>
              </w:rPr>
              <w:t>$45,812</w:t>
            </w:r>
          </w:p>
        </w:tc>
        <w:tc>
          <w:tcPr>
            <w:tcW w:w="0" w:type="auto"/>
            <w:tcBorders>
              <w:right w:val="single" w:sz="6" w:space="0" w:color="FFFFFF"/>
            </w:tcBorders>
            <w:shd w:val="clear" w:color="auto" w:fill="DAEEF3" w:themeFill="accent5" w:themeFillTint="33"/>
            <w:tcMar>
              <w:top w:w="60" w:type="dxa"/>
              <w:left w:w="120" w:type="dxa"/>
              <w:bottom w:w="60" w:type="dxa"/>
              <w:right w:w="120" w:type="dxa"/>
            </w:tcMar>
            <w:vAlign w:val="center"/>
            <w:hideMark/>
          </w:tcPr>
          <w:p w:rsidR="00EF7E34" w:rsidRPr="00EF7E34" w:rsidRDefault="00EF7E34" w:rsidP="00EF7E34">
            <w:pPr>
              <w:spacing w:after="0" w:line="240" w:lineRule="auto"/>
              <w:jc w:val="both"/>
              <w:rPr>
                <w:rFonts w:ascii="Times New Roman" w:hAnsi="Times New Roman" w:cs="Times New Roman"/>
                <w:sz w:val="24"/>
                <w:szCs w:val="24"/>
              </w:rPr>
            </w:pPr>
            <w:r w:rsidRPr="00EF7E34">
              <w:rPr>
                <w:rFonts w:ascii="Times New Roman" w:hAnsi="Times New Roman" w:cs="Times New Roman"/>
                <w:sz w:val="24"/>
                <w:szCs w:val="24"/>
              </w:rPr>
              <w:t>$41,652</w:t>
            </w:r>
          </w:p>
        </w:tc>
      </w:tr>
      <w:tr w:rsidR="00EF7E34" w:rsidRPr="00EF7E34" w:rsidTr="00EF7E34">
        <w:trPr>
          <w:tblCellSpacing w:w="0" w:type="dxa"/>
        </w:trPr>
        <w:tc>
          <w:tcPr>
            <w:tcW w:w="0" w:type="auto"/>
            <w:tcBorders>
              <w:right w:val="single" w:sz="6" w:space="0" w:color="FFFFFF"/>
            </w:tcBorders>
            <w:shd w:val="clear" w:color="auto" w:fill="DAEEF3" w:themeFill="accent5" w:themeFillTint="33"/>
            <w:tcMar>
              <w:top w:w="60" w:type="dxa"/>
              <w:left w:w="120" w:type="dxa"/>
              <w:bottom w:w="60" w:type="dxa"/>
              <w:right w:w="120" w:type="dxa"/>
            </w:tcMar>
            <w:vAlign w:val="center"/>
            <w:hideMark/>
          </w:tcPr>
          <w:p w:rsidR="00EF7E34" w:rsidRPr="00EF7E34" w:rsidRDefault="00EF7E34" w:rsidP="00EF7E34">
            <w:pPr>
              <w:spacing w:after="0" w:line="240" w:lineRule="auto"/>
              <w:jc w:val="both"/>
              <w:rPr>
                <w:rFonts w:ascii="Times New Roman" w:hAnsi="Times New Roman" w:cs="Times New Roman"/>
                <w:sz w:val="24"/>
                <w:szCs w:val="24"/>
              </w:rPr>
            </w:pPr>
            <w:r w:rsidRPr="00EF7E34">
              <w:rPr>
                <w:rFonts w:ascii="Times New Roman" w:hAnsi="Times New Roman" w:cs="Times New Roman"/>
                <w:sz w:val="24"/>
                <w:szCs w:val="24"/>
              </w:rPr>
              <w:t>Sole parent with 1 child</w:t>
            </w:r>
          </w:p>
        </w:tc>
        <w:tc>
          <w:tcPr>
            <w:tcW w:w="0" w:type="auto"/>
            <w:tcBorders>
              <w:right w:val="single" w:sz="6" w:space="0" w:color="FFFFFF"/>
            </w:tcBorders>
            <w:shd w:val="clear" w:color="auto" w:fill="DAEEF3" w:themeFill="accent5" w:themeFillTint="33"/>
            <w:tcMar>
              <w:top w:w="60" w:type="dxa"/>
              <w:left w:w="120" w:type="dxa"/>
              <w:bottom w:w="60" w:type="dxa"/>
              <w:right w:w="120" w:type="dxa"/>
            </w:tcMar>
            <w:vAlign w:val="center"/>
            <w:hideMark/>
          </w:tcPr>
          <w:p w:rsidR="00EF7E34" w:rsidRPr="00EF7E34" w:rsidRDefault="00EF7E34" w:rsidP="00EF7E34">
            <w:pPr>
              <w:spacing w:after="0" w:line="240" w:lineRule="auto"/>
              <w:jc w:val="both"/>
              <w:rPr>
                <w:rFonts w:ascii="Times New Roman" w:hAnsi="Times New Roman" w:cs="Times New Roman"/>
                <w:sz w:val="24"/>
                <w:szCs w:val="24"/>
              </w:rPr>
            </w:pPr>
            <w:r w:rsidRPr="00EF7E34">
              <w:rPr>
                <w:rFonts w:ascii="Times New Roman" w:hAnsi="Times New Roman" w:cs="Times New Roman"/>
                <w:sz w:val="24"/>
                <w:szCs w:val="24"/>
              </w:rPr>
              <w:t>$59,800</w:t>
            </w:r>
          </w:p>
        </w:tc>
        <w:tc>
          <w:tcPr>
            <w:tcW w:w="0" w:type="auto"/>
            <w:tcBorders>
              <w:right w:val="single" w:sz="6" w:space="0" w:color="FFFFFF"/>
            </w:tcBorders>
            <w:shd w:val="clear" w:color="auto" w:fill="DAEEF3" w:themeFill="accent5" w:themeFillTint="33"/>
            <w:tcMar>
              <w:top w:w="60" w:type="dxa"/>
              <w:left w:w="120" w:type="dxa"/>
              <w:bottom w:w="60" w:type="dxa"/>
              <w:right w:w="120" w:type="dxa"/>
            </w:tcMar>
            <w:vAlign w:val="center"/>
            <w:hideMark/>
          </w:tcPr>
          <w:p w:rsidR="00EF7E34" w:rsidRPr="00EF7E34" w:rsidRDefault="00EF7E34" w:rsidP="00EF7E34">
            <w:pPr>
              <w:spacing w:after="0" w:line="240" w:lineRule="auto"/>
              <w:jc w:val="both"/>
              <w:rPr>
                <w:rFonts w:ascii="Times New Roman" w:hAnsi="Times New Roman" w:cs="Times New Roman"/>
                <w:sz w:val="24"/>
                <w:szCs w:val="24"/>
              </w:rPr>
            </w:pPr>
            <w:r w:rsidRPr="00EF7E34">
              <w:rPr>
                <w:rFonts w:ascii="Times New Roman" w:hAnsi="Times New Roman" w:cs="Times New Roman"/>
                <w:sz w:val="24"/>
                <w:szCs w:val="24"/>
              </w:rPr>
              <w:t>$52,520</w:t>
            </w:r>
          </w:p>
        </w:tc>
        <w:tc>
          <w:tcPr>
            <w:tcW w:w="0" w:type="auto"/>
            <w:tcBorders>
              <w:right w:val="single" w:sz="6" w:space="0" w:color="FFFFFF"/>
            </w:tcBorders>
            <w:shd w:val="clear" w:color="auto" w:fill="DAEEF3" w:themeFill="accent5" w:themeFillTint="33"/>
            <w:tcMar>
              <w:top w:w="60" w:type="dxa"/>
              <w:left w:w="120" w:type="dxa"/>
              <w:bottom w:w="60" w:type="dxa"/>
              <w:right w:w="120" w:type="dxa"/>
            </w:tcMar>
            <w:vAlign w:val="center"/>
            <w:hideMark/>
          </w:tcPr>
          <w:p w:rsidR="00EF7E34" w:rsidRPr="00EF7E34" w:rsidRDefault="00EF7E34" w:rsidP="00EF7E34">
            <w:pPr>
              <w:spacing w:after="0" w:line="240" w:lineRule="auto"/>
              <w:jc w:val="both"/>
              <w:rPr>
                <w:rFonts w:ascii="Times New Roman" w:hAnsi="Times New Roman" w:cs="Times New Roman"/>
                <w:sz w:val="24"/>
                <w:szCs w:val="24"/>
              </w:rPr>
            </w:pPr>
            <w:r w:rsidRPr="00EF7E34">
              <w:rPr>
                <w:rFonts w:ascii="Times New Roman" w:hAnsi="Times New Roman" w:cs="Times New Roman"/>
                <w:sz w:val="24"/>
                <w:szCs w:val="24"/>
              </w:rPr>
              <w:t>$42,120</w:t>
            </w:r>
          </w:p>
        </w:tc>
        <w:tc>
          <w:tcPr>
            <w:tcW w:w="0" w:type="auto"/>
            <w:tcBorders>
              <w:right w:val="single" w:sz="6" w:space="0" w:color="FFFFFF"/>
            </w:tcBorders>
            <w:shd w:val="clear" w:color="auto" w:fill="DAEEF3" w:themeFill="accent5" w:themeFillTint="33"/>
            <w:tcMar>
              <w:top w:w="60" w:type="dxa"/>
              <w:left w:w="120" w:type="dxa"/>
              <w:bottom w:w="60" w:type="dxa"/>
              <w:right w:w="120" w:type="dxa"/>
            </w:tcMar>
            <w:vAlign w:val="center"/>
            <w:hideMark/>
          </w:tcPr>
          <w:p w:rsidR="00EF7E34" w:rsidRPr="00EF7E34" w:rsidRDefault="00EF7E34" w:rsidP="00EF7E34">
            <w:pPr>
              <w:spacing w:after="0" w:line="240" w:lineRule="auto"/>
              <w:jc w:val="both"/>
              <w:rPr>
                <w:rFonts w:ascii="Times New Roman" w:hAnsi="Times New Roman" w:cs="Times New Roman"/>
                <w:sz w:val="24"/>
                <w:szCs w:val="24"/>
              </w:rPr>
            </w:pPr>
            <w:r w:rsidRPr="00EF7E34">
              <w:rPr>
                <w:rFonts w:ascii="Times New Roman" w:hAnsi="Times New Roman" w:cs="Times New Roman"/>
                <w:sz w:val="24"/>
                <w:szCs w:val="24"/>
              </w:rPr>
              <w:t>$37,960</w:t>
            </w:r>
          </w:p>
        </w:tc>
      </w:tr>
      <w:tr w:rsidR="00EF7E34" w:rsidRPr="00EF7E34" w:rsidTr="00EF7E34">
        <w:trPr>
          <w:tblCellSpacing w:w="0" w:type="dxa"/>
        </w:trPr>
        <w:tc>
          <w:tcPr>
            <w:tcW w:w="0" w:type="auto"/>
            <w:tcBorders>
              <w:right w:val="single" w:sz="6" w:space="0" w:color="FFFFFF"/>
            </w:tcBorders>
            <w:shd w:val="clear" w:color="auto" w:fill="DAEEF3" w:themeFill="accent5" w:themeFillTint="33"/>
            <w:tcMar>
              <w:top w:w="60" w:type="dxa"/>
              <w:left w:w="120" w:type="dxa"/>
              <w:bottom w:w="60" w:type="dxa"/>
              <w:right w:w="120" w:type="dxa"/>
            </w:tcMar>
            <w:vAlign w:val="center"/>
            <w:hideMark/>
          </w:tcPr>
          <w:p w:rsidR="00EF7E34" w:rsidRPr="00EF7E34" w:rsidRDefault="00EF7E34" w:rsidP="00EF7E34">
            <w:pPr>
              <w:spacing w:after="0" w:line="240" w:lineRule="auto"/>
              <w:jc w:val="both"/>
              <w:rPr>
                <w:rFonts w:ascii="Times New Roman" w:hAnsi="Times New Roman" w:cs="Times New Roman"/>
                <w:sz w:val="24"/>
                <w:szCs w:val="24"/>
              </w:rPr>
            </w:pPr>
            <w:r w:rsidRPr="00EF7E34">
              <w:rPr>
                <w:rFonts w:ascii="Times New Roman" w:hAnsi="Times New Roman" w:cs="Times New Roman"/>
                <w:sz w:val="24"/>
                <w:szCs w:val="24"/>
              </w:rPr>
              <w:t>Sole parent with 2 children</w:t>
            </w:r>
          </w:p>
        </w:tc>
        <w:tc>
          <w:tcPr>
            <w:tcW w:w="0" w:type="auto"/>
            <w:tcBorders>
              <w:right w:val="single" w:sz="6" w:space="0" w:color="FFFFFF"/>
            </w:tcBorders>
            <w:shd w:val="clear" w:color="auto" w:fill="DAEEF3" w:themeFill="accent5" w:themeFillTint="33"/>
            <w:tcMar>
              <w:top w:w="60" w:type="dxa"/>
              <w:left w:w="120" w:type="dxa"/>
              <w:bottom w:w="60" w:type="dxa"/>
              <w:right w:w="120" w:type="dxa"/>
            </w:tcMar>
            <w:vAlign w:val="center"/>
            <w:hideMark/>
          </w:tcPr>
          <w:p w:rsidR="00EF7E34" w:rsidRPr="00EF7E34" w:rsidRDefault="00EF7E34" w:rsidP="00EF7E34">
            <w:pPr>
              <w:spacing w:after="0" w:line="240" w:lineRule="auto"/>
              <w:jc w:val="both"/>
              <w:rPr>
                <w:rFonts w:ascii="Times New Roman" w:hAnsi="Times New Roman" w:cs="Times New Roman"/>
                <w:sz w:val="24"/>
                <w:szCs w:val="24"/>
              </w:rPr>
            </w:pPr>
            <w:r w:rsidRPr="00EF7E34">
              <w:rPr>
                <w:rFonts w:ascii="Times New Roman" w:hAnsi="Times New Roman" w:cs="Times New Roman"/>
                <w:sz w:val="24"/>
                <w:szCs w:val="24"/>
              </w:rPr>
              <w:t>$73,320</w:t>
            </w:r>
          </w:p>
        </w:tc>
        <w:tc>
          <w:tcPr>
            <w:tcW w:w="0" w:type="auto"/>
            <w:tcBorders>
              <w:right w:val="single" w:sz="6" w:space="0" w:color="FFFFFF"/>
            </w:tcBorders>
            <w:shd w:val="clear" w:color="auto" w:fill="DAEEF3" w:themeFill="accent5" w:themeFillTint="33"/>
            <w:tcMar>
              <w:top w:w="60" w:type="dxa"/>
              <w:left w:w="120" w:type="dxa"/>
              <w:bottom w:w="60" w:type="dxa"/>
              <w:right w:w="120" w:type="dxa"/>
            </w:tcMar>
            <w:vAlign w:val="center"/>
            <w:hideMark/>
          </w:tcPr>
          <w:p w:rsidR="00EF7E34" w:rsidRPr="00EF7E34" w:rsidRDefault="00EF7E34" w:rsidP="00EF7E34">
            <w:pPr>
              <w:spacing w:after="0" w:line="240" w:lineRule="auto"/>
              <w:jc w:val="both"/>
              <w:rPr>
                <w:rFonts w:ascii="Times New Roman" w:hAnsi="Times New Roman" w:cs="Times New Roman"/>
                <w:sz w:val="24"/>
                <w:szCs w:val="24"/>
              </w:rPr>
            </w:pPr>
            <w:r w:rsidRPr="00EF7E34">
              <w:rPr>
                <w:rFonts w:ascii="Times New Roman" w:hAnsi="Times New Roman" w:cs="Times New Roman"/>
                <w:sz w:val="24"/>
                <w:szCs w:val="24"/>
              </w:rPr>
              <w:t>$60,840</w:t>
            </w:r>
          </w:p>
        </w:tc>
        <w:tc>
          <w:tcPr>
            <w:tcW w:w="0" w:type="auto"/>
            <w:tcBorders>
              <w:right w:val="single" w:sz="6" w:space="0" w:color="FFFFFF"/>
            </w:tcBorders>
            <w:shd w:val="clear" w:color="auto" w:fill="DAEEF3" w:themeFill="accent5" w:themeFillTint="33"/>
            <w:tcMar>
              <w:top w:w="60" w:type="dxa"/>
              <w:left w:w="120" w:type="dxa"/>
              <w:bottom w:w="60" w:type="dxa"/>
              <w:right w:w="120" w:type="dxa"/>
            </w:tcMar>
            <w:vAlign w:val="center"/>
            <w:hideMark/>
          </w:tcPr>
          <w:p w:rsidR="00EF7E34" w:rsidRPr="00EF7E34" w:rsidRDefault="00EF7E34" w:rsidP="00EF7E34">
            <w:pPr>
              <w:spacing w:after="0" w:line="240" w:lineRule="auto"/>
              <w:jc w:val="both"/>
              <w:rPr>
                <w:rFonts w:ascii="Times New Roman" w:hAnsi="Times New Roman" w:cs="Times New Roman"/>
                <w:sz w:val="24"/>
                <w:szCs w:val="24"/>
              </w:rPr>
            </w:pPr>
            <w:r w:rsidRPr="00EF7E34">
              <w:rPr>
                <w:rFonts w:ascii="Times New Roman" w:hAnsi="Times New Roman" w:cs="Times New Roman"/>
                <w:sz w:val="24"/>
                <w:szCs w:val="24"/>
              </w:rPr>
              <w:t>$51,480</w:t>
            </w:r>
          </w:p>
        </w:tc>
        <w:tc>
          <w:tcPr>
            <w:tcW w:w="0" w:type="auto"/>
            <w:tcBorders>
              <w:right w:val="single" w:sz="6" w:space="0" w:color="FFFFFF"/>
            </w:tcBorders>
            <w:shd w:val="clear" w:color="auto" w:fill="DAEEF3" w:themeFill="accent5" w:themeFillTint="33"/>
            <w:tcMar>
              <w:top w:w="60" w:type="dxa"/>
              <w:left w:w="120" w:type="dxa"/>
              <w:bottom w:w="60" w:type="dxa"/>
              <w:right w:w="120" w:type="dxa"/>
            </w:tcMar>
            <w:vAlign w:val="center"/>
            <w:hideMark/>
          </w:tcPr>
          <w:p w:rsidR="00EF7E34" w:rsidRPr="00EF7E34" w:rsidRDefault="00EF7E34" w:rsidP="00EF7E34">
            <w:pPr>
              <w:spacing w:after="0" w:line="240" w:lineRule="auto"/>
              <w:jc w:val="both"/>
              <w:rPr>
                <w:rFonts w:ascii="Times New Roman" w:hAnsi="Times New Roman" w:cs="Times New Roman"/>
                <w:sz w:val="24"/>
                <w:szCs w:val="24"/>
              </w:rPr>
            </w:pPr>
            <w:r w:rsidRPr="00EF7E34">
              <w:rPr>
                <w:rFonts w:ascii="Times New Roman" w:hAnsi="Times New Roman" w:cs="Times New Roman"/>
                <w:sz w:val="24"/>
                <w:szCs w:val="24"/>
              </w:rPr>
              <w:t>$42,120</w:t>
            </w:r>
          </w:p>
        </w:tc>
      </w:tr>
      <w:tr w:rsidR="00EF7E34" w:rsidRPr="00EF7E34" w:rsidTr="00EF7E34">
        <w:trPr>
          <w:tblCellSpacing w:w="0" w:type="dxa"/>
        </w:trPr>
        <w:tc>
          <w:tcPr>
            <w:tcW w:w="0" w:type="auto"/>
            <w:tcBorders>
              <w:right w:val="single" w:sz="6" w:space="0" w:color="FFFFFF"/>
            </w:tcBorders>
            <w:shd w:val="clear" w:color="auto" w:fill="DAEEF3" w:themeFill="accent5" w:themeFillTint="33"/>
            <w:tcMar>
              <w:top w:w="60" w:type="dxa"/>
              <w:left w:w="120" w:type="dxa"/>
              <w:bottom w:w="60" w:type="dxa"/>
              <w:right w:w="120" w:type="dxa"/>
            </w:tcMar>
            <w:vAlign w:val="center"/>
            <w:hideMark/>
          </w:tcPr>
          <w:p w:rsidR="00EF7E34" w:rsidRPr="00EF7E34" w:rsidRDefault="00EF7E34" w:rsidP="00EF7E34">
            <w:pPr>
              <w:spacing w:after="0" w:line="240" w:lineRule="auto"/>
              <w:jc w:val="both"/>
              <w:rPr>
                <w:rFonts w:ascii="Times New Roman" w:hAnsi="Times New Roman" w:cs="Times New Roman"/>
                <w:sz w:val="24"/>
                <w:szCs w:val="24"/>
              </w:rPr>
            </w:pPr>
            <w:r w:rsidRPr="00EF7E34">
              <w:rPr>
                <w:rFonts w:ascii="Times New Roman" w:hAnsi="Times New Roman" w:cs="Times New Roman"/>
                <w:sz w:val="24"/>
                <w:szCs w:val="24"/>
              </w:rPr>
              <w:t>A couple with 1 or more children</w:t>
            </w:r>
          </w:p>
        </w:tc>
        <w:tc>
          <w:tcPr>
            <w:tcW w:w="0" w:type="auto"/>
            <w:tcBorders>
              <w:right w:val="single" w:sz="6" w:space="0" w:color="FFFFFF"/>
            </w:tcBorders>
            <w:shd w:val="clear" w:color="auto" w:fill="DAEEF3" w:themeFill="accent5" w:themeFillTint="33"/>
            <w:tcMar>
              <w:top w:w="60" w:type="dxa"/>
              <w:left w:w="120" w:type="dxa"/>
              <w:bottom w:w="60" w:type="dxa"/>
              <w:right w:w="120" w:type="dxa"/>
            </w:tcMar>
            <w:vAlign w:val="center"/>
            <w:hideMark/>
          </w:tcPr>
          <w:p w:rsidR="00EF7E34" w:rsidRPr="00EF7E34" w:rsidRDefault="00EF7E34" w:rsidP="00EF7E34">
            <w:pPr>
              <w:spacing w:after="0" w:line="240" w:lineRule="auto"/>
              <w:jc w:val="both"/>
              <w:rPr>
                <w:rFonts w:ascii="Times New Roman" w:hAnsi="Times New Roman" w:cs="Times New Roman"/>
                <w:sz w:val="24"/>
                <w:szCs w:val="24"/>
              </w:rPr>
            </w:pPr>
            <w:r w:rsidRPr="00EF7E34">
              <w:rPr>
                <w:rFonts w:ascii="Times New Roman" w:hAnsi="Times New Roman" w:cs="Times New Roman"/>
                <w:sz w:val="24"/>
                <w:szCs w:val="24"/>
              </w:rPr>
              <w:t>$77,012</w:t>
            </w:r>
          </w:p>
        </w:tc>
        <w:tc>
          <w:tcPr>
            <w:tcW w:w="0" w:type="auto"/>
            <w:tcBorders>
              <w:right w:val="single" w:sz="6" w:space="0" w:color="FFFFFF"/>
            </w:tcBorders>
            <w:shd w:val="clear" w:color="auto" w:fill="DAEEF3" w:themeFill="accent5" w:themeFillTint="33"/>
            <w:tcMar>
              <w:top w:w="60" w:type="dxa"/>
              <w:left w:w="120" w:type="dxa"/>
              <w:bottom w:w="60" w:type="dxa"/>
              <w:right w:w="120" w:type="dxa"/>
            </w:tcMar>
            <w:vAlign w:val="center"/>
            <w:hideMark/>
          </w:tcPr>
          <w:p w:rsidR="00EF7E34" w:rsidRPr="00EF7E34" w:rsidRDefault="00EF7E34" w:rsidP="00EF7E34">
            <w:pPr>
              <w:spacing w:after="0" w:line="240" w:lineRule="auto"/>
              <w:jc w:val="both"/>
              <w:rPr>
                <w:rFonts w:ascii="Times New Roman" w:hAnsi="Times New Roman" w:cs="Times New Roman"/>
                <w:sz w:val="24"/>
                <w:szCs w:val="24"/>
              </w:rPr>
            </w:pPr>
            <w:r w:rsidRPr="00EF7E34">
              <w:rPr>
                <w:rFonts w:ascii="Times New Roman" w:hAnsi="Times New Roman" w:cs="Times New Roman"/>
                <w:sz w:val="24"/>
                <w:szCs w:val="24"/>
              </w:rPr>
              <w:t>$64,532</w:t>
            </w:r>
          </w:p>
        </w:tc>
        <w:tc>
          <w:tcPr>
            <w:tcW w:w="0" w:type="auto"/>
            <w:tcBorders>
              <w:right w:val="single" w:sz="6" w:space="0" w:color="FFFFFF"/>
            </w:tcBorders>
            <w:shd w:val="clear" w:color="auto" w:fill="DAEEF3" w:themeFill="accent5" w:themeFillTint="33"/>
            <w:tcMar>
              <w:top w:w="60" w:type="dxa"/>
              <w:left w:w="120" w:type="dxa"/>
              <w:bottom w:w="60" w:type="dxa"/>
              <w:right w:w="120" w:type="dxa"/>
            </w:tcMar>
            <w:vAlign w:val="center"/>
            <w:hideMark/>
          </w:tcPr>
          <w:p w:rsidR="00EF7E34" w:rsidRPr="00EF7E34" w:rsidRDefault="00EF7E34" w:rsidP="00EF7E34">
            <w:pPr>
              <w:spacing w:after="0" w:line="240" w:lineRule="auto"/>
              <w:jc w:val="both"/>
              <w:rPr>
                <w:rFonts w:ascii="Times New Roman" w:hAnsi="Times New Roman" w:cs="Times New Roman"/>
                <w:sz w:val="24"/>
                <w:szCs w:val="24"/>
              </w:rPr>
            </w:pPr>
            <w:r w:rsidRPr="00EF7E34">
              <w:rPr>
                <w:rFonts w:ascii="Times New Roman" w:hAnsi="Times New Roman" w:cs="Times New Roman"/>
                <w:sz w:val="24"/>
                <w:szCs w:val="24"/>
              </w:rPr>
              <w:t>$55,172</w:t>
            </w:r>
          </w:p>
        </w:tc>
        <w:tc>
          <w:tcPr>
            <w:tcW w:w="0" w:type="auto"/>
            <w:tcBorders>
              <w:right w:val="single" w:sz="6" w:space="0" w:color="FFFFFF"/>
            </w:tcBorders>
            <w:shd w:val="clear" w:color="auto" w:fill="DAEEF3" w:themeFill="accent5" w:themeFillTint="33"/>
            <w:tcMar>
              <w:top w:w="60" w:type="dxa"/>
              <w:left w:w="120" w:type="dxa"/>
              <w:bottom w:w="60" w:type="dxa"/>
              <w:right w:w="120" w:type="dxa"/>
            </w:tcMar>
            <w:vAlign w:val="center"/>
            <w:hideMark/>
          </w:tcPr>
          <w:p w:rsidR="00EF7E34" w:rsidRPr="00EF7E34" w:rsidRDefault="00EF7E34" w:rsidP="00EF7E34">
            <w:pPr>
              <w:spacing w:after="0" w:line="240" w:lineRule="auto"/>
              <w:jc w:val="both"/>
              <w:rPr>
                <w:rFonts w:ascii="Times New Roman" w:hAnsi="Times New Roman" w:cs="Times New Roman"/>
                <w:sz w:val="24"/>
                <w:szCs w:val="24"/>
              </w:rPr>
            </w:pPr>
            <w:r w:rsidRPr="00EF7E34">
              <w:rPr>
                <w:rFonts w:ascii="Times New Roman" w:hAnsi="Times New Roman" w:cs="Times New Roman"/>
                <w:sz w:val="24"/>
                <w:szCs w:val="24"/>
              </w:rPr>
              <w:t>$45,812</w:t>
            </w:r>
          </w:p>
        </w:tc>
      </w:tr>
    </w:tbl>
    <w:p w:rsidR="00EF7E34" w:rsidRPr="00EF7E34" w:rsidRDefault="00EF7E34" w:rsidP="00EF7E34">
      <w:pPr>
        <w:spacing w:after="0" w:line="240" w:lineRule="auto"/>
        <w:jc w:val="both"/>
        <w:rPr>
          <w:rFonts w:ascii="Times New Roman" w:hAnsi="Times New Roman" w:cs="Times New Roman"/>
          <w:sz w:val="24"/>
          <w:szCs w:val="24"/>
        </w:rPr>
      </w:pPr>
    </w:p>
    <w:p w:rsidR="00EF7E34" w:rsidRPr="00EF7E34" w:rsidRDefault="00EF7E34" w:rsidP="00EF7E34">
      <w:pPr>
        <w:spacing w:after="0" w:line="240" w:lineRule="auto"/>
        <w:jc w:val="both"/>
        <w:rPr>
          <w:rFonts w:ascii="Times New Roman" w:hAnsi="Times New Roman" w:cs="Times New Roman"/>
          <w:b/>
          <w:sz w:val="24"/>
          <w:szCs w:val="24"/>
        </w:rPr>
      </w:pPr>
      <w:r w:rsidRPr="00EF7E34">
        <w:rPr>
          <w:rFonts w:ascii="Times New Roman" w:hAnsi="Times New Roman" w:cs="Times New Roman"/>
          <w:b/>
          <w:sz w:val="24"/>
          <w:szCs w:val="24"/>
        </w:rPr>
        <w:t>Area composition</w:t>
      </w:r>
    </w:p>
    <w:tbl>
      <w:tblPr>
        <w:tblW w:w="0" w:type="auto"/>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F7E34" w:rsidRPr="00EF7E34" w:rsidTr="00EF7E34">
        <w:tc>
          <w:tcPr>
            <w:tcW w:w="8856" w:type="dxa"/>
            <w:tcBorders>
              <w:top w:val="single" w:sz="4" w:space="0" w:color="auto"/>
              <w:bottom w:val="single" w:sz="4" w:space="0" w:color="auto"/>
            </w:tcBorders>
            <w:shd w:val="clear" w:color="auto" w:fill="99CCCC"/>
          </w:tcPr>
          <w:p w:rsidR="00EF7E34" w:rsidRPr="00881BDA" w:rsidRDefault="00EF7E34" w:rsidP="00EF7E34">
            <w:pPr>
              <w:spacing w:after="0" w:line="240" w:lineRule="auto"/>
              <w:jc w:val="both"/>
              <w:rPr>
                <w:rFonts w:ascii="Times New Roman" w:hAnsi="Times New Roman" w:cs="Times New Roman"/>
                <w:sz w:val="16"/>
                <w:szCs w:val="16"/>
              </w:rPr>
            </w:pPr>
            <w:r w:rsidRPr="00881BDA">
              <w:rPr>
                <w:rFonts w:ascii="Times New Roman" w:hAnsi="Times New Roman" w:cs="Times New Roman"/>
                <w:b/>
                <w:sz w:val="16"/>
                <w:szCs w:val="16"/>
              </w:rPr>
              <w:t>Area 1</w:t>
            </w:r>
          </w:p>
        </w:tc>
      </w:tr>
      <w:tr w:rsidR="00EF7E34" w:rsidRPr="00EF7E34" w:rsidTr="00EF7E34">
        <w:tc>
          <w:tcPr>
            <w:tcW w:w="8856" w:type="dxa"/>
            <w:tcBorders>
              <w:top w:val="single" w:sz="4" w:space="0" w:color="auto"/>
              <w:bottom w:val="single" w:sz="4" w:space="0" w:color="auto"/>
            </w:tcBorders>
            <w:shd w:val="clear" w:color="auto" w:fill="auto"/>
          </w:tcPr>
          <w:p w:rsidR="00EF7E34" w:rsidRPr="00881BDA" w:rsidRDefault="00EF7E34" w:rsidP="00EF7E34">
            <w:pPr>
              <w:spacing w:after="0" w:line="240" w:lineRule="auto"/>
              <w:jc w:val="both"/>
              <w:rPr>
                <w:rFonts w:ascii="Times New Roman" w:hAnsi="Times New Roman" w:cs="Times New Roman"/>
                <w:sz w:val="16"/>
                <w:szCs w:val="16"/>
              </w:rPr>
            </w:pPr>
            <w:r w:rsidRPr="00881BDA">
              <w:rPr>
                <w:rFonts w:ascii="Times New Roman" w:hAnsi="Times New Roman" w:cs="Times New Roman"/>
                <w:sz w:val="16"/>
                <w:szCs w:val="16"/>
              </w:rPr>
              <w:t>Northern Auckland urban zone, Central Auckland urban zone</w:t>
            </w:r>
          </w:p>
        </w:tc>
      </w:tr>
      <w:tr w:rsidR="00EF7E34" w:rsidRPr="00EF7E34" w:rsidTr="00EF7E34">
        <w:tc>
          <w:tcPr>
            <w:tcW w:w="8856" w:type="dxa"/>
            <w:tcBorders>
              <w:top w:val="single" w:sz="4" w:space="0" w:color="auto"/>
              <w:bottom w:val="single" w:sz="4" w:space="0" w:color="auto"/>
            </w:tcBorders>
            <w:shd w:val="clear" w:color="auto" w:fill="99CCCC"/>
          </w:tcPr>
          <w:p w:rsidR="00EF7E34" w:rsidRPr="00881BDA" w:rsidRDefault="00EF7E34" w:rsidP="00EF7E34">
            <w:pPr>
              <w:spacing w:after="0" w:line="240" w:lineRule="auto"/>
              <w:jc w:val="both"/>
              <w:rPr>
                <w:rFonts w:ascii="Times New Roman" w:hAnsi="Times New Roman" w:cs="Times New Roman"/>
                <w:sz w:val="16"/>
                <w:szCs w:val="16"/>
              </w:rPr>
            </w:pPr>
            <w:r w:rsidRPr="00881BDA">
              <w:rPr>
                <w:rFonts w:ascii="Times New Roman" w:hAnsi="Times New Roman" w:cs="Times New Roman"/>
                <w:b/>
                <w:sz w:val="16"/>
                <w:szCs w:val="16"/>
              </w:rPr>
              <w:t>Area 2</w:t>
            </w:r>
          </w:p>
        </w:tc>
      </w:tr>
      <w:tr w:rsidR="00EF7E34" w:rsidRPr="00EF7E34" w:rsidTr="00EF7E34">
        <w:tc>
          <w:tcPr>
            <w:tcW w:w="8856" w:type="dxa"/>
            <w:tcBorders>
              <w:top w:val="single" w:sz="4" w:space="0" w:color="auto"/>
              <w:bottom w:val="single" w:sz="4" w:space="0" w:color="auto"/>
            </w:tcBorders>
            <w:shd w:val="clear" w:color="auto" w:fill="auto"/>
          </w:tcPr>
          <w:p w:rsidR="00EF7E34" w:rsidRPr="00881BDA" w:rsidRDefault="00EF7E34" w:rsidP="00EF7E34">
            <w:pPr>
              <w:spacing w:after="0" w:line="240" w:lineRule="auto"/>
              <w:jc w:val="both"/>
              <w:rPr>
                <w:rFonts w:ascii="Times New Roman" w:hAnsi="Times New Roman" w:cs="Times New Roman"/>
                <w:b/>
                <w:sz w:val="16"/>
                <w:szCs w:val="16"/>
              </w:rPr>
            </w:pPr>
            <w:r w:rsidRPr="00881BDA">
              <w:rPr>
                <w:rFonts w:ascii="Times New Roman" w:hAnsi="Times New Roman" w:cs="Times New Roman"/>
                <w:sz w:val="16"/>
                <w:szCs w:val="16"/>
              </w:rPr>
              <w:t xml:space="preserve">Western Auckland urban zone, Southern Auckland urban zone, Wellsford urban area, </w:t>
            </w:r>
            <w:proofErr w:type="spellStart"/>
            <w:r w:rsidRPr="00881BDA">
              <w:rPr>
                <w:rFonts w:ascii="Times New Roman" w:hAnsi="Times New Roman" w:cs="Times New Roman"/>
                <w:sz w:val="16"/>
                <w:szCs w:val="16"/>
              </w:rPr>
              <w:t>Snells</w:t>
            </w:r>
            <w:proofErr w:type="spellEnd"/>
            <w:r w:rsidRPr="00881BDA">
              <w:rPr>
                <w:rFonts w:ascii="Times New Roman" w:hAnsi="Times New Roman" w:cs="Times New Roman"/>
                <w:sz w:val="16"/>
                <w:szCs w:val="16"/>
              </w:rPr>
              <w:t xml:space="preserve"> Beach urban area, </w:t>
            </w:r>
            <w:proofErr w:type="spellStart"/>
            <w:r w:rsidRPr="00881BDA">
              <w:rPr>
                <w:rFonts w:ascii="Times New Roman" w:hAnsi="Times New Roman" w:cs="Times New Roman"/>
                <w:sz w:val="16"/>
                <w:szCs w:val="16"/>
              </w:rPr>
              <w:t>Warkworth</w:t>
            </w:r>
            <w:proofErr w:type="spellEnd"/>
            <w:r w:rsidRPr="00881BDA">
              <w:rPr>
                <w:rFonts w:ascii="Times New Roman" w:hAnsi="Times New Roman" w:cs="Times New Roman"/>
                <w:sz w:val="16"/>
                <w:szCs w:val="16"/>
              </w:rPr>
              <w:t xml:space="preserve"> urban area, </w:t>
            </w:r>
            <w:proofErr w:type="spellStart"/>
            <w:r w:rsidRPr="00881BDA">
              <w:rPr>
                <w:rFonts w:ascii="Times New Roman" w:hAnsi="Times New Roman" w:cs="Times New Roman"/>
                <w:sz w:val="16"/>
                <w:szCs w:val="16"/>
              </w:rPr>
              <w:t>Waiheke</w:t>
            </w:r>
            <w:proofErr w:type="spellEnd"/>
            <w:r w:rsidRPr="00881BDA">
              <w:rPr>
                <w:rFonts w:ascii="Times New Roman" w:hAnsi="Times New Roman" w:cs="Times New Roman"/>
                <w:sz w:val="16"/>
                <w:szCs w:val="16"/>
              </w:rPr>
              <w:t xml:space="preserve"> Island urban area, </w:t>
            </w:r>
            <w:proofErr w:type="spellStart"/>
            <w:r w:rsidRPr="00881BDA">
              <w:rPr>
                <w:rFonts w:ascii="Times New Roman" w:hAnsi="Times New Roman" w:cs="Times New Roman"/>
                <w:sz w:val="16"/>
                <w:szCs w:val="16"/>
              </w:rPr>
              <w:t>Waiuku</w:t>
            </w:r>
            <w:proofErr w:type="spellEnd"/>
            <w:r w:rsidRPr="00881BDA">
              <w:rPr>
                <w:rFonts w:ascii="Times New Roman" w:hAnsi="Times New Roman" w:cs="Times New Roman"/>
                <w:sz w:val="16"/>
                <w:szCs w:val="16"/>
              </w:rPr>
              <w:t xml:space="preserve"> urban area, </w:t>
            </w:r>
            <w:proofErr w:type="spellStart"/>
            <w:r w:rsidRPr="00881BDA">
              <w:rPr>
                <w:rFonts w:ascii="Times New Roman" w:hAnsi="Times New Roman" w:cs="Times New Roman"/>
                <w:sz w:val="16"/>
                <w:szCs w:val="16"/>
              </w:rPr>
              <w:t>Pukekohe</w:t>
            </w:r>
            <w:proofErr w:type="spellEnd"/>
            <w:r w:rsidRPr="00881BDA">
              <w:rPr>
                <w:rFonts w:ascii="Times New Roman" w:hAnsi="Times New Roman" w:cs="Times New Roman"/>
                <w:sz w:val="16"/>
                <w:szCs w:val="16"/>
              </w:rPr>
              <w:t xml:space="preserve"> urban area, Helensville urban area, Tauranga urban area, Wellington urban zone, Nelson urban area, Brightwater urban area, Wakefield urban area, Queenstown urban area, Wanaka urban area, </w:t>
            </w:r>
            <w:proofErr w:type="spellStart"/>
            <w:r w:rsidRPr="00881BDA">
              <w:rPr>
                <w:rFonts w:ascii="Times New Roman" w:hAnsi="Times New Roman" w:cs="Times New Roman"/>
                <w:sz w:val="16"/>
                <w:szCs w:val="16"/>
              </w:rPr>
              <w:t>Arrowtown</w:t>
            </w:r>
            <w:proofErr w:type="spellEnd"/>
            <w:r w:rsidRPr="00881BDA">
              <w:rPr>
                <w:rFonts w:ascii="Times New Roman" w:hAnsi="Times New Roman" w:cs="Times New Roman"/>
                <w:sz w:val="16"/>
                <w:szCs w:val="16"/>
              </w:rPr>
              <w:t xml:space="preserve"> urban area </w:t>
            </w:r>
            <w:r w:rsidRPr="00881BDA">
              <w:rPr>
                <w:rFonts w:ascii="Times New Roman" w:hAnsi="Times New Roman" w:cs="Times New Roman"/>
                <w:sz w:val="16"/>
                <w:szCs w:val="16"/>
                <w:lang w:val="en-GB"/>
              </w:rPr>
              <w:t xml:space="preserve">Leigh area unit,  </w:t>
            </w:r>
            <w:proofErr w:type="spellStart"/>
            <w:r w:rsidRPr="00881BDA">
              <w:rPr>
                <w:rFonts w:ascii="Times New Roman" w:hAnsi="Times New Roman" w:cs="Times New Roman"/>
                <w:sz w:val="16"/>
                <w:szCs w:val="16"/>
                <w:lang w:val="en-GB"/>
              </w:rPr>
              <w:t>Tauhoa-Puhoi</w:t>
            </w:r>
            <w:proofErr w:type="spellEnd"/>
            <w:r w:rsidRPr="00881BDA">
              <w:rPr>
                <w:rFonts w:ascii="Times New Roman" w:hAnsi="Times New Roman" w:cs="Times New Roman"/>
                <w:sz w:val="16"/>
                <w:szCs w:val="16"/>
                <w:lang w:val="en-GB"/>
              </w:rPr>
              <w:t xml:space="preserve"> area unit,  </w:t>
            </w:r>
            <w:proofErr w:type="spellStart"/>
            <w:r w:rsidRPr="00881BDA">
              <w:rPr>
                <w:rFonts w:ascii="Times New Roman" w:hAnsi="Times New Roman" w:cs="Times New Roman"/>
                <w:sz w:val="16"/>
                <w:szCs w:val="16"/>
                <w:lang w:val="en-GB"/>
              </w:rPr>
              <w:t>Tahekeroa</w:t>
            </w:r>
            <w:proofErr w:type="spellEnd"/>
            <w:r w:rsidRPr="00881BDA">
              <w:rPr>
                <w:rFonts w:ascii="Times New Roman" w:hAnsi="Times New Roman" w:cs="Times New Roman"/>
                <w:sz w:val="16"/>
                <w:szCs w:val="16"/>
                <w:lang w:val="en-GB"/>
              </w:rPr>
              <w:t xml:space="preserve"> area unit,  Cape Rodney area unit,  Matheson Bay area unit,  </w:t>
            </w:r>
            <w:proofErr w:type="spellStart"/>
            <w:r w:rsidRPr="00881BDA">
              <w:rPr>
                <w:rFonts w:ascii="Times New Roman" w:hAnsi="Times New Roman" w:cs="Times New Roman"/>
                <w:sz w:val="16"/>
                <w:szCs w:val="16"/>
                <w:lang w:val="en-GB"/>
              </w:rPr>
              <w:t>Kawau</w:t>
            </w:r>
            <w:proofErr w:type="spellEnd"/>
            <w:r w:rsidRPr="00881BDA">
              <w:rPr>
                <w:rFonts w:ascii="Times New Roman" w:hAnsi="Times New Roman" w:cs="Times New Roman"/>
                <w:sz w:val="16"/>
                <w:szCs w:val="16"/>
                <w:lang w:val="en-GB"/>
              </w:rPr>
              <w:t xml:space="preserve"> area unit,  Islands-</w:t>
            </w:r>
            <w:proofErr w:type="spellStart"/>
            <w:r w:rsidRPr="00881BDA">
              <w:rPr>
                <w:rFonts w:ascii="Times New Roman" w:hAnsi="Times New Roman" w:cs="Times New Roman"/>
                <w:sz w:val="16"/>
                <w:szCs w:val="16"/>
                <w:lang w:val="en-GB"/>
              </w:rPr>
              <w:t>Motutapu</w:t>
            </w:r>
            <w:proofErr w:type="spellEnd"/>
            <w:r w:rsidRPr="00881BDA">
              <w:rPr>
                <w:rFonts w:ascii="Times New Roman" w:hAnsi="Times New Roman" w:cs="Times New Roman"/>
                <w:sz w:val="16"/>
                <w:szCs w:val="16"/>
                <w:lang w:val="en-GB"/>
              </w:rPr>
              <w:t xml:space="preserve">, </w:t>
            </w:r>
            <w:proofErr w:type="spellStart"/>
            <w:r w:rsidRPr="00881BDA">
              <w:rPr>
                <w:rFonts w:ascii="Times New Roman" w:hAnsi="Times New Roman" w:cs="Times New Roman"/>
                <w:sz w:val="16"/>
                <w:szCs w:val="16"/>
                <w:lang w:val="en-GB"/>
              </w:rPr>
              <w:t>Rangitoto</w:t>
            </w:r>
            <w:proofErr w:type="spellEnd"/>
            <w:r w:rsidRPr="00881BDA">
              <w:rPr>
                <w:rFonts w:ascii="Times New Roman" w:hAnsi="Times New Roman" w:cs="Times New Roman"/>
                <w:sz w:val="16"/>
                <w:szCs w:val="16"/>
                <w:lang w:val="en-GB"/>
              </w:rPr>
              <w:t xml:space="preserve">, </w:t>
            </w:r>
            <w:proofErr w:type="spellStart"/>
            <w:r w:rsidRPr="00881BDA">
              <w:rPr>
                <w:rFonts w:ascii="Times New Roman" w:hAnsi="Times New Roman" w:cs="Times New Roman"/>
                <w:sz w:val="16"/>
                <w:szCs w:val="16"/>
                <w:lang w:val="en-GB"/>
              </w:rPr>
              <w:t>Rakino</w:t>
            </w:r>
            <w:proofErr w:type="spellEnd"/>
            <w:r w:rsidRPr="00881BDA">
              <w:rPr>
                <w:rFonts w:ascii="Times New Roman" w:hAnsi="Times New Roman" w:cs="Times New Roman"/>
                <w:sz w:val="16"/>
                <w:szCs w:val="16"/>
                <w:lang w:val="en-GB"/>
              </w:rPr>
              <w:t xml:space="preserve"> area unit, Great Barrier Island area unit, Little Barrier Island area unit, </w:t>
            </w:r>
            <w:proofErr w:type="spellStart"/>
            <w:r w:rsidRPr="00881BDA">
              <w:rPr>
                <w:rFonts w:ascii="Times New Roman" w:hAnsi="Times New Roman" w:cs="Times New Roman"/>
                <w:sz w:val="16"/>
                <w:szCs w:val="16"/>
                <w:lang w:val="en-GB"/>
              </w:rPr>
              <w:t>Algies</w:t>
            </w:r>
            <w:proofErr w:type="spellEnd"/>
            <w:r w:rsidRPr="00881BDA">
              <w:rPr>
                <w:rFonts w:ascii="Times New Roman" w:hAnsi="Times New Roman" w:cs="Times New Roman"/>
                <w:sz w:val="16"/>
                <w:szCs w:val="16"/>
                <w:lang w:val="en-GB"/>
              </w:rPr>
              <w:t xml:space="preserve"> Bay-</w:t>
            </w:r>
            <w:proofErr w:type="spellStart"/>
            <w:r w:rsidRPr="00881BDA">
              <w:rPr>
                <w:rFonts w:ascii="Times New Roman" w:hAnsi="Times New Roman" w:cs="Times New Roman"/>
                <w:sz w:val="16"/>
                <w:szCs w:val="16"/>
                <w:lang w:val="en-GB"/>
              </w:rPr>
              <w:t>Mahurangi</w:t>
            </w:r>
            <w:proofErr w:type="spellEnd"/>
            <w:r w:rsidRPr="00881BDA">
              <w:rPr>
                <w:rFonts w:ascii="Times New Roman" w:hAnsi="Times New Roman" w:cs="Times New Roman"/>
                <w:sz w:val="16"/>
                <w:szCs w:val="16"/>
                <w:lang w:val="en-GB"/>
              </w:rPr>
              <w:t xml:space="preserve"> area unit,  </w:t>
            </w:r>
            <w:proofErr w:type="spellStart"/>
            <w:r w:rsidRPr="00881BDA">
              <w:rPr>
                <w:rFonts w:ascii="Times New Roman" w:hAnsi="Times New Roman" w:cs="Times New Roman"/>
                <w:sz w:val="16"/>
                <w:szCs w:val="16"/>
                <w:lang w:val="en-GB"/>
              </w:rPr>
              <w:t>Parakai</w:t>
            </w:r>
            <w:proofErr w:type="spellEnd"/>
            <w:r w:rsidRPr="00881BDA">
              <w:rPr>
                <w:rFonts w:ascii="Times New Roman" w:hAnsi="Times New Roman" w:cs="Times New Roman"/>
                <w:sz w:val="16"/>
                <w:szCs w:val="16"/>
                <w:lang w:val="en-GB"/>
              </w:rPr>
              <w:t xml:space="preserve"> area unit, South Head area unit, </w:t>
            </w:r>
            <w:proofErr w:type="spellStart"/>
            <w:r w:rsidRPr="00881BDA">
              <w:rPr>
                <w:rFonts w:ascii="Times New Roman" w:hAnsi="Times New Roman" w:cs="Times New Roman"/>
                <w:sz w:val="16"/>
                <w:szCs w:val="16"/>
                <w:lang w:val="en-GB"/>
              </w:rPr>
              <w:t>Kaukapakapa</w:t>
            </w:r>
            <w:proofErr w:type="spellEnd"/>
            <w:r w:rsidRPr="00881BDA">
              <w:rPr>
                <w:rFonts w:ascii="Times New Roman" w:hAnsi="Times New Roman" w:cs="Times New Roman"/>
                <w:sz w:val="16"/>
                <w:szCs w:val="16"/>
                <w:lang w:val="en-GB"/>
              </w:rPr>
              <w:t xml:space="preserve"> area unit,  </w:t>
            </w:r>
            <w:proofErr w:type="spellStart"/>
            <w:r w:rsidRPr="00881BDA">
              <w:rPr>
                <w:rFonts w:ascii="Times New Roman" w:hAnsi="Times New Roman" w:cs="Times New Roman"/>
                <w:sz w:val="16"/>
                <w:szCs w:val="16"/>
                <w:lang w:val="en-GB"/>
              </w:rPr>
              <w:t>Muriwai</w:t>
            </w:r>
            <w:proofErr w:type="spellEnd"/>
            <w:r w:rsidRPr="00881BDA">
              <w:rPr>
                <w:rFonts w:ascii="Times New Roman" w:hAnsi="Times New Roman" w:cs="Times New Roman"/>
                <w:sz w:val="16"/>
                <w:szCs w:val="16"/>
                <w:lang w:val="en-GB"/>
              </w:rPr>
              <w:t xml:space="preserve"> Beach area unit,  </w:t>
            </w:r>
            <w:proofErr w:type="spellStart"/>
            <w:r w:rsidRPr="00881BDA">
              <w:rPr>
                <w:rFonts w:ascii="Times New Roman" w:hAnsi="Times New Roman" w:cs="Times New Roman"/>
                <w:sz w:val="16"/>
                <w:szCs w:val="16"/>
                <w:lang w:val="en-GB"/>
              </w:rPr>
              <w:t>Rewiti</w:t>
            </w:r>
            <w:proofErr w:type="spellEnd"/>
            <w:r w:rsidRPr="00881BDA">
              <w:rPr>
                <w:rFonts w:ascii="Times New Roman" w:hAnsi="Times New Roman" w:cs="Times New Roman"/>
                <w:sz w:val="16"/>
                <w:szCs w:val="16"/>
                <w:lang w:val="en-GB"/>
              </w:rPr>
              <w:t xml:space="preserve"> area unit,  Riverhead area unit,  </w:t>
            </w:r>
            <w:proofErr w:type="spellStart"/>
            <w:r w:rsidRPr="00881BDA">
              <w:rPr>
                <w:rFonts w:ascii="Times New Roman" w:hAnsi="Times New Roman" w:cs="Times New Roman"/>
                <w:sz w:val="16"/>
                <w:szCs w:val="16"/>
                <w:lang w:val="en-GB"/>
              </w:rPr>
              <w:t>Karekare</w:t>
            </w:r>
            <w:proofErr w:type="spellEnd"/>
            <w:r w:rsidRPr="00881BDA">
              <w:rPr>
                <w:rFonts w:ascii="Times New Roman" w:hAnsi="Times New Roman" w:cs="Times New Roman"/>
                <w:sz w:val="16"/>
                <w:szCs w:val="16"/>
                <w:lang w:val="en-GB"/>
              </w:rPr>
              <w:t xml:space="preserve"> area unit, </w:t>
            </w:r>
            <w:proofErr w:type="spellStart"/>
            <w:r w:rsidRPr="00881BDA">
              <w:rPr>
                <w:rFonts w:ascii="Times New Roman" w:hAnsi="Times New Roman" w:cs="Times New Roman"/>
                <w:sz w:val="16"/>
                <w:szCs w:val="16"/>
                <w:lang w:val="en-GB"/>
              </w:rPr>
              <w:t>Patumahoe</w:t>
            </w:r>
            <w:proofErr w:type="spellEnd"/>
            <w:r w:rsidRPr="00881BDA">
              <w:rPr>
                <w:rFonts w:ascii="Times New Roman" w:hAnsi="Times New Roman" w:cs="Times New Roman"/>
                <w:sz w:val="16"/>
                <w:szCs w:val="16"/>
                <w:lang w:val="en-GB"/>
              </w:rPr>
              <w:t xml:space="preserve"> area unit, </w:t>
            </w:r>
            <w:proofErr w:type="spellStart"/>
            <w:r w:rsidRPr="00881BDA">
              <w:rPr>
                <w:rFonts w:ascii="Times New Roman" w:hAnsi="Times New Roman" w:cs="Times New Roman"/>
                <w:sz w:val="16"/>
                <w:szCs w:val="16"/>
                <w:lang w:val="en-GB"/>
              </w:rPr>
              <w:t>Kingseat</w:t>
            </w:r>
            <w:proofErr w:type="spellEnd"/>
            <w:r w:rsidRPr="00881BDA">
              <w:rPr>
                <w:rFonts w:ascii="Times New Roman" w:hAnsi="Times New Roman" w:cs="Times New Roman"/>
                <w:sz w:val="16"/>
                <w:szCs w:val="16"/>
                <w:lang w:val="en-GB"/>
              </w:rPr>
              <w:t xml:space="preserve"> area unit, </w:t>
            </w:r>
            <w:proofErr w:type="spellStart"/>
            <w:r w:rsidRPr="00881BDA">
              <w:rPr>
                <w:rFonts w:ascii="Times New Roman" w:hAnsi="Times New Roman" w:cs="Times New Roman"/>
                <w:sz w:val="16"/>
                <w:szCs w:val="16"/>
                <w:lang w:val="en-GB"/>
              </w:rPr>
              <w:t>Pokeno</w:t>
            </w:r>
            <w:proofErr w:type="spellEnd"/>
            <w:r w:rsidRPr="00881BDA">
              <w:rPr>
                <w:rFonts w:ascii="Times New Roman" w:hAnsi="Times New Roman" w:cs="Times New Roman"/>
                <w:sz w:val="16"/>
                <w:szCs w:val="16"/>
                <w:lang w:val="en-GB"/>
              </w:rPr>
              <w:t xml:space="preserve"> area unit, </w:t>
            </w:r>
            <w:proofErr w:type="spellStart"/>
            <w:r w:rsidRPr="00881BDA">
              <w:rPr>
                <w:rFonts w:ascii="Times New Roman" w:hAnsi="Times New Roman" w:cs="Times New Roman"/>
                <w:sz w:val="16"/>
                <w:szCs w:val="16"/>
                <w:lang w:val="en-GB"/>
              </w:rPr>
              <w:t>Hunua</w:t>
            </w:r>
            <w:proofErr w:type="spellEnd"/>
            <w:r w:rsidRPr="00881BDA">
              <w:rPr>
                <w:rFonts w:ascii="Times New Roman" w:hAnsi="Times New Roman" w:cs="Times New Roman"/>
                <w:sz w:val="16"/>
                <w:szCs w:val="16"/>
                <w:lang w:val="en-GB"/>
              </w:rPr>
              <w:t xml:space="preserve"> area unit, </w:t>
            </w:r>
            <w:proofErr w:type="spellStart"/>
            <w:r w:rsidRPr="00881BDA">
              <w:rPr>
                <w:rFonts w:ascii="Times New Roman" w:hAnsi="Times New Roman" w:cs="Times New Roman"/>
                <w:sz w:val="16"/>
                <w:szCs w:val="16"/>
                <w:lang w:val="en-GB"/>
              </w:rPr>
              <w:t>Mangatawhiri</w:t>
            </w:r>
            <w:proofErr w:type="spellEnd"/>
            <w:r w:rsidRPr="00881BDA">
              <w:rPr>
                <w:rFonts w:ascii="Times New Roman" w:hAnsi="Times New Roman" w:cs="Times New Roman"/>
                <w:sz w:val="16"/>
                <w:szCs w:val="16"/>
                <w:lang w:val="en-GB"/>
              </w:rPr>
              <w:t xml:space="preserve"> area unit, </w:t>
            </w:r>
            <w:proofErr w:type="spellStart"/>
            <w:r w:rsidRPr="00881BDA">
              <w:rPr>
                <w:rFonts w:ascii="Times New Roman" w:hAnsi="Times New Roman" w:cs="Times New Roman"/>
                <w:sz w:val="16"/>
                <w:szCs w:val="16"/>
                <w:lang w:val="en-GB"/>
              </w:rPr>
              <w:t>Awhitu</w:t>
            </w:r>
            <w:proofErr w:type="spellEnd"/>
            <w:r w:rsidRPr="00881BDA">
              <w:rPr>
                <w:rFonts w:ascii="Times New Roman" w:hAnsi="Times New Roman" w:cs="Times New Roman"/>
                <w:sz w:val="16"/>
                <w:szCs w:val="16"/>
                <w:lang w:val="en-GB"/>
              </w:rPr>
              <w:t xml:space="preserve"> area unit, Glenbrook area unit, </w:t>
            </w:r>
            <w:proofErr w:type="spellStart"/>
            <w:r w:rsidRPr="00881BDA">
              <w:rPr>
                <w:rFonts w:ascii="Times New Roman" w:hAnsi="Times New Roman" w:cs="Times New Roman"/>
                <w:sz w:val="16"/>
                <w:szCs w:val="16"/>
                <w:lang w:val="en-GB"/>
              </w:rPr>
              <w:t>Otaua</w:t>
            </w:r>
            <w:proofErr w:type="spellEnd"/>
            <w:r w:rsidRPr="00881BDA">
              <w:rPr>
                <w:rFonts w:ascii="Times New Roman" w:hAnsi="Times New Roman" w:cs="Times New Roman"/>
                <w:sz w:val="16"/>
                <w:szCs w:val="16"/>
                <w:lang w:val="en-GB"/>
              </w:rPr>
              <w:t xml:space="preserve"> area unit, Bombay area unit, </w:t>
            </w:r>
            <w:proofErr w:type="spellStart"/>
            <w:r w:rsidRPr="00881BDA">
              <w:rPr>
                <w:rFonts w:ascii="Times New Roman" w:hAnsi="Times New Roman" w:cs="Times New Roman"/>
                <w:sz w:val="16"/>
                <w:szCs w:val="16"/>
                <w:lang w:val="en-GB"/>
              </w:rPr>
              <w:t>Clevedon</w:t>
            </w:r>
            <w:proofErr w:type="spellEnd"/>
            <w:r w:rsidRPr="00881BDA">
              <w:rPr>
                <w:rFonts w:ascii="Times New Roman" w:hAnsi="Times New Roman" w:cs="Times New Roman"/>
                <w:sz w:val="16"/>
                <w:szCs w:val="16"/>
                <w:lang w:val="en-GB"/>
              </w:rPr>
              <w:t xml:space="preserve"> area unit, </w:t>
            </w:r>
            <w:proofErr w:type="spellStart"/>
            <w:r w:rsidRPr="00881BDA">
              <w:rPr>
                <w:rFonts w:ascii="Times New Roman" w:hAnsi="Times New Roman" w:cs="Times New Roman"/>
                <w:sz w:val="16"/>
                <w:szCs w:val="16"/>
                <w:lang w:val="en-GB"/>
              </w:rPr>
              <w:t>Onewhero</w:t>
            </w:r>
            <w:proofErr w:type="spellEnd"/>
            <w:r w:rsidRPr="00881BDA">
              <w:rPr>
                <w:rFonts w:ascii="Times New Roman" w:hAnsi="Times New Roman" w:cs="Times New Roman"/>
                <w:sz w:val="16"/>
                <w:szCs w:val="16"/>
                <w:lang w:val="en-GB"/>
              </w:rPr>
              <w:t xml:space="preserve"> area unit,  </w:t>
            </w:r>
            <w:proofErr w:type="spellStart"/>
            <w:r w:rsidRPr="00881BDA">
              <w:rPr>
                <w:rFonts w:ascii="Times New Roman" w:hAnsi="Times New Roman" w:cs="Times New Roman"/>
                <w:sz w:val="16"/>
                <w:szCs w:val="16"/>
                <w:lang w:val="en-GB"/>
              </w:rPr>
              <w:t>Maramarua</w:t>
            </w:r>
            <w:proofErr w:type="spellEnd"/>
            <w:r w:rsidRPr="00881BDA">
              <w:rPr>
                <w:rFonts w:ascii="Times New Roman" w:hAnsi="Times New Roman" w:cs="Times New Roman"/>
                <w:sz w:val="16"/>
                <w:szCs w:val="16"/>
                <w:lang w:val="en-GB"/>
              </w:rPr>
              <w:t xml:space="preserve"> area unit, </w:t>
            </w:r>
            <w:proofErr w:type="spellStart"/>
            <w:r w:rsidRPr="00881BDA">
              <w:rPr>
                <w:rFonts w:ascii="Times New Roman" w:hAnsi="Times New Roman" w:cs="Times New Roman"/>
                <w:sz w:val="16"/>
                <w:szCs w:val="16"/>
                <w:lang w:val="en-GB"/>
              </w:rPr>
              <w:t>Meremere</w:t>
            </w:r>
            <w:proofErr w:type="spellEnd"/>
            <w:r w:rsidRPr="00881BDA">
              <w:rPr>
                <w:rFonts w:ascii="Times New Roman" w:hAnsi="Times New Roman" w:cs="Times New Roman"/>
                <w:sz w:val="16"/>
                <w:szCs w:val="16"/>
                <w:lang w:val="en-GB"/>
              </w:rPr>
              <w:t xml:space="preserve"> area unit.</w:t>
            </w:r>
          </w:p>
        </w:tc>
      </w:tr>
      <w:tr w:rsidR="00EF7E34" w:rsidRPr="00EF7E34" w:rsidTr="00EF7E34">
        <w:tc>
          <w:tcPr>
            <w:tcW w:w="8856" w:type="dxa"/>
            <w:tcBorders>
              <w:top w:val="single" w:sz="4" w:space="0" w:color="auto"/>
              <w:bottom w:val="single" w:sz="4" w:space="0" w:color="auto"/>
            </w:tcBorders>
            <w:shd w:val="clear" w:color="auto" w:fill="99CCCC"/>
          </w:tcPr>
          <w:p w:rsidR="00EF7E34" w:rsidRPr="00881BDA" w:rsidRDefault="00EF7E34" w:rsidP="00EF7E34">
            <w:pPr>
              <w:spacing w:after="0" w:line="240" w:lineRule="auto"/>
              <w:jc w:val="both"/>
              <w:rPr>
                <w:rFonts w:ascii="Times New Roman" w:hAnsi="Times New Roman" w:cs="Times New Roman"/>
                <w:sz w:val="16"/>
                <w:szCs w:val="16"/>
              </w:rPr>
            </w:pPr>
            <w:r w:rsidRPr="00881BDA">
              <w:rPr>
                <w:rFonts w:ascii="Times New Roman" w:hAnsi="Times New Roman" w:cs="Times New Roman"/>
                <w:b/>
                <w:sz w:val="16"/>
                <w:szCs w:val="16"/>
              </w:rPr>
              <w:t>Area 3</w:t>
            </w:r>
          </w:p>
        </w:tc>
      </w:tr>
      <w:tr w:rsidR="00EF7E34" w:rsidRPr="00EF7E34" w:rsidTr="00EF7E34">
        <w:tc>
          <w:tcPr>
            <w:tcW w:w="8856" w:type="dxa"/>
            <w:tcBorders>
              <w:top w:val="single" w:sz="4" w:space="0" w:color="auto"/>
              <w:bottom w:val="single" w:sz="4" w:space="0" w:color="auto"/>
            </w:tcBorders>
            <w:shd w:val="clear" w:color="auto" w:fill="auto"/>
          </w:tcPr>
          <w:p w:rsidR="00EF7E34" w:rsidRPr="00881BDA" w:rsidRDefault="00EF7E34" w:rsidP="00EF7E34">
            <w:pPr>
              <w:spacing w:after="0" w:line="240" w:lineRule="auto"/>
              <w:jc w:val="both"/>
              <w:rPr>
                <w:rFonts w:ascii="Times New Roman" w:hAnsi="Times New Roman" w:cs="Times New Roman"/>
                <w:sz w:val="16"/>
                <w:szCs w:val="16"/>
              </w:rPr>
            </w:pPr>
            <w:proofErr w:type="spellStart"/>
            <w:r w:rsidRPr="00881BDA">
              <w:rPr>
                <w:rFonts w:ascii="Times New Roman" w:hAnsi="Times New Roman" w:cs="Times New Roman"/>
                <w:sz w:val="16"/>
                <w:szCs w:val="16"/>
                <w:lang w:val="en-GB"/>
              </w:rPr>
              <w:t>Taipa</w:t>
            </w:r>
            <w:proofErr w:type="spellEnd"/>
            <w:r w:rsidRPr="00881BDA">
              <w:rPr>
                <w:rFonts w:ascii="Times New Roman" w:hAnsi="Times New Roman" w:cs="Times New Roman"/>
                <w:sz w:val="16"/>
                <w:szCs w:val="16"/>
                <w:lang w:val="en-GB"/>
              </w:rPr>
              <w:t xml:space="preserve"> Bay-</w:t>
            </w:r>
            <w:proofErr w:type="spellStart"/>
            <w:r w:rsidRPr="00881BDA">
              <w:rPr>
                <w:rFonts w:ascii="Times New Roman" w:hAnsi="Times New Roman" w:cs="Times New Roman"/>
                <w:sz w:val="16"/>
                <w:szCs w:val="16"/>
                <w:lang w:val="en-GB"/>
              </w:rPr>
              <w:t>Mangonui</w:t>
            </w:r>
            <w:proofErr w:type="spellEnd"/>
            <w:r w:rsidRPr="00881BDA">
              <w:rPr>
                <w:rFonts w:ascii="Times New Roman" w:hAnsi="Times New Roman" w:cs="Times New Roman"/>
                <w:sz w:val="16"/>
                <w:szCs w:val="16"/>
                <w:lang w:val="en-GB"/>
              </w:rPr>
              <w:t xml:space="preserve"> </w:t>
            </w:r>
            <w:r w:rsidRPr="00881BDA">
              <w:rPr>
                <w:rFonts w:ascii="Times New Roman" w:hAnsi="Times New Roman" w:cs="Times New Roman"/>
                <w:sz w:val="16"/>
                <w:szCs w:val="16"/>
              </w:rPr>
              <w:t>urban area</w:t>
            </w:r>
            <w:r w:rsidRPr="00881BDA">
              <w:rPr>
                <w:rFonts w:ascii="Times New Roman" w:hAnsi="Times New Roman" w:cs="Times New Roman"/>
                <w:sz w:val="16"/>
                <w:szCs w:val="16"/>
                <w:lang w:val="en-GB"/>
              </w:rPr>
              <w:t xml:space="preserve">, </w:t>
            </w:r>
            <w:proofErr w:type="spellStart"/>
            <w:r w:rsidRPr="00881BDA">
              <w:rPr>
                <w:rFonts w:ascii="Times New Roman" w:hAnsi="Times New Roman" w:cs="Times New Roman"/>
                <w:sz w:val="16"/>
                <w:szCs w:val="16"/>
                <w:lang w:val="en-GB"/>
              </w:rPr>
              <w:t>Kaitaia</w:t>
            </w:r>
            <w:proofErr w:type="spellEnd"/>
            <w:r w:rsidRPr="00881BDA">
              <w:rPr>
                <w:rFonts w:ascii="Times New Roman" w:hAnsi="Times New Roman" w:cs="Times New Roman"/>
                <w:sz w:val="16"/>
                <w:szCs w:val="16"/>
                <w:lang w:val="en-GB"/>
              </w:rPr>
              <w:t xml:space="preserve"> </w:t>
            </w:r>
            <w:r w:rsidRPr="00881BDA">
              <w:rPr>
                <w:rFonts w:ascii="Times New Roman" w:hAnsi="Times New Roman" w:cs="Times New Roman"/>
                <w:sz w:val="16"/>
                <w:szCs w:val="16"/>
              </w:rPr>
              <w:t>urban area</w:t>
            </w:r>
            <w:r w:rsidRPr="00881BDA">
              <w:rPr>
                <w:rFonts w:ascii="Times New Roman" w:hAnsi="Times New Roman" w:cs="Times New Roman"/>
                <w:sz w:val="16"/>
                <w:szCs w:val="16"/>
                <w:lang w:val="en-GB"/>
              </w:rPr>
              <w:t xml:space="preserve">, </w:t>
            </w:r>
            <w:proofErr w:type="spellStart"/>
            <w:r w:rsidRPr="00881BDA">
              <w:rPr>
                <w:rFonts w:ascii="Times New Roman" w:hAnsi="Times New Roman" w:cs="Times New Roman"/>
                <w:sz w:val="16"/>
                <w:szCs w:val="16"/>
                <w:lang w:val="en-GB"/>
              </w:rPr>
              <w:t>Kerikeri</w:t>
            </w:r>
            <w:proofErr w:type="spellEnd"/>
            <w:r w:rsidRPr="00881BDA">
              <w:rPr>
                <w:rFonts w:ascii="Times New Roman" w:hAnsi="Times New Roman" w:cs="Times New Roman"/>
                <w:sz w:val="16"/>
                <w:szCs w:val="16"/>
                <w:lang w:val="en-GB"/>
              </w:rPr>
              <w:t xml:space="preserve"> </w:t>
            </w:r>
            <w:r w:rsidRPr="00881BDA">
              <w:rPr>
                <w:rFonts w:ascii="Times New Roman" w:hAnsi="Times New Roman" w:cs="Times New Roman"/>
                <w:sz w:val="16"/>
                <w:szCs w:val="16"/>
              </w:rPr>
              <w:t>urban area</w:t>
            </w:r>
            <w:r w:rsidRPr="00881BDA">
              <w:rPr>
                <w:rFonts w:ascii="Times New Roman" w:hAnsi="Times New Roman" w:cs="Times New Roman"/>
                <w:sz w:val="16"/>
                <w:szCs w:val="16"/>
                <w:lang w:val="en-GB"/>
              </w:rPr>
              <w:t xml:space="preserve">, Russell </w:t>
            </w:r>
            <w:r w:rsidRPr="00881BDA">
              <w:rPr>
                <w:rFonts w:ascii="Times New Roman" w:hAnsi="Times New Roman" w:cs="Times New Roman"/>
                <w:sz w:val="16"/>
                <w:szCs w:val="16"/>
              </w:rPr>
              <w:t>urban area</w:t>
            </w:r>
            <w:r w:rsidRPr="00881BDA">
              <w:rPr>
                <w:rFonts w:ascii="Times New Roman" w:hAnsi="Times New Roman" w:cs="Times New Roman"/>
                <w:sz w:val="16"/>
                <w:szCs w:val="16"/>
                <w:lang w:val="en-GB"/>
              </w:rPr>
              <w:t xml:space="preserve">, </w:t>
            </w:r>
            <w:proofErr w:type="spellStart"/>
            <w:r w:rsidRPr="00881BDA">
              <w:rPr>
                <w:rFonts w:ascii="Times New Roman" w:hAnsi="Times New Roman" w:cs="Times New Roman"/>
                <w:sz w:val="16"/>
                <w:szCs w:val="16"/>
                <w:lang w:val="en-GB"/>
              </w:rPr>
              <w:t>Paihia</w:t>
            </w:r>
            <w:proofErr w:type="spellEnd"/>
            <w:r w:rsidRPr="00881BDA">
              <w:rPr>
                <w:rFonts w:ascii="Times New Roman" w:hAnsi="Times New Roman" w:cs="Times New Roman"/>
                <w:sz w:val="16"/>
                <w:szCs w:val="16"/>
                <w:lang w:val="en-GB"/>
              </w:rPr>
              <w:t xml:space="preserve"> </w:t>
            </w:r>
            <w:r w:rsidRPr="00881BDA">
              <w:rPr>
                <w:rFonts w:ascii="Times New Roman" w:hAnsi="Times New Roman" w:cs="Times New Roman"/>
                <w:sz w:val="16"/>
                <w:szCs w:val="16"/>
              </w:rPr>
              <w:t>urban area</w:t>
            </w:r>
            <w:r w:rsidRPr="00881BDA">
              <w:rPr>
                <w:rFonts w:ascii="Times New Roman" w:hAnsi="Times New Roman" w:cs="Times New Roman"/>
                <w:sz w:val="16"/>
                <w:szCs w:val="16"/>
                <w:lang w:val="en-GB"/>
              </w:rPr>
              <w:t xml:space="preserve">, </w:t>
            </w:r>
            <w:proofErr w:type="spellStart"/>
            <w:r w:rsidRPr="00881BDA">
              <w:rPr>
                <w:rFonts w:ascii="Times New Roman" w:hAnsi="Times New Roman" w:cs="Times New Roman"/>
                <w:sz w:val="16"/>
                <w:szCs w:val="16"/>
                <w:lang w:val="en-GB"/>
              </w:rPr>
              <w:t>Whangarei</w:t>
            </w:r>
            <w:proofErr w:type="spellEnd"/>
            <w:r w:rsidRPr="00881BDA">
              <w:rPr>
                <w:rFonts w:ascii="Times New Roman" w:hAnsi="Times New Roman" w:cs="Times New Roman"/>
                <w:sz w:val="16"/>
                <w:szCs w:val="16"/>
                <w:lang w:val="en-GB"/>
              </w:rPr>
              <w:t xml:space="preserve"> </w:t>
            </w:r>
            <w:r w:rsidRPr="00881BDA">
              <w:rPr>
                <w:rFonts w:ascii="Times New Roman" w:hAnsi="Times New Roman" w:cs="Times New Roman"/>
                <w:sz w:val="16"/>
                <w:szCs w:val="16"/>
              </w:rPr>
              <w:t>urban area</w:t>
            </w:r>
            <w:r w:rsidRPr="00881BDA">
              <w:rPr>
                <w:rFonts w:ascii="Times New Roman" w:hAnsi="Times New Roman" w:cs="Times New Roman"/>
                <w:sz w:val="16"/>
                <w:szCs w:val="16"/>
                <w:lang w:val="en-GB"/>
              </w:rPr>
              <w:t xml:space="preserve">, Raglan </w:t>
            </w:r>
            <w:r w:rsidRPr="00881BDA">
              <w:rPr>
                <w:rFonts w:ascii="Times New Roman" w:hAnsi="Times New Roman" w:cs="Times New Roman"/>
                <w:sz w:val="16"/>
                <w:szCs w:val="16"/>
              </w:rPr>
              <w:t xml:space="preserve">urban area, </w:t>
            </w:r>
            <w:proofErr w:type="spellStart"/>
            <w:r w:rsidRPr="00881BDA">
              <w:rPr>
                <w:rFonts w:ascii="Times New Roman" w:hAnsi="Times New Roman" w:cs="Times New Roman"/>
                <w:sz w:val="16"/>
                <w:szCs w:val="16"/>
                <w:lang w:val="en-GB"/>
              </w:rPr>
              <w:t>Whitianga</w:t>
            </w:r>
            <w:proofErr w:type="spellEnd"/>
            <w:r w:rsidRPr="00881BDA">
              <w:rPr>
                <w:rFonts w:ascii="Times New Roman" w:hAnsi="Times New Roman" w:cs="Times New Roman"/>
                <w:sz w:val="16"/>
                <w:szCs w:val="16"/>
                <w:lang w:val="en-GB"/>
              </w:rPr>
              <w:t xml:space="preserve"> </w:t>
            </w:r>
            <w:r w:rsidRPr="00881BDA">
              <w:rPr>
                <w:rFonts w:ascii="Times New Roman" w:hAnsi="Times New Roman" w:cs="Times New Roman"/>
                <w:sz w:val="16"/>
                <w:szCs w:val="16"/>
              </w:rPr>
              <w:t>urban area</w:t>
            </w:r>
            <w:r w:rsidRPr="00881BDA">
              <w:rPr>
                <w:rFonts w:ascii="Times New Roman" w:hAnsi="Times New Roman" w:cs="Times New Roman"/>
                <w:sz w:val="16"/>
                <w:szCs w:val="16"/>
                <w:lang w:val="en-GB"/>
              </w:rPr>
              <w:t xml:space="preserve">, </w:t>
            </w:r>
            <w:proofErr w:type="spellStart"/>
            <w:r w:rsidRPr="00881BDA">
              <w:rPr>
                <w:rFonts w:ascii="Times New Roman" w:hAnsi="Times New Roman" w:cs="Times New Roman"/>
                <w:sz w:val="16"/>
                <w:szCs w:val="16"/>
                <w:lang w:val="en-GB"/>
              </w:rPr>
              <w:t>Whangamata</w:t>
            </w:r>
            <w:proofErr w:type="spellEnd"/>
            <w:r w:rsidRPr="00881BDA">
              <w:rPr>
                <w:rFonts w:ascii="Times New Roman" w:hAnsi="Times New Roman" w:cs="Times New Roman"/>
                <w:sz w:val="16"/>
                <w:szCs w:val="16"/>
                <w:lang w:val="en-GB"/>
              </w:rPr>
              <w:t xml:space="preserve"> </w:t>
            </w:r>
            <w:r w:rsidRPr="00881BDA">
              <w:rPr>
                <w:rFonts w:ascii="Times New Roman" w:hAnsi="Times New Roman" w:cs="Times New Roman"/>
                <w:sz w:val="16"/>
                <w:szCs w:val="16"/>
              </w:rPr>
              <w:t>urban area</w:t>
            </w:r>
            <w:r w:rsidRPr="00881BDA">
              <w:rPr>
                <w:rFonts w:ascii="Times New Roman" w:hAnsi="Times New Roman" w:cs="Times New Roman"/>
                <w:sz w:val="16"/>
                <w:szCs w:val="16"/>
                <w:lang w:val="en-GB"/>
              </w:rPr>
              <w:t xml:space="preserve">, </w:t>
            </w:r>
            <w:proofErr w:type="spellStart"/>
            <w:r w:rsidRPr="00881BDA">
              <w:rPr>
                <w:rFonts w:ascii="Times New Roman" w:hAnsi="Times New Roman" w:cs="Times New Roman"/>
                <w:sz w:val="16"/>
                <w:szCs w:val="16"/>
                <w:lang w:val="en-GB"/>
              </w:rPr>
              <w:t>Tairua</w:t>
            </w:r>
            <w:proofErr w:type="spellEnd"/>
            <w:r w:rsidRPr="00881BDA">
              <w:rPr>
                <w:rFonts w:ascii="Times New Roman" w:hAnsi="Times New Roman" w:cs="Times New Roman"/>
                <w:sz w:val="16"/>
                <w:szCs w:val="16"/>
                <w:lang w:val="en-GB"/>
              </w:rPr>
              <w:t xml:space="preserve"> </w:t>
            </w:r>
            <w:r w:rsidRPr="00881BDA">
              <w:rPr>
                <w:rFonts w:ascii="Times New Roman" w:hAnsi="Times New Roman" w:cs="Times New Roman"/>
                <w:sz w:val="16"/>
                <w:szCs w:val="16"/>
              </w:rPr>
              <w:t>urban area</w:t>
            </w:r>
            <w:r w:rsidRPr="00881BDA">
              <w:rPr>
                <w:rFonts w:ascii="Times New Roman" w:hAnsi="Times New Roman" w:cs="Times New Roman"/>
                <w:sz w:val="16"/>
                <w:szCs w:val="16"/>
                <w:lang w:val="en-GB"/>
              </w:rPr>
              <w:t xml:space="preserve">, Thames </w:t>
            </w:r>
            <w:r w:rsidRPr="00881BDA">
              <w:rPr>
                <w:rFonts w:ascii="Times New Roman" w:hAnsi="Times New Roman" w:cs="Times New Roman"/>
                <w:sz w:val="16"/>
                <w:szCs w:val="16"/>
              </w:rPr>
              <w:t>urban area</w:t>
            </w:r>
            <w:r w:rsidRPr="00881BDA">
              <w:rPr>
                <w:rFonts w:ascii="Times New Roman" w:hAnsi="Times New Roman" w:cs="Times New Roman"/>
                <w:sz w:val="16"/>
                <w:szCs w:val="16"/>
                <w:lang w:val="en-GB"/>
              </w:rPr>
              <w:t xml:space="preserve">, </w:t>
            </w:r>
            <w:proofErr w:type="spellStart"/>
            <w:r w:rsidRPr="00881BDA">
              <w:rPr>
                <w:rFonts w:ascii="Times New Roman" w:hAnsi="Times New Roman" w:cs="Times New Roman"/>
                <w:sz w:val="16"/>
                <w:szCs w:val="16"/>
                <w:lang w:val="en-GB"/>
              </w:rPr>
              <w:t>Waihi</w:t>
            </w:r>
            <w:proofErr w:type="spellEnd"/>
            <w:r w:rsidRPr="00881BDA">
              <w:rPr>
                <w:rFonts w:ascii="Times New Roman" w:hAnsi="Times New Roman" w:cs="Times New Roman"/>
                <w:sz w:val="16"/>
                <w:szCs w:val="16"/>
                <w:lang w:val="en-GB"/>
              </w:rPr>
              <w:t xml:space="preserve"> Beach </w:t>
            </w:r>
            <w:r w:rsidRPr="00881BDA">
              <w:rPr>
                <w:rFonts w:ascii="Times New Roman" w:hAnsi="Times New Roman" w:cs="Times New Roman"/>
                <w:sz w:val="16"/>
                <w:szCs w:val="16"/>
              </w:rPr>
              <w:t>urban area</w:t>
            </w:r>
            <w:r w:rsidRPr="00881BDA">
              <w:rPr>
                <w:rFonts w:ascii="Times New Roman" w:hAnsi="Times New Roman" w:cs="Times New Roman"/>
                <w:sz w:val="16"/>
                <w:szCs w:val="16"/>
                <w:lang w:val="en-GB"/>
              </w:rPr>
              <w:t xml:space="preserve">, </w:t>
            </w:r>
            <w:proofErr w:type="spellStart"/>
            <w:r w:rsidRPr="00881BDA">
              <w:rPr>
                <w:rFonts w:ascii="Times New Roman" w:hAnsi="Times New Roman" w:cs="Times New Roman"/>
                <w:sz w:val="16"/>
                <w:szCs w:val="16"/>
                <w:lang w:val="en-GB"/>
              </w:rPr>
              <w:t>Matamata</w:t>
            </w:r>
            <w:proofErr w:type="spellEnd"/>
            <w:r w:rsidRPr="00881BDA">
              <w:rPr>
                <w:rFonts w:ascii="Times New Roman" w:hAnsi="Times New Roman" w:cs="Times New Roman"/>
                <w:sz w:val="16"/>
                <w:szCs w:val="16"/>
                <w:lang w:val="en-GB"/>
              </w:rPr>
              <w:t xml:space="preserve"> </w:t>
            </w:r>
            <w:r w:rsidRPr="00881BDA">
              <w:rPr>
                <w:rFonts w:ascii="Times New Roman" w:hAnsi="Times New Roman" w:cs="Times New Roman"/>
                <w:sz w:val="16"/>
                <w:szCs w:val="16"/>
              </w:rPr>
              <w:t>urban area</w:t>
            </w:r>
            <w:r w:rsidRPr="00881BDA">
              <w:rPr>
                <w:rFonts w:ascii="Times New Roman" w:hAnsi="Times New Roman" w:cs="Times New Roman"/>
                <w:sz w:val="16"/>
                <w:szCs w:val="16"/>
                <w:lang w:val="en-GB"/>
              </w:rPr>
              <w:t xml:space="preserve">, </w:t>
            </w:r>
            <w:proofErr w:type="spellStart"/>
            <w:r w:rsidRPr="00881BDA">
              <w:rPr>
                <w:rFonts w:ascii="Times New Roman" w:hAnsi="Times New Roman" w:cs="Times New Roman"/>
                <w:sz w:val="16"/>
                <w:szCs w:val="16"/>
                <w:lang w:val="en-GB"/>
              </w:rPr>
              <w:t>Katikati</w:t>
            </w:r>
            <w:proofErr w:type="spellEnd"/>
            <w:r w:rsidRPr="00881BDA">
              <w:rPr>
                <w:rFonts w:ascii="Times New Roman" w:hAnsi="Times New Roman" w:cs="Times New Roman"/>
                <w:sz w:val="16"/>
                <w:szCs w:val="16"/>
                <w:lang w:val="en-GB"/>
              </w:rPr>
              <w:t xml:space="preserve"> Community </w:t>
            </w:r>
            <w:r w:rsidRPr="00881BDA">
              <w:rPr>
                <w:rFonts w:ascii="Times New Roman" w:hAnsi="Times New Roman" w:cs="Times New Roman"/>
                <w:sz w:val="16"/>
                <w:szCs w:val="16"/>
              </w:rPr>
              <w:t>urban area</w:t>
            </w:r>
            <w:r w:rsidRPr="00881BDA">
              <w:rPr>
                <w:rFonts w:ascii="Times New Roman" w:hAnsi="Times New Roman" w:cs="Times New Roman"/>
                <w:sz w:val="16"/>
                <w:szCs w:val="16"/>
                <w:lang w:val="en-GB"/>
              </w:rPr>
              <w:t xml:space="preserve">, Te Puke Community </w:t>
            </w:r>
            <w:r w:rsidRPr="00881BDA">
              <w:rPr>
                <w:rFonts w:ascii="Times New Roman" w:hAnsi="Times New Roman" w:cs="Times New Roman"/>
                <w:sz w:val="16"/>
                <w:szCs w:val="16"/>
              </w:rPr>
              <w:t>urban area</w:t>
            </w:r>
            <w:r w:rsidRPr="00881BDA">
              <w:rPr>
                <w:rFonts w:ascii="Times New Roman" w:hAnsi="Times New Roman" w:cs="Times New Roman"/>
                <w:sz w:val="16"/>
                <w:szCs w:val="16"/>
                <w:lang w:val="en-GB"/>
              </w:rPr>
              <w:t xml:space="preserve">, Hamilton urban zone, Cambridge urban zone, Te Awamutu urban zone, </w:t>
            </w:r>
            <w:proofErr w:type="spellStart"/>
            <w:r w:rsidRPr="00881BDA">
              <w:rPr>
                <w:rFonts w:ascii="Times New Roman" w:hAnsi="Times New Roman" w:cs="Times New Roman"/>
                <w:sz w:val="16"/>
                <w:szCs w:val="16"/>
                <w:lang w:val="en-GB"/>
              </w:rPr>
              <w:t>Rotorua</w:t>
            </w:r>
            <w:proofErr w:type="spellEnd"/>
            <w:r w:rsidRPr="00881BDA">
              <w:rPr>
                <w:rFonts w:ascii="Times New Roman" w:hAnsi="Times New Roman" w:cs="Times New Roman"/>
                <w:sz w:val="16"/>
                <w:szCs w:val="16"/>
                <w:lang w:val="en-GB"/>
              </w:rPr>
              <w:t xml:space="preserve"> </w:t>
            </w:r>
            <w:r w:rsidRPr="00881BDA">
              <w:rPr>
                <w:rFonts w:ascii="Times New Roman" w:hAnsi="Times New Roman" w:cs="Times New Roman"/>
                <w:sz w:val="16"/>
                <w:szCs w:val="16"/>
              </w:rPr>
              <w:t>urban area,</w:t>
            </w:r>
            <w:r w:rsidRPr="00881BDA">
              <w:rPr>
                <w:rFonts w:ascii="Times New Roman" w:hAnsi="Times New Roman" w:cs="Times New Roman"/>
                <w:sz w:val="16"/>
                <w:szCs w:val="16"/>
                <w:lang w:val="en-GB"/>
              </w:rPr>
              <w:t xml:space="preserve"> Taupo </w:t>
            </w:r>
            <w:r w:rsidRPr="00881BDA">
              <w:rPr>
                <w:rFonts w:ascii="Times New Roman" w:hAnsi="Times New Roman" w:cs="Times New Roman"/>
                <w:sz w:val="16"/>
                <w:szCs w:val="16"/>
              </w:rPr>
              <w:t>urban area</w:t>
            </w:r>
            <w:r w:rsidRPr="00881BDA">
              <w:rPr>
                <w:rFonts w:ascii="Times New Roman" w:hAnsi="Times New Roman" w:cs="Times New Roman"/>
                <w:sz w:val="16"/>
                <w:szCs w:val="16"/>
                <w:lang w:val="en-GB"/>
              </w:rPr>
              <w:t xml:space="preserve">, </w:t>
            </w:r>
            <w:proofErr w:type="spellStart"/>
            <w:r w:rsidRPr="00881BDA">
              <w:rPr>
                <w:rFonts w:ascii="Times New Roman" w:hAnsi="Times New Roman" w:cs="Times New Roman"/>
                <w:sz w:val="16"/>
                <w:szCs w:val="16"/>
                <w:lang w:val="en-GB"/>
              </w:rPr>
              <w:t>Whakatane</w:t>
            </w:r>
            <w:proofErr w:type="spellEnd"/>
            <w:r w:rsidRPr="00881BDA">
              <w:rPr>
                <w:rFonts w:ascii="Times New Roman" w:hAnsi="Times New Roman" w:cs="Times New Roman"/>
                <w:sz w:val="16"/>
                <w:szCs w:val="16"/>
                <w:lang w:val="en-GB"/>
              </w:rPr>
              <w:t xml:space="preserve"> </w:t>
            </w:r>
            <w:r w:rsidRPr="00881BDA">
              <w:rPr>
                <w:rFonts w:ascii="Times New Roman" w:hAnsi="Times New Roman" w:cs="Times New Roman"/>
                <w:sz w:val="16"/>
                <w:szCs w:val="16"/>
              </w:rPr>
              <w:t>urban area</w:t>
            </w:r>
            <w:r w:rsidRPr="00881BDA">
              <w:rPr>
                <w:rFonts w:ascii="Times New Roman" w:hAnsi="Times New Roman" w:cs="Times New Roman"/>
                <w:sz w:val="16"/>
                <w:szCs w:val="16"/>
                <w:lang w:val="en-GB"/>
              </w:rPr>
              <w:t xml:space="preserve">, Napier urban zone, Hastings urban zone, </w:t>
            </w:r>
            <w:proofErr w:type="spellStart"/>
            <w:r w:rsidRPr="00881BDA">
              <w:rPr>
                <w:rFonts w:ascii="Times New Roman" w:hAnsi="Times New Roman" w:cs="Times New Roman"/>
                <w:sz w:val="16"/>
                <w:szCs w:val="16"/>
                <w:lang w:val="en-GB"/>
              </w:rPr>
              <w:t>Palmerston</w:t>
            </w:r>
            <w:proofErr w:type="spellEnd"/>
            <w:r w:rsidRPr="00881BDA">
              <w:rPr>
                <w:rFonts w:ascii="Times New Roman" w:hAnsi="Times New Roman" w:cs="Times New Roman"/>
                <w:sz w:val="16"/>
                <w:szCs w:val="16"/>
                <w:lang w:val="en-GB"/>
              </w:rPr>
              <w:t xml:space="preserve">  North </w:t>
            </w:r>
            <w:r w:rsidRPr="00881BDA">
              <w:rPr>
                <w:rFonts w:ascii="Times New Roman" w:hAnsi="Times New Roman" w:cs="Times New Roman"/>
                <w:sz w:val="16"/>
                <w:szCs w:val="16"/>
              </w:rPr>
              <w:t>urban area</w:t>
            </w:r>
            <w:r w:rsidRPr="00881BDA">
              <w:rPr>
                <w:rFonts w:ascii="Times New Roman" w:hAnsi="Times New Roman" w:cs="Times New Roman"/>
                <w:sz w:val="16"/>
                <w:szCs w:val="16"/>
                <w:lang w:val="en-GB"/>
              </w:rPr>
              <w:t xml:space="preserve">, New Plymouth </w:t>
            </w:r>
            <w:r w:rsidRPr="00881BDA">
              <w:rPr>
                <w:rFonts w:ascii="Times New Roman" w:hAnsi="Times New Roman" w:cs="Times New Roman"/>
                <w:sz w:val="16"/>
                <w:szCs w:val="16"/>
              </w:rPr>
              <w:t>urban area</w:t>
            </w:r>
            <w:r w:rsidRPr="00881BDA">
              <w:rPr>
                <w:rFonts w:ascii="Times New Roman" w:hAnsi="Times New Roman" w:cs="Times New Roman"/>
                <w:sz w:val="16"/>
                <w:szCs w:val="16"/>
                <w:lang w:val="en-GB"/>
              </w:rPr>
              <w:t xml:space="preserve">, </w:t>
            </w:r>
            <w:proofErr w:type="spellStart"/>
            <w:r w:rsidRPr="00881BDA">
              <w:rPr>
                <w:rFonts w:ascii="Times New Roman" w:hAnsi="Times New Roman" w:cs="Times New Roman"/>
                <w:sz w:val="16"/>
                <w:szCs w:val="16"/>
                <w:lang w:val="en-GB"/>
              </w:rPr>
              <w:t>Feilding</w:t>
            </w:r>
            <w:proofErr w:type="spellEnd"/>
            <w:r w:rsidRPr="00881BDA">
              <w:rPr>
                <w:rFonts w:ascii="Times New Roman" w:hAnsi="Times New Roman" w:cs="Times New Roman"/>
                <w:sz w:val="16"/>
                <w:szCs w:val="16"/>
                <w:lang w:val="en-GB"/>
              </w:rPr>
              <w:t xml:space="preserve"> </w:t>
            </w:r>
            <w:r w:rsidRPr="00881BDA">
              <w:rPr>
                <w:rFonts w:ascii="Times New Roman" w:hAnsi="Times New Roman" w:cs="Times New Roman"/>
                <w:sz w:val="16"/>
                <w:szCs w:val="16"/>
              </w:rPr>
              <w:t>urban area</w:t>
            </w:r>
            <w:r w:rsidRPr="00881BDA">
              <w:rPr>
                <w:rFonts w:ascii="Times New Roman" w:hAnsi="Times New Roman" w:cs="Times New Roman"/>
                <w:sz w:val="16"/>
                <w:szCs w:val="16"/>
                <w:lang w:val="en-GB"/>
              </w:rPr>
              <w:t xml:space="preserve">, </w:t>
            </w:r>
            <w:proofErr w:type="spellStart"/>
            <w:r w:rsidRPr="00881BDA">
              <w:rPr>
                <w:rFonts w:ascii="Times New Roman" w:hAnsi="Times New Roman" w:cs="Times New Roman"/>
                <w:sz w:val="16"/>
                <w:szCs w:val="16"/>
                <w:lang w:val="en-GB"/>
              </w:rPr>
              <w:t>Kapiti</w:t>
            </w:r>
            <w:proofErr w:type="spellEnd"/>
            <w:r w:rsidRPr="00881BDA">
              <w:rPr>
                <w:rFonts w:ascii="Times New Roman" w:hAnsi="Times New Roman" w:cs="Times New Roman"/>
                <w:sz w:val="16"/>
                <w:szCs w:val="16"/>
                <w:lang w:val="en-GB"/>
              </w:rPr>
              <w:t xml:space="preserve"> </w:t>
            </w:r>
            <w:r w:rsidRPr="00881BDA">
              <w:rPr>
                <w:rFonts w:ascii="Times New Roman" w:hAnsi="Times New Roman" w:cs="Times New Roman"/>
                <w:sz w:val="16"/>
                <w:szCs w:val="16"/>
              </w:rPr>
              <w:t>urban area</w:t>
            </w:r>
            <w:r w:rsidRPr="00881BDA">
              <w:rPr>
                <w:rFonts w:ascii="Times New Roman" w:hAnsi="Times New Roman" w:cs="Times New Roman"/>
                <w:sz w:val="16"/>
                <w:szCs w:val="16"/>
                <w:lang w:val="en-GB"/>
              </w:rPr>
              <w:t xml:space="preserve">, </w:t>
            </w:r>
            <w:proofErr w:type="spellStart"/>
            <w:r w:rsidRPr="00881BDA">
              <w:rPr>
                <w:rFonts w:ascii="Times New Roman" w:hAnsi="Times New Roman" w:cs="Times New Roman"/>
                <w:sz w:val="16"/>
                <w:szCs w:val="16"/>
                <w:lang w:val="en-GB"/>
              </w:rPr>
              <w:t>Otaki</w:t>
            </w:r>
            <w:proofErr w:type="spellEnd"/>
            <w:r w:rsidRPr="00881BDA">
              <w:rPr>
                <w:rFonts w:ascii="Times New Roman" w:hAnsi="Times New Roman" w:cs="Times New Roman"/>
                <w:sz w:val="16"/>
                <w:szCs w:val="16"/>
                <w:lang w:val="en-GB"/>
              </w:rPr>
              <w:t xml:space="preserve"> </w:t>
            </w:r>
            <w:r w:rsidRPr="00881BDA">
              <w:rPr>
                <w:rFonts w:ascii="Times New Roman" w:hAnsi="Times New Roman" w:cs="Times New Roman"/>
                <w:sz w:val="16"/>
                <w:szCs w:val="16"/>
              </w:rPr>
              <w:t xml:space="preserve">urban area, </w:t>
            </w:r>
            <w:r w:rsidRPr="00881BDA">
              <w:rPr>
                <w:rFonts w:ascii="Times New Roman" w:hAnsi="Times New Roman" w:cs="Times New Roman"/>
                <w:sz w:val="16"/>
                <w:szCs w:val="16"/>
                <w:lang w:val="en-GB"/>
              </w:rPr>
              <w:t xml:space="preserve">Upper Hutt urban zone, Lower Hutt urban zone, </w:t>
            </w:r>
            <w:proofErr w:type="spellStart"/>
            <w:r w:rsidRPr="00881BDA">
              <w:rPr>
                <w:rFonts w:ascii="Times New Roman" w:hAnsi="Times New Roman" w:cs="Times New Roman"/>
                <w:sz w:val="16"/>
                <w:szCs w:val="16"/>
                <w:lang w:val="en-GB"/>
              </w:rPr>
              <w:t>Porirua</w:t>
            </w:r>
            <w:proofErr w:type="spellEnd"/>
            <w:r w:rsidRPr="00881BDA">
              <w:rPr>
                <w:rFonts w:ascii="Times New Roman" w:hAnsi="Times New Roman" w:cs="Times New Roman"/>
                <w:sz w:val="16"/>
                <w:szCs w:val="16"/>
                <w:lang w:val="en-GB"/>
              </w:rPr>
              <w:t xml:space="preserve"> urban zone, Blenheim </w:t>
            </w:r>
            <w:r w:rsidRPr="00881BDA">
              <w:rPr>
                <w:rFonts w:ascii="Times New Roman" w:hAnsi="Times New Roman" w:cs="Times New Roman"/>
                <w:sz w:val="16"/>
                <w:szCs w:val="16"/>
              </w:rPr>
              <w:t>urban area</w:t>
            </w:r>
            <w:r w:rsidRPr="00881BDA">
              <w:rPr>
                <w:rFonts w:ascii="Times New Roman" w:hAnsi="Times New Roman" w:cs="Times New Roman"/>
                <w:sz w:val="16"/>
                <w:szCs w:val="16"/>
                <w:lang w:val="en-GB"/>
              </w:rPr>
              <w:t xml:space="preserve">, </w:t>
            </w:r>
            <w:proofErr w:type="spellStart"/>
            <w:r w:rsidRPr="00881BDA">
              <w:rPr>
                <w:rFonts w:ascii="Times New Roman" w:hAnsi="Times New Roman" w:cs="Times New Roman"/>
                <w:sz w:val="16"/>
                <w:szCs w:val="16"/>
                <w:lang w:val="en-GB"/>
              </w:rPr>
              <w:t>Motueka</w:t>
            </w:r>
            <w:proofErr w:type="spellEnd"/>
            <w:r w:rsidRPr="00881BDA">
              <w:rPr>
                <w:rFonts w:ascii="Times New Roman" w:hAnsi="Times New Roman" w:cs="Times New Roman"/>
                <w:sz w:val="16"/>
                <w:szCs w:val="16"/>
                <w:lang w:val="en-GB"/>
              </w:rPr>
              <w:t xml:space="preserve"> </w:t>
            </w:r>
            <w:r w:rsidRPr="00881BDA">
              <w:rPr>
                <w:rFonts w:ascii="Times New Roman" w:hAnsi="Times New Roman" w:cs="Times New Roman"/>
                <w:sz w:val="16"/>
                <w:szCs w:val="16"/>
              </w:rPr>
              <w:t>urban area</w:t>
            </w:r>
            <w:r w:rsidRPr="00881BDA">
              <w:rPr>
                <w:rFonts w:ascii="Times New Roman" w:hAnsi="Times New Roman" w:cs="Times New Roman"/>
                <w:sz w:val="16"/>
                <w:szCs w:val="16"/>
                <w:lang w:val="en-GB"/>
              </w:rPr>
              <w:t xml:space="preserve">, </w:t>
            </w:r>
            <w:proofErr w:type="spellStart"/>
            <w:r w:rsidRPr="00881BDA">
              <w:rPr>
                <w:rFonts w:ascii="Times New Roman" w:hAnsi="Times New Roman" w:cs="Times New Roman"/>
                <w:sz w:val="16"/>
                <w:szCs w:val="16"/>
                <w:lang w:val="en-GB"/>
              </w:rPr>
              <w:t>Takaka</w:t>
            </w:r>
            <w:proofErr w:type="spellEnd"/>
            <w:r w:rsidRPr="00881BDA">
              <w:rPr>
                <w:rFonts w:ascii="Times New Roman" w:hAnsi="Times New Roman" w:cs="Times New Roman"/>
                <w:sz w:val="16"/>
                <w:szCs w:val="16"/>
                <w:lang w:val="en-GB"/>
              </w:rPr>
              <w:t xml:space="preserve"> </w:t>
            </w:r>
            <w:r w:rsidRPr="00881BDA">
              <w:rPr>
                <w:rFonts w:ascii="Times New Roman" w:hAnsi="Times New Roman" w:cs="Times New Roman"/>
                <w:sz w:val="16"/>
                <w:szCs w:val="16"/>
              </w:rPr>
              <w:t xml:space="preserve">urban area, </w:t>
            </w:r>
            <w:proofErr w:type="spellStart"/>
            <w:r w:rsidRPr="00881BDA">
              <w:rPr>
                <w:rFonts w:ascii="Times New Roman" w:hAnsi="Times New Roman" w:cs="Times New Roman"/>
                <w:sz w:val="16"/>
                <w:szCs w:val="16"/>
                <w:lang w:val="en-GB"/>
              </w:rPr>
              <w:t>Hanmer</w:t>
            </w:r>
            <w:proofErr w:type="spellEnd"/>
            <w:r w:rsidRPr="00881BDA">
              <w:rPr>
                <w:rFonts w:ascii="Times New Roman" w:hAnsi="Times New Roman" w:cs="Times New Roman"/>
                <w:sz w:val="16"/>
                <w:szCs w:val="16"/>
                <w:lang w:val="en-GB"/>
              </w:rPr>
              <w:t xml:space="preserve"> Springs </w:t>
            </w:r>
            <w:r w:rsidRPr="00881BDA">
              <w:rPr>
                <w:rFonts w:ascii="Times New Roman" w:hAnsi="Times New Roman" w:cs="Times New Roman"/>
                <w:sz w:val="16"/>
                <w:szCs w:val="16"/>
              </w:rPr>
              <w:t>urban area</w:t>
            </w:r>
            <w:r w:rsidRPr="00881BDA">
              <w:rPr>
                <w:rFonts w:ascii="Times New Roman" w:hAnsi="Times New Roman" w:cs="Times New Roman"/>
                <w:sz w:val="16"/>
                <w:szCs w:val="16"/>
                <w:lang w:val="en-GB"/>
              </w:rPr>
              <w:t xml:space="preserve">, </w:t>
            </w:r>
            <w:proofErr w:type="spellStart"/>
            <w:r w:rsidRPr="00881BDA">
              <w:rPr>
                <w:rFonts w:ascii="Times New Roman" w:hAnsi="Times New Roman" w:cs="Times New Roman"/>
                <w:sz w:val="16"/>
                <w:szCs w:val="16"/>
                <w:lang w:val="en-GB"/>
              </w:rPr>
              <w:t>Woodend</w:t>
            </w:r>
            <w:proofErr w:type="spellEnd"/>
            <w:r w:rsidRPr="00881BDA">
              <w:rPr>
                <w:rFonts w:ascii="Times New Roman" w:hAnsi="Times New Roman" w:cs="Times New Roman"/>
                <w:sz w:val="16"/>
                <w:szCs w:val="16"/>
                <w:lang w:val="en-GB"/>
              </w:rPr>
              <w:t xml:space="preserve"> </w:t>
            </w:r>
            <w:r w:rsidRPr="00881BDA">
              <w:rPr>
                <w:rFonts w:ascii="Times New Roman" w:hAnsi="Times New Roman" w:cs="Times New Roman"/>
                <w:sz w:val="16"/>
                <w:szCs w:val="16"/>
              </w:rPr>
              <w:t>urban area</w:t>
            </w:r>
            <w:r w:rsidRPr="00881BDA">
              <w:rPr>
                <w:rFonts w:ascii="Times New Roman" w:hAnsi="Times New Roman" w:cs="Times New Roman"/>
                <w:sz w:val="16"/>
                <w:szCs w:val="16"/>
                <w:lang w:val="en-GB"/>
              </w:rPr>
              <w:t xml:space="preserve">, </w:t>
            </w:r>
            <w:proofErr w:type="spellStart"/>
            <w:r w:rsidRPr="00881BDA">
              <w:rPr>
                <w:rFonts w:ascii="Times New Roman" w:hAnsi="Times New Roman" w:cs="Times New Roman"/>
                <w:sz w:val="16"/>
                <w:szCs w:val="16"/>
                <w:lang w:val="en-GB"/>
              </w:rPr>
              <w:t>Rangiora</w:t>
            </w:r>
            <w:proofErr w:type="spellEnd"/>
            <w:r w:rsidRPr="00881BDA">
              <w:rPr>
                <w:rFonts w:ascii="Times New Roman" w:hAnsi="Times New Roman" w:cs="Times New Roman"/>
                <w:sz w:val="16"/>
                <w:szCs w:val="16"/>
                <w:lang w:val="en-GB"/>
              </w:rPr>
              <w:t xml:space="preserve"> </w:t>
            </w:r>
            <w:r w:rsidRPr="00881BDA">
              <w:rPr>
                <w:rFonts w:ascii="Times New Roman" w:hAnsi="Times New Roman" w:cs="Times New Roman"/>
                <w:sz w:val="16"/>
                <w:szCs w:val="16"/>
              </w:rPr>
              <w:t>urban area</w:t>
            </w:r>
            <w:r w:rsidRPr="00881BDA">
              <w:rPr>
                <w:rFonts w:ascii="Times New Roman" w:hAnsi="Times New Roman" w:cs="Times New Roman"/>
                <w:sz w:val="16"/>
                <w:szCs w:val="16"/>
                <w:lang w:val="en-GB"/>
              </w:rPr>
              <w:t xml:space="preserve">, Christchurch </w:t>
            </w:r>
            <w:r w:rsidRPr="00881BDA">
              <w:rPr>
                <w:rFonts w:ascii="Times New Roman" w:hAnsi="Times New Roman" w:cs="Times New Roman"/>
                <w:sz w:val="16"/>
                <w:szCs w:val="16"/>
              </w:rPr>
              <w:t xml:space="preserve">urban area </w:t>
            </w:r>
            <w:proofErr w:type="spellStart"/>
            <w:r w:rsidRPr="00881BDA">
              <w:rPr>
                <w:rFonts w:ascii="Times New Roman" w:hAnsi="Times New Roman" w:cs="Times New Roman"/>
                <w:sz w:val="16"/>
                <w:szCs w:val="16"/>
                <w:lang w:val="en-GB"/>
              </w:rPr>
              <w:t>Darfield</w:t>
            </w:r>
            <w:proofErr w:type="spellEnd"/>
            <w:r w:rsidRPr="00881BDA">
              <w:rPr>
                <w:rFonts w:ascii="Times New Roman" w:hAnsi="Times New Roman" w:cs="Times New Roman"/>
                <w:sz w:val="16"/>
                <w:szCs w:val="16"/>
                <w:lang w:val="en-GB"/>
              </w:rPr>
              <w:t xml:space="preserve"> </w:t>
            </w:r>
            <w:r w:rsidRPr="00881BDA">
              <w:rPr>
                <w:rFonts w:ascii="Times New Roman" w:hAnsi="Times New Roman" w:cs="Times New Roman"/>
                <w:sz w:val="16"/>
                <w:szCs w:val="16"/>
              </w:rPr>
              <w:t>urban area</w:t>
            </w:r>
            <w:r w:rsidRPr="00881BDA">
              <w:rPr>
                <w:rFonts w:ascii="Times New Roman" w:hAnsi="Times New Roman" w:cs="Times New Roman"/>
                <w:sz w:val="16"/>
                <w:szCs w:val="16"/>
                <w:lang w:val="en-GB"/>
              </w:rPr>
              <w:t xml:space="preserve">, Lincoln </w:t>
            </w:r>
            <w:r w:rsidRPr="00881BDA">
              <w:rPr>
                <w:rFonts w:ascii="Times New Roman" w:hAnsi="Times New Roman" w:cs="Times New Roman"/>
                <w:sz w:val="16"/>
                <w:szCs w:val="16"/>
              </w:rPr>
              <w:t>urban area</w:t>
            </w:r>
            <w:r w:rsidRPr="00881BDA">
              <w:rPr>
                <w:rFonts w:ascii="Times New Roman" w:hAnsi="Times New Roman" w:cs="Times New Roman"/>
                <w:sz w:val="16"/>
                <w:szCs w:val="16"/>
                <w:lang w:val="en-GB"/>
              </w:rPr>
              <w:t xml:space="preserve">, </w:t>
            </w:r>
            <w:proofErr w:type="spellStart"/>
            <w:r w:rsidRPr="00881BDA">
              <w:rPr>
                <w:rFonts w:ascii="Times New Roman" w:hAnsi="Times New Roman" w:cs="Times New Roman"/>
                <w:sz w:val="16"/>
                <w:szCs w:val="16"/>
                <w:lang w:val="en-GB"/>
              </w:rPr>
              <w:t>Leeston</w:t>
            </w:r>
            <w:proofErr w:type="spellEnd"/>
            <w:r w:rsidRPr="00881BDA">
              <w:rPr>
                <w:rFonts w:ascii="Times New Roman" w:hAnsi="Times New Roman" w:cs="Times New Roman"/>
                <w:sz w:val="16"/>
                <w:szCs w:val="16"/>
                <w:lang w:val="en-GB"/>
              </w:rPr>
              <w:t xml:space="preserve"> </w:t>
            </w:r>
            <w:r w:rsidRPr="00881BDA">
              <w:rPr>
                <w:rFonts w:ascii="Times New Roman" w:hAnsi="Times New Roman" w:cs="Times New Roman"/>
                <w:sz w:val="16"/>
                <w:szCs w:val="16"/>
              </w:rPr>
              <w:t>urban area</w:t>
            </w:r>
            <w:r w:rsidRPr="00881BDA">
              <w:rPr>
                <w:rFonts w:ascii="Times New Roman" w:hAnsi="Times New Roman" w:cs="Times New Roman"/>
                <w:sz w:val="16"/>
                <w:szCs w:val="16"/>
                <w:lang w:val="en-GB"/>
              </w:rPr>
              <w:t xml:space="preserve">, Rolleston </w:t>
            </w:r>
            <w:r w:rsidRPr="00881BDA">
              <w:rPr>
                <w:rFonts w:ascii="Times New Roman" w:hAnsi="Times New Roman" w:cs="Times New Roman"/>
                <w:sz w:val="16"/>
                <w:szCs w:val="16"/>
              </w:rPr>
              <w:t>urban area</w:t>
            </w:r>
            <w:r w:rsidRPr="00881BDA">
              <w:rPr>
                <w:rFonts w:ascii="Times New Roman" w:hAnsi="Times New Roman" w:cs="Times New Roman"/>
                <w:sz w:val="16"/>
                <w:szCs w:val="16"/>
                <w:lang w:val="en-GB"/>
              </w:rPr>
              <w:t xml:space="preserve">, Dunedin </w:t>
            </w:r>
            <w:r w:rsidRPr="00881BDA">
              <w:rPr>
                <w:rFonts w:ascii="Times New Roman" w:hAnsi="Times New Roman" w:cs="Times New Roman"/>
                <w:sz w:val="16"/>
                <w:szCs w:val="16"/>
              </w:rPr>
              <w:t>urban area</w:t>
            </w:r>
            <w:r w:rsidRPr="00881BDA">
              <w:rPr>
                <w:rFonts w:ascii="Times New Roman" w:hAnsi="Times New Roman" w:cs="Times New Roman"/>
                <w:sz w:val="16"/>
                <w:szCs w:val="16"/>
                <w:lang w:val="en-GB"/>
              </w:rPr>
              <w:t xml:space="preserve">, Alexandra </w:t>
            </w:r>
            <w:r w:rsidRPr="00881BDA">
              <w:rPr>
                <w:rFonts w:ascii="Times New Roman" w:hAnsi="Times New Roman" w:cs="Times New Roman"/>
                <w:sz w:val="16"/>
                <w:szCs w:val="16"/>
              </w:rPr>
              <w:t>urban area</w:t>
            </w:r>
            <w:r w:rsidRPr="00881BDA">
              <w:rPr>
                <w:rFonts w:ascii="Times New Roman" w:hAnsi="Times New Roman" w:cs="Times New Roman"/>
                <w:sz w:val="16"/>
                <w:szCs w:val="16"/>
                <w:lang w:val="en-GB"/>
              </w:rPr>
              <w:t xml:space="preserve">, Cromwell </w:t>
            </w:r>
            <w:r w:rsidRPr="00881BDA">
              <w:rPr>
                <w:rFonts w:ascii="Times New Roman" w:hAnsi="Times New Roman" w:cs="Times New Roman"/>
                <w:sz w:val="16"/>
                <w:szCs w:val="16"/>
              </w:rPr>
              <w:t xml:space="preserve">urban area, </w:t>
            </w:r>
            <w:proofErr w:type="spellStart"/>
            <w:r w:rsidRPr="00881BDA">
              <w:rPr>
                <w:rFonts w:ascii="Times New Roman" w:hAnsi="Times New Roman" w:cs="Times New Roman"/>
                <w:sz w:val="16"/>
                <w:szCs w:val="16"/>
                <w:lang w:val="en-GB"/>
              </w:rPr>
              <w:t>Nabhra</w:t>
            </w:r>
            <w:proofErr w:type="spellEnd"/>
            <w:r w:rsidRPr="00881BDA">
              <w:rPr>
                <w:rFonts w:ascii="Times New Roman" w:hAnsi="Times New Roman" w:cs="Times New Roman"/>
                <w:sz w:val="16"/>
                <w:szCs w:val="16"/>
                <w:lang w:val="en-GB"/>
              </w:rPr>
              <w:t xml:space="preserve"> area unit, </w:t>
            </w:r>
            <w:proofErr w:type="spellStart"/>
            <w:r w:rsidRPr="00881BDA">
              <w:rPr>
                <w:rFonts w:ascii="Times New Roman" w:hAnsi="Times New Roman" w:cs="Times New Roman"/>
                <w:sz w:val="16"/>
                <w:szCs w:val="16"/>
                <w:lang w:val="en-GB"/>
              </w:rPr>
              <w:t>Pencarrow</w:t>
            </w:r>
            <w:proofErr w:type="spellEnd"/>
            <w:r w:rsidRPr="00881BDA">
              <w:rPr>
                <w:rFonts w:ascii="Times New Roman" w:hAnsi="Times New Roman" w:cs="Times New Roman"/>
                <w:sz w:val="16"/>
                <w:szCs w:val="16"/>
                <w:lang w:val="en-GB"/>
              </w:rPr>
              <w:t xml:space="preserve"> area unit, </w:t>
            </w:r>
            <w:proofErr w:type="spellStart"/>
            <w:r w:rsidRPr="00881BDA">
              <w:rPr>
                <w:rFonts w:ascii="Times New Roman" w:hAnsi="Times New Roman" w:cs="Times New Roman"/>
                <w:sz w:val="16"/>
                <w:szCs w:val="16"/>
                <w:lang w:val="en-GB"/>
              </w:rPr>
              <w:t>Kapiti</w:t>
            </w:r>
            <w:proofErr w:type="spellEnd"/>
            <w:r w:rsidRPr="00881BDA">
              <w:rPr>
                <w:rFonts w:ascii="Times New Roman" w:hAnsi="Times New Roman" w:cs="Times New Roman"/>
                <w:sz w:val="16"/>
                <w:szCs w:val="16"/>
                <w:lang w:val="en-GB"/>
              </w:rPr>
              <w:t xml:space="preserve"> Island area unit, </w:t>
            </w:r>
            <w:proofErr w:type="spellStart"/>
            <w:r w:rsidRPr="00881BDA">
              <w:rPr>
                <w:rFonts w:ascii="Times New Roman" w:hAnsi="Times New Roman" w:cs="Times New Roman"/>
                <w:sz w:val="16"/>
                <w:szCs w:val="16"/>
                <w:lang w:val="en-GB"/>
              </w:rPr>
              <w:t>Maungakotukutuku</w:t>
            </w:r>
            <w:proofErr w:type="spellEnd"/>
            <w:r w:rsidRPr="00881BDA">
              <w:rPr>
                <w:rFonts w:ascii="Times New Roman" w:hAnsi="Times New Roman" w:cs="Times New Roman"/>
                <w:sz w:val="16"/>
                <w:szCs w:val="16"/>
                <w:lang w:val="en-GB"/>
              </w:rPr>
              <w:t xml:space="preserve"> area unit, </w:t>
            </w:r>
            <w:proofErr w:type="spellStart"/>
            <w:r w:rsidRPr="00881BDA">
              <w:rPr>
                <w:rFonts w:ascii="Times New Roman" w:hAnsi="Times New Roman" w:cs="Times New Roman"/>
                <w:sz w:val="16"/>
                <w:szCs w:val="16"/>
                <w:lang w:val="en-GB"/>
              </w:rPr>
              <w:t>Cloustonville</w:t>
            </w:r>
            <w:proofErr w:type="spellEnd"/>
            <w:r w:rsidRPr="00881BDA">
              <w:rPr>
                <w:rFonts w:ascii="Times New Roman" w:hAnsi="Times New Roman" w:cs="Times New Roman"/>
                <w:sz w:val="16"/>
                <w:szCs w:val="16"/>
                <w:lang w:val="en-GB"/>
              </w:rPr>
              <w:t xml:space="preserve"> area unit, </w:t>
            </w:r>
            <w:proofErr w:type="spellStart"/>
            <w:r w:rsidRPr="00881BDA">
              <w:rPr>
                <w:rFonts w:ascii="Times New Roman" w:hAnsi="Times New Roman" w:cs="Times New Roman"/>
                <w:sz w:val="16"/>
                <w:szCs w:val="16"/>
                <w:lang w:val="en-GB"/>
              </w:rPr>
              <w:t>Mangaroa</w:t>
            </w:r>
            <w:proofErr w:type="spellEnd"/>
            <w:r w:rsidRPr="00881BDA">
              <w:rPr>
                <w:rFonts w:ascii="Times New Roman" w:hAnsi="Times New Roman" w:cs="Times New Roman"/>
                <w:sz w:val="16"/>
                <w:szCs w:val="16"/>
                <w:lang w:val="en-GB"/>
              </w:rPr>
              <w:t xml:space="preserve"> area unit, </w:t>
            </w:r>
            <w:proofErr w:type="spellStart"/>
            <w:r w:rsidRPr="00881BDA">
              <w:rPr>
                <w:rFonts w:ascii="Times New Roman" w:hAnsi="Times New Roman" w:cs="Times New Roman"/>
                <w:sz w:val="16"/>
                <w:szCs w:val="16"/>
                <w:lang w:val="en-GB"/>
              </w:rPr>
              <w:t>Mana</w:t>
            </w:r>
            <w:proofErr w:type="spellEnd"/>
            <w:r w:rsidRPr="00881BDA">
              <w:rPr>
                <w:rFonts w:ascii="Times New Roman" w:hAnsi="Times New Roman" w:cs="Times New Roman"/>
                <w:sz w:val="16"/>
                <w:szCs w:val="16"/>
                <w:lang w:val="en-GB"/>
              </w:rPr>
              <w:t xml:space="preserve"> Island area unit, </w:t>
            </w:r>
            <w:proofErr w:type="spellStart"/>
            <w:r w:rsidRPr="00881BDA">
              <w:rPr>
                <w:rFonts w:ascii="Times New Roman" w:hAnsi="Times New Roman" w:cs="Times New Roman"/>
                <w:sz w:val="16"/>
                <w:szCs w:val="16"/>
                <w:lang w:val="en-GB"/>
              </w:rPr>
              <w:t>Makara-Ohariu</w:t>
            </w:r>
            <w:proofErr w:type="spellEnd"/>
            <w:r w:rsidRPr="00881BDA">
              <w:rPr>
                <w:rFonts w:ascii="Times New Roman" w:hAnsi="Times New Roman" w:cs="Times New Roman"/>
                <w:sz w:val="16"/>
                <w:szCs w:val="16"/>
                <w:lang w:val="en-GB"/>
              </w:rPr>
              <w:t xml:space="preserve"> area unit</w:t>
            </w:r>
            <w:r w:rsidRPr="00881BDA">
              <w:rPr>
                <w:rFonts w:ascii="Times New Roman" w:hAnsi="Times New Roman" w:cs="Times New Roman"/>
                <w:sz w:val="16"/>
                <w:szCs w:val="16"/>
              </w:rPr>
              <w:t xml:space="preserve">, </w:t>
            </w:r>
            <w:proofErr w:type="spellStart"/>
            <w:r w:rsidRPr="00881BDA">
              <w:rPr>
                <w:rFonts w:ascii="Times New Roman" w:hAnsi="Times New Roman" w:cs="Times New Roman"/>
                <w:sz w:val="16"/>
                <w:szCs w:val="16"/>
                <w:lang w:val="en-GB"/>
              </w:rPr>
              <w:t>Opiki</w:t>
            </w:r>
            <w:proofErr w:type="spellEnd"/>
            <w:r w:rsidRPr="00881BDA">
              <w:rPr>
                <w:rFonts w:ascii="Times New Roman" w:hAnsi="Times New Roman" w:cs="Times New Roman"/>
                <w:sz w:val="16"/>
                <w:szCs w:val="16"/>
                <w:lang w:val="en-GB"/>
              </w:rPr>
              <w:t xml:space="preserve"> area unit, </w:t>
            </w:r>
            <w:proofErr w:type="spellStart"/>
            <w:r w:rsidRPr="00881BDA">
              <w:rPr>
                <w:rFonts w:ascii="Times New Roman" w:hAnsi="Times New Roman" w:cs="Times New Roman"/>
                <w:sz w:val="16"/>
                <w:szCs w:val="16"/>
                <w:lang w:val="en-GB"/>
              </w:rPr>
              <w:t>Tokomaru</w:t>
            </w:r>
            <w:proofErr w:type="spellEnd"/>
            <w:r w:rsidRPr="00881BDA">
              <w:rPr>
                <w:rFonts w:ascii="Times New Roman" w:hAnsi="Times New Roman" w:cs="Times New Roman"/>
                <w:sz w:val="16"/>
                <w:szCs w:val="16"/>
                <w:lang w:val="en-GB"/>
              </w:rPr>
              <w:t xml:space="preserve"> area unit, </w:t>
            </w:r>
            <w:proofErr w:type="spellStart"/>
            <w:r w:rsidRPr="00881BDA">
              <w:rPr>
                <w:rFonts w:ascii="Times New Roman" w:hAnsi="Times New Roman" w:cs="Times New Roman"/>
                <w:sz w:val="16"/>
                <w:szCs w:val="16"/>
                <w:lang w:val="en-GB"/>
              </w:rPr>
              <w:t>Paekakariki</w:t>
            </w:r>
            <w:proofErr w:type="spellEnd"/>
            <w:r w:rsidRPr="00881BDA">
              <w:rPr>
                <w:rFonts w:ascii="Times New Roman" w:hAnsi="Times New Roman" w:cs="Times New Roman"/>
                <w:sz w:val="16"/>
                <w:szCs w:val="16"/>
                <w:lang w:val="en-GB"/>
              </w:rPr>
              <w:t xml:space="preserve"> Hill area unit.</w:t>
            </w:r>
          </w:p>
        </w:tc>
      </w:tr>
      <w:tr w:rsidR="00EF7E34" w:rsidRPr="00EF7E34" w:rsidTr="00EF7E34">
        <w:tc>
          <w:tcPr>
            <w:tcW w:w="8856" w:type="dxa"/>
            <w:tcBorders>
              <w:top w:val="single" w:sz="4" w:space="0" w:color="auto"/>
              <w:bottom w:val="single" w:sz="4" w:space="0" w:color="auto"/>
            </w:tcBorders>
            <w:shd w:val="clear" w:color="auto" w:fill="99CCCC"/>
          </w:tcPr>
          <w:p w:rsidR="00EF7E34" w:rsidRPr="00881BDA" w:rsidRDefault="00EF7E34" w:rsidP="00EF7E34">
            <w:pPr>
              <w:spacing w:after="0" w:line="240" w:lineRule="auto"/>
              <w:jc w:val="both"/>
              <w:rPr>
                <w:rFonts w:ascii="Times New Roman" w:hAnsi="Times New Roman" w:cs="Times New Roman"/>
                <w:sz w:val="16"/>
                <w:szCs w:val="16"/>
              </w:rPr>
            </w:pPr>
            <w:r w:rsidRPr="00881BDA">
              <w:rPr>
                <w:rFonts w:ascii="Times New Roman" w:hAnsi="Times New Roman" w:cs="Times New Roman"/>
                <w:b/>
                <w:sz w:val="16"/>
                <w:szCs w:val="16"/>
              </w:rPr>
              <w:t>Area 4</w:t>
            </w:r>
          </w:p>
        </w:tc>
      </w:tr>
      <w:tr w:rsidR="00EF7E34" w:rsidRPr="00EF7E34" w:rsidTr="00EF7E34">
        <w:tc>
          <w:tcPr>
            <w:tcW w:w="8856" w:type="dxa"/>
            <w:tcBorders>
              <w:top w:val="single" w:sz="4" w:space="0" w:color="auto"/>
              <w:bottom w:val="single" w:sz="4" w:space="0" w:color="auto"/>
            </w:tcBorders>
            <w:shd w:val="clear" w:color="auto" w:fill="auto"/>
          </w:tcPr>
          <w:p w:rsidR="00EF7E34" w:rsidRPr="00881BDA" w:rsidRDefault="00EF7E34" w:rsidP="00EF7E34">
            <w:pPr>
              <w:spacing w:after="0" w:line="240" w:lineRule="auto"/>
              <w:jc w:val="both"/>
              <w:rPr>
                <w:rFonts w:ascii="Times New Roman" w:hAnsi="Times New Roman" w:cs="Times New Roman"/>
                <w:sz w:val="16"/>
                <w:szCs w:val="16"/>
              </w:rPr>
            </w:pPr>
            <w:r w:rsidRPr="00881BDA">
              <w:rPr>
                <w:rFonts w:ascii="Times New Roman" w:hAnsi="Times New Roman" w:cs="Times New Roman"/>
                <w:sz w:val="16"/>
                <w:szCs w:val="16"/>
              </w:rPr>
              <w:t>Any part of New Zealand not included in Area 1, Area 2 or Area 3.</w:t>
            </w:r>
          </w:p>
        </w:tc>
      </w:tr>
    </w:tbl>
    <w:p w:rsidR="00EF7E34" w:rsidRPr="00BF4362" w:rsidRDefault="00EF7E34" w:rsidP="007D67E1">
      <w:pPr>
        <w:spacing w:after="0" w:line="240" w:lineRule="auto"/>
        <w:jc w:val="both"/>
        <w:rPr>
          <w:rFonts w:ascii="Times New Roman" w:hAnsi="Times New Roman" w:cs="Times New Roman"/>
          <w:sz w:val="24"/>
          <w:szCs w:val="24"/>
        </w:rPr>
      </w:pPr>
    </w:p>
    <w:sectPr w:rsidR="00EF7E34" w:rsidRPr="00BF4362" w:rsidSect="00B64E4C">
      <w:headerReference w:type="default" r:id="rId17"/>
      <w:head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66F" w:rsidRDefault="0096366F" w:rsidP="00927BDD">
      <w:pPr>
        <w:spacing w:after="0" w:line="240" w:lineRule="auto"/>
      </w:pPr>
      <w:r>
        <w:separator/>
      </w:r>
    </w:p>
  </w:endnote>
  <w:endnote w:type="continuationSeparator" w:id="0">
    <w:p w:rsidR="0096366F" w:rsidRDefault="0096366F" w:rsidP="00927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66F" w:rsidRDefault="0096366F" w:rsidP="00CC3977">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66F" w:rsidRDefault="0096366F" w:rsidP="00CC397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66F" w:rsidRDefault="0096366F" w:rsidP="00927BDD">
      <w:pPr>
        <w:spacing w:after="0" w:line="240" w:lineRule="auto"/>
      </w:pPr>
      <w:r>
        <w:separator/>
      </w:r>
    </w:p>
  </w:footnote>
  <w:footnote w:type="continuationSeparator" w:id="0">
    <w:p w:rsidR="0096366F" w:rsidRDefault="0096366F" w:rsidP="00927BDD">
      <w:pPr>
        <w:spacing w:after="0" w:line="240" w:lineRule="auto"/>
      </w:pPr>
      <w:r>
        <w:continuationSeparator/>
      </w:r>
    </w:p>
  </w:footnote>
  <w:footnote w:id="1">
    <w:p w:rsidR="0096366F" w:rsidRPr="00B800AC" w:rsidRDefault="0096366F" w:rsidP="0050068E">
      <w:pPr>
        <w:pStyle w:val="FootnoteText"/>
        <w:jc w:val="both"/>
        <w:rPr>
          <w:rFonts w:ascii="Times New Roman" w:hAnsi="Times New Roman" w:cs="Times New Roman"/>
          <w:sz w:val="16"/>
          <w:szCs w:val="16"/>
        </w:rPr>
      </w:pPr>
      <w:r w:rsidRPr="00B800AC">
        <w:rPr>
          <w:rStyle w:val="FootnoteReference"/>
          <w:rFonts w:ascii="Times New Roman" w:hAnsi="Times New Roman" w:cs="Times New Roman"/>
        </w:rPr>
        <w:footnoteRef/>
      </w:r>
      <w:r w:rsidRPr="00B800AC">
        <w:rPr>
          <w:rFonts w:ascii="Times New Roman" w:hAnsi="Times New Roman" w:cs="Times New Roman"/>
        </w:rPr>
        <w:t xml:space="preserve"> </w:t>
      </w:r>
      <w:r>
        <w:rPr>
          <w:rFonts w:ascii="Times New Roman" w:hAnsi="Times New Roman" w:cs="Times New Roman"/>
        </w:rPr>
        <w:t xml:space="preserve"> </w:t>
      </w:r>
      <w:r w:rsidRPr="00B800AC">
        <w:rPr>
          <w:rFonts w:ascii="Times New Roman" w:hAnsi="Times New Roman" w:cs="Times New Roman"/>
          <w:sz w:val="16"/>
          <w:szCs w:val="16"/>
        </w:rPr>
        <w:t>Affected providers have advised the Ministry of Business Innovation and Employment th</w:t>
      </w:r>
      <w:r>
        <w:rPr>
          <w:rFonts w:ascii="Times New Roman" w:hAnsi="Times New Roman" w:cs="Times New Roman"/>
          <w:sz w:val="16"/>
          <w:szCs w:val="16"/>
        </w:rPr>
        <w:t>at they work with families with</w:t>
      </w:r>
      <w:r w:rsidRPr="00B800AC">
        <w:rPr>
          <w:rFonts w:ascii="Times New Roman" w:hAnsi="Times New Roman" w:cs="Times New Roman"/>
          <w:sz w:val="16"/>
          <w:szCs w:val="16"/>
        </w:rPr>
        <w:t xml:space="preserve"> an income</w:t>
      </w:r>
      <w:r w:rsidRPr="00755A54">
        <w:rPr>
          <w:sz w:val="16"/>
          <w:szCs w:val="16"/>
        </w:rPr>
        <w:t xml:space="preserve"> </w:t>
      </w:r>
      <w:r w:rsidRPr="00B800AC">
        <w:rPr>
          <w:rFonts w:ascii="Times New Roman" w:hAnsi="Times New Roman" w:cs="Times New Roman"/>
          <w:sz w:val="16"/>
          <w:szCs w:val="16"/>
        </w:rPr>
        <w:t xml:space="preserve">range (based on gross household income) </w:t>
      </w:r>
      <w:r>
        <w:rPr>
          <w:rFonts w:ascii="Times New Roman" w:hAnsi="Times New Roman" w:cs="Times New Roman"/>
          <w:sz w:val="16"/>
          <w:szCs w:val="16"/>
        </w:rPr>
        <w:t xml:space="preserve">of </w:t>
      </w:r>
      <w:r w:rsidRPr="00B800AC">
        <w:rPr>
          <w:rFonts w:ascii="Times New Roman" w:hAnsi="Times New Roman" w:cs="Times New Roman"/>
          <w:sz w:val="16"/>
          <w:szCs w:val="16"/>
        </w:rPr>
        <w:t>anywhere between $50,000 and $95,000, depending on household size and circumstances.  However, the impact of Working for Family tax credits, other tax credits and Government assistance that the banks recognise as income</w:t>
      </w:r>
      <w:r>
        <w:rPr>
          <w:rFonts w:ascii="Times New Roman" w:hAnsi="Times New Roman" w:cs="Times New Roman"/>
          <w:sz w:val="16"/>
          <w:szCs w:val="16"/>
        </w:rPr>
        <w:t>,</w:t>
      </w:r>
      <w:r w:rsidRPr="00B800AC">
        <w:rPr>
          <w:rFonts w:ascii="Times New Roman" w:hAnsi="Times New Roman" w:cs="Times New Roman"/>
          <w:sz w:val="16"/>
          <w:szCs w:val="16"/>
        </w:rPr>
        <w:t xml:space="preserve"> can mean that large families earn above this. </w:t>
      </w:r>
    </w:p>
  </w:footnote>
  <w:footnote w:id="2">
    <w:p w:rsidR="0096366F" w:rsidRPr="00D035CC" w:rsidRDefault="0096366F" w:rsidP="00D035CC">
      <w:pPr>
        <w:pStyle w:val="FootnoteText"/>
        <w:jc w:val="both"/>
        <w:rPr>
          <w:rFonts w:ascii="Times New Roman" w:hAnsi="Times New Roman" w:cs="Times New Roman"/>
          <w:sz w:val="16"/>
          <w:szCs w:val="16"/>
        </w:rPr>
      </w:pPr>
      <w:r w:rsidRPr="00B800AC">
        <w:rPr>
          <w:rStyle w:val="FootnoteReference"/>
          <w:rFonts w:ascii="Times New Roman" w:hAnsi="Times New Roman" w:cs="Times New Roman"/>
          <w:sz w:val="16"/>
          <w:szCs w:val="16"/>
        </w:rPr>
        <w:footnoteRef/>
      </w:r>
      <w:r w:rsidRPr="00B800AC">
        <w:rPr>
          <w:rFonts w:ascii="Times New Roman" w:hAnsi="Times New Roman" w:cs="Times New Roman"/>
          <w:sz w:val="16"/>
          <w:szCs w:val="16"/>
        </w:rPr>
        <w:t xml:space="preserve">  We note also that other options were considered such as using median household income levels but these options lacked a robust basis</w:t>
      </w:r>
      <w:r w:rsidRPr="00D035CC">
        <w:rPr>
          <w:rFonts w:ascii="Times New Roman" w:hAnsi="Times New Roman" w:cs="Times New Roman"/>
          <w:sz w:val="16"/>
          <w:szCs w:val="16"/>
        </w:rPr>
        <w:t xml:space="preserve"> and did not relate well to the other government housing programmes such as the accommodation supplement or the KiwiSaver HomeStart.</w:t>
      </w:r>
    </w:p>
  </w:footnote>
  <w:footnote w:id="3">
    <w:p w:rsidR="0096366F" w:rsidRPr="00F74AE9" w:rsidRDefault="0096366F" w:rsidP="00FF449F">
      <w:pPr>
        <w:pStyle w:val="FootnoteText"/>
        <w:jc w:val="both"/>
        <w:rPr>
          <w:rFonts w:ascii="Times New Roman" w:hAnsi="Times New Roman" w:cs="Times New Roman"/>
          <w:sz w:val="18"/>
          <w:lang w:val="mi-NZ"/>
        </w:rPr>
      </w:pPr>
      <w:r w:rsidRPr="00F74AE9">
        <w:rPr>
          <w:rStyle w:val="FootnoteReference"/>
          <w:rFonts w:ascii="Times New Roman" w:hAnsi="Times New Roman" w:cs="Times New Roman"/>
          <w:sz w:val="18"/>
        </w:rPr>
        <w:footnoteRef/>
      </w:r>
      <w:r w:rsidRPr="00F74AE9">
        <w:rPr>
          <w:rFonts w:ascii="Times New Roman" w:hAnsi="Times New Roman" w:cs="Times New Roman"/>
          <w:sz w:val="18"/>
        </w:rPr>
        <w:t xml:space="preserve"> </w:t>
      </w:r>
      <w:r w:rsidRPr="00F74AE9">
        <w:rPr>
          <w:rFonts w:ascii="Times New Roman" w:hAnsi="Times New Roman" w:cs="Times New Roman"/>
          <w:sz w:val="18"/>
          <w:lang w:val="mi-NZ"/>
        </w:rPr>
        <w:t xml:space="preserve"> </w:t>
      </w:r>
      <w:r w:rsidRPr="00F74AE9">
        <w:rPr>
          <w:rFonts w:ascii="Times New Roman" w:hAnsi="Times New Roman" w:cs="Times New Roman"/>
          <w:sz w:val="18"/>
        </w:rPr>
        <w:t xml:space="preserve">For example, a large household comprised of two adults and six children may have a gross household income of $105,000, including Working for Families and other tax credits, but they face the same barriers to accessing affordable housing as a smaller-sized household, particularly in less affordable markets such as Auckland.  This family would still remain within this income threshold, and not threaten the provider’s income tax exemption or </w:t>
      </w:r>
      <w:proofErr w:type="spellStart"/>
      <w:r w:rsidRPr="00F74AE9">
        <w:rPr>
          <w:rFonts w:ascii="Times New Roman" w:hAnsi="Times New Roman" w:cs="Times New Roman"/>
          <w:sz w:val="18"/>
        </w:rPr>
        <w:t>donee</w:t>
      </w:r>
      <w:proofErr w:type="spellEnd"/>
      <w:r w:rsidRPr="00F74AE9">
        <w:rPr>
          <w:rFonts w:ascii="Times New Roman" w:hAnsi="Times New Roman" w:cs="Times New Roman"/>
          <w:sz w:val="18"/>
        </w:rPr>
        <w:t xml:space="preserve"> status.</w:t>
      </w:r>
    </w:p>
  </w:footnote>
  <w:footnote w:id="4">
    <w:p w:rsidR="0096366F" w:rsidRPr="00B95B1F" w:rsidRDefault="0096366F" w:rsidP="00B95B1F">
      <w:pPr>
        <w:pStyle w:val="FootnoteText"/>
        <w:jc w:val="both"/>
        <w:rPr>
          <w:rFonts w:ascii="Times New Roman" w:hAnsi="Times New Roman" w:cs="Times New Roman"/>
          <w:sz w:val="16"/>
          <w:szCs w:val="24"/>
        </w:rPr>
      </w:pPr>
      <w:r w:rsidRPr="00B95B1F">
        <w:rPr>
          <w:rFonts w:ascii="Times New Roman" w:hAnsi="Times New Roman" w:cs="Times New Roman"/>
          <w:sz w:val="16"/>
          <w:szCs w:val="24"/>
        </w:rPr>
        <w:footnoteRef/>
      </w:r>
      <w:r w:rsidRPr="00B95B1F">
        <w:rPr>
          <w:rFonts w:ascii="Times New Roman" w:hAnsi="Times New Roman" w:cs="Times New Roman"/>
          <w:sz w:val="16"/>
          <w:szCs w:val="24"/>
        </w:rPr>
        <w:t xml:space="preserve"> Realisable assets (as defined by HNZC) are: money in bank accounts (including fixed and term deposits); shares, stocks and bonds; investments in banks or financial institutions; any money paid to, or held by, the real estate agent or solicitor as a deposit on a home; boat or caravan (if the value is over $5,000); other vehicles (such as classic motorbikes or cars – not being used as your usual method of transport); and other assets valued over $5,000.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98945"/>
      <w:docPartObj>
        <w:docPartGallery w:val="Page Numbers (Top of Page)"/>
        <w:docPartUnique/>
      </w:docPartObj>
    </w:sdtPr>
    <w:sdtEndPr>
      <w:rPr>
        <w:rFonts w:ascii="Times New Roman" w:hAnsi="Times New Roman" w:cs="Times New Roman"/>
        <w:noProof/>
        <w:sz w:val="24"/>
        <w:szCs w:val="24"/>
      </w:rPr>
    </w:sdtEndPr>
    <w:sdtContent>
      <w:p w:rsidR="0096366F" w:rsidRDefault="0096366F" w:rsidP="0050068E">
        <w:pPr>
          <w:pStyle w:val="Header"/>
          <w:jc w:val="center"/>
          <w:rPr>
            <w:rFonts w:ascii="Times New Roman" w:hAnsi="Times New Roman" w:cs="Times New Roman"/>
            <w:sz w:val="24"/>
            <w:szCs w:val="24"/>
          </w:rPr>
        </w:pPr>
        <w:r w:rsidRPr="00EA5A52">
          <w:rPr>
            <w:rFonts w:ascii="Times New Roman" w:hAnsi="Times New Roman" w:cs="Times New Roman"/>
            <w:sz w:val="24"/>
            <w:szCs w:val="24"/>
          </w:rPr>
          <w:fldChar w:fldCharType="begin"/>
        </w:r>
        <w:r w:rsidRPr="00EA5A52">
          <w:rPr>
            <w:rFonts w:ascii="Times New Roman" w:hAnsi="Times New Roman" w:cs="Times New Roman"/>
            <w:sz w:val="24"/>
            <w:szCs w:val="24"/>
          </w:rPr>
          <w:instrText xml:space="preserve"> PAGE   \* MERGEFORMAT </w:instrText>
        </w:r>
        <w:r w:rsidRPr="00EA5A52">
          <w:rPr>
            <w:rFonts w:ascii="Times New Roman" w:hAnsi="Times New Roman" w:cs="Times New Roman"/>
            <w:sz w:val="24"/>
            <w:szCs w:val="24"/>
          </w:rPr>
          <w:fldChar w:fldCharType="separate"/>
        </w:r>
        <w:r w:rsidR="00444E4D">
          <w:rPr>
            <w:rFonts w:ascii="Times New Roman" w:hAnsi="Times New Roman" w:cs="Times New Roman"/>
            <w:noProof/>
            <w:sz w:val="24"/>
            <w:szCs w:val="24"/>
          </w:rPr>
          <w:t>8</w:t>
        </w:r>
        <w:r w:rsidRPr="00EA5A52">
          <w:rPr>
            <w:rFonts w:ascii="Times New Roman" w:hAnsi="Times New Roman" w:cs="Times New Roman"/>
            <w:noProof/>
            <w:sz w:val="24"/>
            <w:szCs w:val="24"/>
          </w:rPr>
          <w:fldChar w:fldCharType="end"/>
        </w:r>
      </w:p>
      <w:p w:rsidR="0096366F" w:rsidRPr="0050068E" w:rsidRDefault="005A4A7E" w:rsidP="0050068E">
        <w:pPr>
          <w:pStyle w:val="Header"/>
          <w:jc w:val="center"/>
          <w:rPr>
            <w:rFonts w:ascii="Times New Roman" w:hAnsi="Times New Roman" w:cs="Times New Roman"/>
            <w:sz w:val="24"/>
            <w:szCs w:val="24"/>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66F" w:rsidRPr="001B5992" w:rsidRDefault="0096366F" w:rsidP="001B5992">
    <w:pPr>
      <w:pStyle w:val="Header"/>
      <w:jc w:val="center"/>
      <w:rPr>
        <w:rFonts w:ascii="Times New Roman" w:hAnsi="Times New Roman" w:cs="Times New Roman"/>
        <w:sz w:val="24"/>
        <w:szCs w:val="24"/>
        <w:lang w:val="mi-NZ"/>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931316"/>
      <w:docPartObj>
        <w:docPartGallery w:val="Page Numbers (Top of Page)"/>
        <w:docPartUnique/>
      </w:docPartObj>
    </w:sdtPr>
    <w:sdtEndPr>
      <w:rPr>
        <w:rFonts w:ascii="Times New Roman" w:hAnsi="Times New Roman" w:cs="Times New Roman"/>
        <w:noProof/>
        <w:sz w:val="24"/>
        <w:szCs w:val="24"/>
      </w:rPr>
    </w:sdtEndPr>
    <w:sdtContent>
      <w:p w:rsidR="0096366F" w:rsidRPr="00EA5A52" w:rsidRDefault="0096366F">
        <w:pPr>
          <w:pStyle w:val="Header"/>
          <w:jc w:val="center"/>
          <w:rPr>
            <w:rFonts w:ascii="Times New Roman" w:hAnsi="Times New Roman" w:cs="Times New Roman"/>
            <w:sz w:val="24"/>
            <w:szCs w:val="24"/>
          </w:rPr>
        </w:pPr>
        <w:r w:rsidRPr="00EA5A52">
          <w:rPr>
            <w:rFonts w:ascii="Times New Roman" w:hAnsi="Times New Roman" w:cs="Times New Roman"/>
            <w:sz w:val="24"/>
            <w:szCs w:val="24"/>
          </w:rPr>
          <w:fldChar w:fldCharType="begin"/>
        </w:r>
        <w:r w:rsidRPr="00EA5A52">
          <w:rPr>
            <w:rFonts w:ascii="Times New Roman" w:hAnsi="Times New Roman" w:cs="Times New Roman"/>
            <w:sz w:val="24"/>
            <w:szCs w:val="24"/>
          </w:rPr>
          <w:instrText xml:space="preserve"> PAGE   \* MERGEFORMAT </w:instrText>
        </w:r>
        <w:r w:rsidRPr="00EA5A52">
          <w:rPr>
            <w:rFonts w:ascii="Times New Roman" w:hAnsi="Times New Roman" w:cs="Times New Roman"/>
            <w:sz w:val="24"/>
            <w:szCs w:val="24"/>
          </w:rPr>
          <w:fldChar w:fldCharType="separate"/>
        </w:r>
        <w:r w:rsidR="00444E4D">
          <w:rPr>
            <w:rFonts w:ascii="Times New Roman" w:hAnsi="Times New Roman" w:cs="Times New Roman"/>
            <w:noProof/>
            <w:sz w:val="24"/>
            <w:szCs w:val="24"/>
          </w:rPr>
          <w:t>9</w:t>
        </w:r>
        <w:r w:rsidRPr="00EA5A52">
          <w:rPr>
            <w:rFonts w:ascii="Times New Roman" w:hAnsi="Times New Roman" w:cs="Times New Roman"/>
            <w:noProof/>
            <w:sz w:val="24"/>
            <w:szCs w:val="24"/>
          </w:rPr>
          <w:fldChar w:fldCharType="end"/>
        </w:r>
      </w:p>
    </w:sdtContent>
  </w:sdt>
  <w:p w:rsidR="0096366F" w:rsidRPr="008C5B22" w:rsidRDefault="0096366F" w:rsidP="00CC3977">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66F" w:rsidRPr="001B5992" w:rsidRDefault="0096366F" w:rsidP="001B5992">
    <w:pPr>
      <w:pStyle w:val="Header"/>
      <w:jc w:val="center"/>
      <w:rPr>
        <w:rFonts w:ascii="Times New Roman" w:hAnsi="Times New Roman" w:cs="Times New Roman"/>
        <w:sz w:val="24"/>
        <w:szCs w:val="24"/>
        <w:lang w:val="mi-NZ"/>
      </w:rPr>
    </w:pPr>
    <w:r>
      <w:rPr>
        <w:rFonts w:ascii="Times New Roman" w:hAnsi="Times New Roman" w:cs="Times New Roman"/>
        <w:sz w:val="24"/>
        <w:szCs w:val="24"/>
        <w:lang w:val="mi-NZ"/>
      </w:rPr>
      <w:t>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413053"/>
      <w:docPartObj>
        <w:docPartGallery w:val="Page Numbers (Top of Page)"/>
        <w:docPartUnique/>
      </w:docPartObj>
    </w:sdtPr>
    <w:sdtEndPr>
      <w:rPr>
        <w:rFonts w:ascii="Times New Roman" w:hAnsi="Times New Roman" w:cs="Times New Roman"/>
        <w:noProof/>
        <w:sz w:val="24"/>
        <w:szCs w:val="24"/>
      </w:rPr>
    </w:sdtEndPr>
    <w:sdtContent>
      <w:p w:rsidR="0096366F" w:rsidRPr="008C240D" w:rsidRDefault="0096366F" w:rsidP="008C240D">
        <w:pPr>
          <w:pStyle w:val="Header"/>
          <w:jc w:val="center"/>
          <w:rPr>
            <w:rFonts w:ascii="Times New Roman" w:hAnsi="Times New Roman" w:cs="Times New Roman"/>
            <w:sz w:val="24"/>
            <w:szCs w:val="24"/>
          </w:rPr>
        </w:pPr>
        <w:r w:rsidRPr="008C240D">
          <w:rPr>
            <w:rFonts w:ascii="Times New Roman" w:hAnsi="Times New Roman" w:cs="Times New Roman"/>
            <w:sz w:val="24"/>
            <w:szCs w:val="24"/>
          </w:rPr>
          <w:fldChar w:fldCharType="begin"/>
        </w:r>
        <w:r w:rsidRPr="008C240D">
          <w:rPr>
            <w:rFonts w:ascii="Times New Roman" w:hAnsi="Times New Roman" w:cs="Times New Roman"/>
            <w:sz w:val="24"/>
            <w:szCs w:val="24"/>
          </w:rPr>
          <w:instrText xml:space="preserve"> PAGE   \* MERGEFORMAT </w:instrText>
        </w:r>
        <w:r w:rsidRPr="008C240D">
          <w:rPr>
            <w:rFonts w:ascii="Times New Roman" w:hAnsi="Times New Roman" w:cs="Times New Roman"/>
            <w:sz w:val="24"/>
            <w:szCs w:val="24"/>
          </w:rPr>
          <w:fldChar w:fldCharType="separate"/>
        </w:r>
        <w:r w:rsidR="00444E4D">
          <w:rPr>
            <w:rFonts w:ascii="Times New Roman" w:hAnsi="Times New Roman" w:cs="Times New Roman"/>
            <w:noProof/>
            <w:sz w:val="24"/>
            <w:szCs w:val="24"/>
          </w:rPr>
          <w:t>11</w:t>
        </w:r>
        <w:r w:rsidRPr="008C240D">
          <w:rPr>
            <w:rFonts w:ascii="Times New Roman" w:hAnsi="Times New Roman" w:cs="Times New Roman"/>
            <w:noProof/>
            <w:sz w:val="24"/>
            <w:szCs w:val="24"/>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66F" w:rsidRPr="001B5992" w:rsidRDefault="0096366F" w:rsidP="001B5992">
    <w:pPr>
      <w:pStyle w:val="Header"/>
      <w:jc w:val="center"/>
      <w:rPr>
        <w:rFonts w:ascii="Times New Roman" w:hAnsi="Times New Roman" w:cs="Times New Roman"/>
        <w:sz w:val="24"/>
        <w:szCs w:val="24"/>
        <w:lang w:val="mi-NZ"/>
      </w:rPr>
    </w:pPr>
    <w:r>
      <w:rPr>
        <w:rFonts w:ascii="Times New Roman" w:hAnsi="Times New Roman" w:cs="Times New Roman"/>
        <w:sz w:val="24"/>
        <w:szCs w:val="24"/>
        <w:lang w:val="mi-NZ"/>
      </w:rPr>
      <w:t>9</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530677"/>
      <w:docPartObj>
        <w:docPartGallery w:val="Page Numbers (Top of Page)"/>
        <w:docPartUnique/>
      </w:docPartObj>
    </w:sdtPr>
    <w:sdtEndPr>
      <w:rPr>
        <w:rFonts w:ascii="Times New Roman" w:hAnsi="Times New Roman" w:cs="Times New Roman"/>
        <w:noProof/>
      </w:rPr>
    </w:sdtEndPr>
    <w:sdtContent>
      <w:p w:rsidR="0096366F" w:rsidRPr="00B64E4C" w:rsidRDefault="0096366F">
        <w:pPr>
          <w:pStyle w:val="Header"/>
          <w:jc w:val="center"/>
          <w:rPr>
            <w:rFonts w:ascii="Times New Roman" w:hAnsi="Times New Roman" w:cs="Times New Roman"/>
          </w:rPr>
        </w:pPr>
        <w:r w:rsidRPr="00B64E4C">
          <w:rPr>
            <w:rFonts w:ascii="Times New Roman" w:hAnsi="Times New Roman" w:cs="Times New Roman"/>
          </w:rPr>
          <w:fldChar w:fldCharType="begin"/>
        </w:r>
        <w:r w:rsidRPr="00B64E4C">
          <w:rPr>
            <w:rFonts w:ascii="Times New Roman" w:hAnsi="Times New Roman" w:cs="Times New Roman"/>
          </w:rPr>
          <w:instrText xml:space="preserve"> PAGE   \* MERGEFORMAT </w:instrText>
        </w:r>
        <w:r w:rsidRPr="00B64E4C">
          <w:rPr>
            <w:rFonts w:ascii="Times New Roman" w:hAnsi="Times New Roman" w:cs="Times New Roman"/>
          </w:rPr>
          <w:fldChar w:fldCharType="separate"/>
        </w:r>
        <w:r>
          <w:rPr>
            <w:rFonts w:ascii="Times New Roman" w:hAnsi="Times New Roman" w:cs="Times New Roman"/>
            <w:noProof/>
          </w:rPr>
          <w:t>12</w:t>
        </w:r>
        <w:r w:rsidRPr="00B64E4C">
          <w:rPr>
            <w:rFonts w:ascii="Times New Roman" w:hAnsi="Times New Roman" w:cs="Times New Roman"/>
            <w:noProof/>
          </w:rPr>
          <w:fldChar w:fldCharType="end"/>
        </w:r>
      </w:p>
    </w:sdtContent>
  </w:sdt>
  <w:p w:rsidR="0096366F" w:rsidRDefault="0096366F" w:rsidP="00EF7E34"/>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66F" w:rsidRPr="001B5992" w:rsidRDefault="0096366F" w:rsidP="001B5992">
    <w:pPr>
      <w:pStyle w:val="Header"/>
      <w:jc w:val="center"/>
      <w:rPr>
        <w:rFonts w:ascii="Times New Roman" w:hAnsi="Times New Roman" w:cs="Times New Roman"/>
        <w:sz w:val="24"/>
        <w:szCs w:val="24"/>
        <w:lang w:val="mi-NZ"/>
      </w:rPr>
    </w:pPr>
    <w:r>
      <w:rPr>
        <w:rFonts w:ascii="Times New Roman" w:hAnsi="Times New Roman" w:cs="Times New Roman"/>
        <w:sz w:val="24"/>
        <w:szCs w:val="24"/>
        <w:lang w:val="mi-NZ"/>
      </w:rPr>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4F2E"/>
    <w:multiLevelType w:val="hybridMultilevel"/>
    <w:tmpl w:val="A7ACDA5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nsid w:val="036619F5"/>
    <w:multiLevelType w:val="hybridMultilevel"/>
    <w:tmpl w:val="0160333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173C1145"/>
    <w:multiLevelType w:val="hybridMultilevel"/>
    <w:tmpl w:val="7F1A87F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nsid w:val="1E3876E1"/>
    <w:multiLevelType w:val="hybridMultilevel"/>
    <w:tmpl w:val="E68C23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208E1C46"/>
    <w:multiLevelType w:val="hybridMultilevel"/>
    <w:tmpl w:val="CDE2FEBE"/>
    <w:lvl w:ilvl="0" w:tplc="A714299A">
      <w:start w:val="1"/>
      <w:numFmt w:val="bullet"/>
      <w:lvlText w:val=""/>
      <w:lvlJc w:val="left"/>
      <w:pPr>
        <w:ind w:left="1080" w:hanging="360"/>
      </w:pPr>
      <w:rPr>
        <w:rFonts w:ascii="Symbol" w:hAnsi="Symbol" w:hint="default"/>
        <w:sz w:val="24"/>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nsid w:val="22B36ECF"/>
    <w:multiLevelType w:val="hybridMultilevel"/>
    <w:tmpl w:val="6E1E087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5043B68"/>
    <w:multiLevelType w:val="hybridMultilevel"/>
    <w:tmpl w:val="98D24290"/>
    <w:lvl w:ilvl="0" w:tplc="14090001">
      <w:start w:val="1"/>
      <w:numFmt w:val="bullet"/>
      <w:lvlText w:val=""/>
      <w:lvlJc w:val="left"/>
      <w:pPr>
        <w:ind w:left="720" w:hanging="360"/>
      </w:pPr>
      <w:rPr>
        <w:rFonts w:ascii="Symbol" w:hAnsi="Symbol" w:hint="default"/>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62E7302"/>
    <w:multiLevelType w:val="hybridMultilevel"/>
    <w:tmpl w:val="B3B2616A"/>
    <w:lvl w:ilvl="0" w:tplc="A714299A">
      <w:start w:val="1"/>
      <w:numFmt w:val="bullet"/>
      <w:lvlText w:val=""/>
      <w:lvlJc w:val="left"/>
      <w:pPr>
        <w:ind w:left="720" w:hanging="360"/>
      </w:pPr>
      <w:rPr>
        <w:rFonts w:ascii="Symbol" w:hAnsi="Symbol" w:hint="default"/>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74002CB"/>
    <w:multiLevelType w:val="hybridMultilevel"/>
    <w:tmpl w:val="C41C238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nsid w:val="335F70BD"/>
    <w:multiLevelType w:val="multilevel"/>
    <w:tmpl w:val="4802D9BE"/>
    <w:lvl w:ilvl="0">
      <w:start w:val="1"/>
      <w:numFmt w:val="decimal"/>
      <w:pStyle w:val="NumberLevel1"/>
      <w:isLgl/>
      <w:lvlText w:val="%1"/>
      <w:lvlJc w:val="left"/>
      <w:pPr>
        <w:tabs>
          <w:tab w:val="num" w:pos="641"/>
        </w:tabs>
        <w:ind w:left="641" w:hanging="357"/>
      </w:pPr>
      <w:rPr>
        <w:rFonts w:hint="default"/>
        <w:b w:val="0"/>
        <w:i w:val="0"/>
      </w:rPr>
    </w:lvl>
    <w:lvl w:ilvl="1">
      <w:start w:val="1"/>
      <w:numFmt w:val="decimal"/>
      <w:pStyle w:val="NumberLevel2"/>
      <w:lvlText w:val="%2"/>
      <w:lvlJc w:val="left"/>
      <w:pPr>
        <w:tabs>
          <w:tab w:val="num" w:pos="720"/>
        </w:tabs>
        <w:ind w:left="720" w:hanging="363"/>
      </w:pPr>
      <w:rPr>
        <w:rFonts w:hint="default"/>
      </w:rPr>
    </w:lvl>
    <w:lvl w:ilvl="2">
      <w:start w:val="1"/>
      <w:numFmt w:val="decimal"/>
      <w:pStyle w:val="NumberLevel3"/>
      <w:lvlText w:val="%2.%3"/>
      <w:lvlJc w:val="left"/>
      <w:pPr>
        <w:tabs>
          <w:tab w:val="num" w:pos="1077"/>
        </w:tabs>
        <w:ind w:left="1077" w:hanging="360"/>
      </w:pPr>
      <w:rPr>
        <w:rFonts w:hint="default"/>
      </w:rPr>
    </w:lvl>
    <w:lvl w:ilvl="3">
      <w:start w:val="1"/>
      <w:numFmt w:val="decim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10">
    <w:nsid w:val="374F1B62"/>
    <w:multiLevelType w:val="multilevel"/>
    <w:tmpl w:val="7D8A88B4"/>
    <w:lvl w:ilvl="0">
      <w:start w:val="1"/>
      <w:numFmt w:val="decimal"/>
      <w:pStyle w:val="Numberedpara3level1"/>
      <w:lvlText w:val="%1."/>
      <w:lvlJc w:val="left"/>
      <w:pPr>
        <w:tabs>
          <w:tab w:val="num" w:pos="7372"/>
        </w:tabs>
        <w:ind w:left="737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beredpara3level211"/>
      <w:lvlText w:val="%1.%2"/>
      <w:lvlJc w:val="left"/>
      <w:pPr>
        <w:ind w:left="924" w:hanging="357"/>
      </w:pPr>
      <w:rPr>
        <w:rFonts w:hint="default"/>
      </w:rPr>
    </w:lvl>
    <w:lvl w:ilvl="2">
      <w:start w:val="1"/>
      <w:numFmt w:val="decimal"/>
      <w:pStyle w:val="Numberedpara3level3111"/>
      <w:lvlText w:val="%1.%2.%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02501EB"/>
    <w:multiLevelType w:val="hybridMultilevel"/>
    <w:tmpl w:val="6F22DD8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nsid w:val="548410C0"/>
    <w:multiLevelType w:val="multilevel"/>
    <w:tmpl w:val="09E4B656"/>
    <w:lvl w:ilvl="0">
      <w:start w:val="1"/>
      <w:numFmt w:val="decimal"/>
      <w:pStyle w:val="BodyTex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3">
    <w:nsid w:val="55D9238D"/>
    <w:multiLevelType w:val="hybridMultilevel"/>
    <w:tmpl w:val="D83ABE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5FDB313B"/>
    <w:multiLevelType w:val="hybridMultilevel"/>
    <w:tmpl w:val="E64A648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5">
    <w:nsid w:val="60C64F01"/>
    <w:multiLevelType w:val="hybridMultilevel"/>
    <w:tmpl w:val="633423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6A742611"/>
    <w:multiLevelType w:val="hybridMultilevel"/>
    <w:tmpl w:val="3796F06C"/>
    <w:lvl w:ilvl="0" w:tplc="A714299A">
      <w:start w:val="1"/>
      <w:numFmt w:val="bullet"/>
      <w:lvlText w:val=""/>
      <w:lvlJc w:val="left"/>
      <w:pPr>
        <w:ind w:left="1080" w:hanging="360"/>
      </w:pPr>
      <w:rPr>
        <w:rFonts w:ascii="Symbol" w:hAnsi="Symbol" w:hint="default"/>
        <w:sz w:val="24"/>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7">
    <w:nsid w:val="717D1402"/>
    <w:multiLevelType w:val="hybridMultilevel"/>
    <w:tmpl w:val="600AD7A4"/>
    <w:lvl w:ilvl="0" w:tplc="27BCBC08">
      <w:start w:val="1"/>
      <w:numFmt w:val="lowerLetter"/>
      <w:pStyle w:val="Recommendation"/>
      <w:lvlText w:val="%1"/>
      <w:lvlJc w:val="left"/>
      <w:pPr>
        <w:ind w:left="360" w:hanging="360"/>
      </w:pPr>
      <w:rPr>
        <w:rFonts w:hint="default"/>
        <w:b w:val="0"/>
        <w:i w:val="0"/>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nsid w:val="71B922B4"/>
    <w:multiLevelType w:val="hybridMultilevel"/>
    <w:tmpl w:val="E9589044"/>
    <w:lvl w:ilvl="0" w:tplc="9C5ACB4E">
      <w:numFmt w:val="bullet"/>
      <w:lvlText w:val="•"/>
      <w:lvlJc w:val="left"/>
      <w:pPr>
        <w:ind w:left="1080" w:hanging="720"/>
      </w:pPr>
      <w:rPr>
        <w:rFonts w:ascii="Times New Roman" w:eastAsiaTheme="minorHAnsi"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738F05FA"/>
    <w:multiLevelType w:val="hybridMultilevel"/>
    <w:tmpl w:val="BFDA85F0"/>
    <w:lvl w:ilvl="0" w:tplc="0B76042E">
      <w:start w:val="1"/>
      <w:numFmt w:val="decimal"/>
      <w:lvlText w:val="%1."/>
      <w:lvlJc w:val="left"/>
      <w:pPr>
        <w:ind w:left="360" w:hanging="360"/>
      </w:pPr>
      <w:rPr>
        <w:i w:val="0"/>
      </w:rPr>
    </w:lvl>
    <w:lvl w:ilvl="1" w:tplc="14090001">
      <w:start w:val="1"/>
      <w:numFmt w:val="bullet"/>
      <w:lvlText w:val=""/>
      <w:lvlJc w:val="left"/>
      <w:pPr>
        <w:ind w:left="1080" w:hanging="360"/>
      </w:pPr>
      <w:rPr>
        <w:rFonts w:ascii="Symbol" w:hAnsi="Symbol" w:hint="default"/>
      </w:r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20">
    <w:nsid w:val="75482878"/>
    <w:multiLevelType w:val="hybridMultilevel"/>
    <w:tmpl w:val="5B4492F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1">
    <w:nsid w:val="767C4449"/>
    <w:multiLevelType w:val="singleLevel"/>
    <w:tmpl w:val="08D0946E"/>
    <w:lvl w:ilvl="0">
      <w:start w:val="1"/>
      <w:numFmt w:val="bullet"/>
      <w:pStyle w:val="TRListBullet"/>
      <w:lvlText w:val=""/>
      <w:lvlJc w:val="left"/>
      <w:pPr>
        <w:tabs>
          <w:tab w:val="num" w:pos="1134"/>
        </w:tabs>
        <w:ind w:left="1134" w:hanging="567"/>
      </w:pPr>
      <w:rPr>
        <w:rFonts w:ascii="Symbol" w:hAnsi="Symbol" w:hint="default"/>
        <w:sz w:val="24"/>
      </w:rPr>
    </w:lvl>
  </w:abstractNum>
  <w:num w:numId="1">
    <w:abstractNumId w:val="21"/>
  </w:num>
  <w:num w:numId="2">
    <w:abstractNumId w:val="5"/>
  </w:num>
  <w:num w:numId="3">
    <w:abstractNumId w:val="9"/>
  </w:num>
  <w:num w:numId="4">
    <w:abstractNumId w:val="12"/>
  </w:num>
  <w:num w:numId="5">
    <w:abstractNumId w:val="17"/>
  </w:num>
  <w:num w:numId="6">
    <w:abstractNumId w:val="10"/>
  </w:num>
  <w:num w:numId="7">
    <w:abstractNumId w:val="20"/>
  </w:num>
  <w:num w:numId="8">
    <w:abstractNumId w:val="1"/>
  </w:num>
  <w:num w:numId="9">
    <w:abstractNumId w:val="2"/>
  </w:num>
  <w:num w:numId="10">
    <w:abstractNumId w:val="14"/>
  </w:num>
  <w:num w:numId="11">
    <w:abstractNumId w:val="8"/>
  </w:num>
  <w:num w:numId="12">
    <w:abstractNumId w:val="0"/>
  </w:num>
  <w:num w:numId="13">
    <w:abstractNumId w:val="13"/>
  </w:num>
  <w:num w:numId="14">
    <w:abstractNumId w:val="3"/>
  </w:num>
  <w:num w:numId="15">
    <w:abstractNumId w:val="11"/>
  </w:num>
  <w:num w:numId="16">
    <w:abstractNumId w:val="18"/>
  </w:num>
  <w:num w:numId="17">
    <w:abstractNumId w:val="16"/>
  </w:num>
  <w:num w:numId="18">
    <w:abstractNumId w:val="4"/>
  </w:num>
  <w:num w:numId="19">
    <w:abstractNumId w:val="7"/>
  </w:num>
  <w:num w:numId="20">
    <w:abstractNumId w:val="6"/>
  </w:num>
  <w:num w:numId="2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53A"/>
    <w:rsid w:val="000125D7"/>
    <w:rsid w:val="00012A8E"/>
    <w:rsid w:val="00021C1E"/>
    <w:rsid w:val="00023D38"/>
    <w:rsid w:val="000316CC"/>
    <w:rsid w:val="00041E8C"/>
    <w:rsid w:val="000424E5"/>
    <w:rsid w:val="000431D1"/>
    <w:rsid w:val="000456E6"/>
    <w:rsid w:val="00046397"/>
    <w:rsid w:val="0005383B"/>
    <w:rsid w:val="00056997"/>
    <w:rsid w:val="00056CF0"/>
    <w:rsid w:val="00062765"/>
    <w:rsid w:val="00064241"/>
    <w:rsid w:val="00070BC8"/>
    <w:rsid w:val="000718DC"/>
    <w:rsid w:val="00075CB4"/>
    <w:rsid w:val="00083121"/>
    <w:rsid w:val="00087F4D"/>
    <w:rsid w:val="00091D78"/>
    <w:rsid w:val="0009322E"/>
    <w:rsid w:val="00096BAA"/>
    <w:rsid w:val="000973A0"/>
    <w:rsid w:val="000A288F"/>
    <w:rsid w:val="000A4C6F"/>
    <w:rsid w:val="000B0C09"/>
    <w:rsid w:val="000C3CEA"/>
    <w:rsid w:val="000C47AA"/>
    <w:rsid w:val="000C6393"/>
    <w:rsid w:val="000C78BD"/>
    <w:rsid w:val="000D13E7"/>
    <w:rsid w:val="000D315E"/>
    <w:rsid w:val="000E75F9"/>
    <w:rsid w:val="000F2D70"/>
    <w:rsid w:val="000F334D"/>
    <w:rsid w:val="000F6B7B"/>
    <w:rsid w:val="000F7BC5"/>
    <w:rsid w:val="00100EF9"/>
    <w:rsid w:val="00102995"/>
    <w:rsid w:val="00104C99"/>
    <w:rsid w:val="00110C96"/>
    <w:rsid w:val="00113796"/>
    <w:rsid w:val="00113BF0"/>
    <w:rsid w:val="00122828"/>
    <w:rsid w:val="00124A3C"/>
    <w:rsid w:val="00125A3B"/>
    <w:rsid w:val="0013231B"/>
    <w:rsid w:val="001326C8"/>
    <w:rsid w:val="00134922"/>
    <w:rsid w:val="001350DE"/>
    <w:rsid w:val="001370A9"/>
    <w:rsid w:val="00137D3C"/>
    <w:rsid w:val="0014057B"/>
    <w:rsid w:val="001443DB"/>
    <w:rsid w:val="00146220"/>
    <w:rsid w:val="00157A80"/>
    <w:rsid w:val="00162FAA"/>
    <w:rsid w:val="00165A2A"/>
    <w:rsid w:val="00170CDA"/>
    <w:rsid w:val="001729D1"/>
    <w:rsid w:val="0017369E"/>
    <w:rsid w:val="00173C4F"/>
    <w:rsid w:val="0018448A"/>
    <w:rsid w:val="00196E1C"/>
    <w:rsid w:val="001A35F5"/>
    <w:rsid w:val="001B5992"/>
    <w:rsid w:val="001B769A"/>
    <w:rsid w:val="001C6FE2"/>
    <w:rsid w:val="001C7725"/>
    <w:rsid w:val="001D791E"/>
    <w:rsid w:val="001E31DD"/>
    <w:rsid w:val="001F6737"/>
    <w:rsid w:val="0020569F"/>
    <w:rsid w:val="00212312"/>
    <w:rsid w:val="00220224"/>
    <w:rsid w:val="00221CD0"/>
    <w:rsid w:val="00222DF7"/>
    <w:rsid w:val="002306D3"/>
    <w:rsid w:val="002319EB"/>
    <w:rsid w:val="00231A28"/>
    <w:rsid w:val="00241205"/>
    <w:rsid w:val="0025284A"/>
    <w:rsid w:val="0026145E"/>
    <w:rsid w:val="00264E47"/>
    <w:rsid w:val="00266FB9"/>
    <w:rsid w:val="00271617"/>
    <w:rsid w:val="00273025"/>
    <w:rsid w:val="002857A4"/>
    <w:rsid w:val="00286FB1"/>
    <w:rsid w:val="00287965"/>
    <w:rsid w:val="00290A94"/>
    <w:rsid w:val="00292866"/>
    <w:rsid w:val="0029572D"/>
    <w:rsid w:val="002A14E4"/>
    <w:rsid w:val="002A41A9"/>
    <w:rsid w:val="002A52AA"/>
    <w:rsid w:val="002B55B4"/>
    <w:rsid w:val="002B5D54"/>
    <w:rsid w:val="002B614E"/>
    <w:rsid w:val="002B6D9C"/>
    <w:rsid w:val="002C1194"/>
    <w:rsid w:val="002C1A51"/>
    <w:rsid w:val="002C3F8E"/>
    <w:rsid w:val="002D0EE8"/>
    <w:rsid w:val="002D2A0B"/>
    <w:rsid w:val="002D4220"/>
    <w:rsid w:val="002D6E9A"/>
    <w:rsid w:val="002E0EB7"/>
    <w:rsid w:val="002E730E"/>
    <w:rsid w:val="002E7567"/>
    <w:rsid w:val="002F0633"/>
    <w:rsid w:val="002F1B4E"/>
    <w:rsid w:val="002F47AA"/>
    <w:rsid w:val="002F481E"/>
    <w:rsid w:val="00302229"/>
    <w:rsid w:val="0030355E"/>
    <w:rsid w:val="0031003A"/>
    <w:rsid w:val="0031316B"/>
    <w:rsid w:val="00314CFD"/>
    <w:rsid w:val="00317E77"/>
    <w:rsid w:val="00320086"/>
    <w:rsid w:val="003225E9"/>
    <w:rsid w:val="00322734"/>
    <w:rsid w:val="00323DE0"/>
    <w:rsid w:val="00326B4C"/>
    <w:rsid w:val="00330BC3"/>
    <w:rsid w:val="0033278D"/>
    <w:rsid w:val="00342862"/>
    <w:rsid w:val="003469BF"/>
    <w:rsid w:val="00346D8D"/>
    <w:rsid w:val="00354D3E"/>
    <w:rsid w:val="003701DE"/>
    <w:rsid w:val="00374277"/>
    <w:rsid w:val="00377624"/>
    <w:rsid w:val="00391A67"/>
    <w:rsid w:val="003953F3"/>
    <w:rsid w:val="0039586F"/>
    <w:rsid w:val="00396A21"/>
    <w:rsid w:val="00397F27"/>
    <w:rsid w:val="003A1110"/>
    <w:rsid w:val="003A130E"/>
    <w:rsid w:val="003A21B6"/>
    <w:rsid w:val="003B3E9F"/>
    <w:rsid w:val="003D282D"/>
    <w:rsid w:val="003D4D10"/>
    <w:rsid w:val="003D4DFF"/>
    <w:rsid w:val="003D5D03"/>
    <w:rsid w:val="003E02AE"/>
    <w:rsid w:val="003E5FA6"/>
    <w:rsid w:val="003F18A0"/>
    <w:rsid w:val="003F5888"/>
    <w:rsid w:val="00400D33"/>
    <w:rsid w:val="0041105F"/>
    <w:rsid w:val="00416A30"/>
    <w:rsid w:val="00420D90"/>
    <w:rsid w:val="00424BFF"/>
    <w:rsid w:val="00424EF2"/>
    <w:rsid w:val="00431DCE"/>
    <w:rsid w:val="004324D3"/>
    <w:rsid w:val="0043623F"/>
    <w:rsid w:val="00440BEF"/>
    <w:rsid w:val="00444E4D"/>
    <w:rsid w:val="00451DD9"/>
    <w:rsid w:val="00455810"/>
    <w:rsid w:val="004601B6"/>
    <w:rsid w:val="004839A6"/>
    <w:rsid w:val="004844A1"/>
    <w:rsid w:val="00485A67"/>
    <w:rsid w:val="00497EA1"/>
    <w:rsid w:val="004A0CF6"/>
    <w:rsid w:val="004A6542"/>
    <w:rsid w:val="004A66BB"/>
    <w:rsid w:val="004A7157"/>
    <w:rsid w:val="004B1656"/>
    <w:rsid w:val="004B5390"/>
    <w:rsid w:val="004B714B"/>
    <w:rsid w:val="004D3296"/>
    <w:rsid w:val="004D61A5"/>
    <w:rsid w:val="004D63D5"/>
    <w:rsid w:val="004D7E25"/>
    <w:rsid w:val="004E19AE"/>
    <w:rsid w:val="004E532D"/>
    <w:rsid w:val="004E6FF0"/>
    <w:rsid w:val="004E72F9"/>
    <w:rsid w:val="004E73CB"/>
    <w:rsid w:val="004F2991"/>
    <w:rsid w:val="004F438C"/>
    <w:rsid w:val="004F59B6"/>
    <w:rsid w:val="0050068E"/>
    <w:rsid w:val="00502CDE"/>
    <w:rsid w:val="00506C19"/>
    <w:rsid w:val="005123D9"/>
    <w:rsid w:val="0051467C"/>
    <w:rsid w:val="00524F92"/>
    <w:rsid w:val="0052556F"/>
    <w:rsid w:val="00526ECD"/>
    <w:rsid w:val="0052750A"/>
    <w:rsid w:val="00550FF0"/>
    <w:rsid w:val="0055155F"/>
    <w:rsid w:val="00551DC8"/>
    <w:rsid w:val="00555DA3"/>
    <w:rsid w:val="00556EB1"/>
    <w:rsid w:val="005656B5"/>
    <w:rsid w:val="00565835"/>
    <w:rsid w:val="00567975"/>
    <w:rsid w:val="00572643"/>
    <w:rsid w:val="00573A9F"/>
    <w:rsid w:val="00575886"/>
    <w:rsid w:val="005A3EAF"/>
    <w:rsid w:val="005A4A7E"/>
    <w:rsid w:val="005A4D5D"/>
    <w:rsid w:val="005A62FE"/>
    <w:rsid w:val="005B1156"/>
    <w:rsid w:val="005B2708"/>
    <w:rsid w:val="005B2F13"/>
    <w:rsid w:val="005B57AC"/>
    <w:rsid w:val="005B6D02"/>
    <w:rsid w:val="005B7245"/>
    <w:rsid w:val="005B78C6"/>
    <w:rsid w:val="005C1739"/>
    <w:rsid w:val="005C5596"/>
    <w:rsid w:val="005D201F"/>
    <w:rsid w:val="005D702D"/>
    <w:rsid w:val="005E2862"/>
    <w:rsid w:val="005E696F"/>
    <w:rsid w:val="005E6F4B"/>
    <w:rsid w:val="005F0E28"/>
    <w:rsid w:val="005F438D"/>
    <w:rsid w:val="005F52C7"/>
    <w:rsid w:val="005F5306"/>
    <w:rsid w:val="00600802"/>
    <w:rsid w:val="00602239"/>
    <w:rsid w:val="0061165B"/>
    <w:rsid w:val="006127D5"/>
    <w:rsid w:val="006158C5"/>
    <w:rsid w:val="006222CA"/>
    <w:rsid w:val="00623C27"/>
    <w:rsid w:val="006278DA"/>
    <w:rsid w:val="00627CC0"/>
    <w:rsid w:val="0063012B"/>
    <w:rsid w:val="00632EA7"/>
    <w:rsid w:val="00637F78"/>
    <w:rsid w:val="00646A20"/>
    <w:rsid w:val="00652274"/>
    <w:rsid w:val="0065289D"/>
    <w:rsid w:val="006559ED"/>
    <w:rsid w:val="00656E71"/>
    <w:rsid w:val="00657EE0"/>
    <w:rsid w:val="00661086"/>
    <w:rsid w:val="00664BF6"/>
    <w:rsid w:val="00671AEC"/>
    <w:rsid w:val="006763C3"/>
    <w:rsid w:val="00676CB2"/>
    <w:rsid w:val="006777D4"/>
    <w:rsid w:val="00677951"/>
    <w:rsid w:val="00677D0F"/>
    <w:rsid w:val="006A34DE"/>
    <w:rsid w:val="006B068A"/>
    <w:rsid w:val="006C1CAD"/>
    <w:rsid w:val="006C2ED9"/>
    <w:rsid w:val="006C3C03"/>
    <w:rsid w:val="006C6180"/>
    <w:rsid w:val="006D3644"/>
    <w:rsid w:val="006D3D61"/>
    <w:rsid w:val="006D794B"/>
    <w:rsid w:val="006E6C70"/>
    <w:rsid w:val="006F0E56"/>
    <w:rsid w:val="006F1340"/>
    <w:rsid w:val="006F30E9"/>
    <w:rsid w:val="006F316B"/>
    <w:rsid w:val="006F3BAC"/>
    <w:rsid w:val="006F5B7D"/>
    <w:rsid w:val="00705F9C"/>
    <w:rsid w:val="007062BD"/>
    <w:rsid w:val="00710CC3"/>
    <w:rsid w:val="007126B6"/>
    <w:rsid w:val="00713F03"/>
    <w:rsid w:val="00727D2D"/>
    <w:rsid w:val="0073293D"/>
    <w:rsid w:val="00732C72"/>
    <w:rsid w:val="00733BF0"/>
    <w:rsid w:val="00734694"/>
    <w:rsid w:val="007405FB"/>
    <w:rsid w:val="00741730"/>
    <w:rsid w:val="00745FF3"/>
    <w:rsid w:val="00746751"/>
    <w:rsid w:val="00747136"/>
    <w:rsid w:val="00761FA5"/>
    <w:rsid w:val="00762B24"/>
    <w:rsid w:val="00764830"/>
    <w:rsid w:val="0076733C"/>
    <w:rsid w:val="0077742A"/>
    <w:rsid w:val="007911D5"/>
    <w:rsid w:val="00795085"/>
    <w:rsid w:val="007A7C8B"/>
    <w:rsid w:val="007B00EB"/>
    <w:rsid w:val="007B0A29"/>
    <w:rsid w:val="007B4665"/>
    <w:rsid w:val="007B5691"/>
    <w:rsid w:val="007B684E"/>
    <w:rsid w:val="007B7B07"/>
    <w:rsid w:val="007D1416"/>
    <w:rsid w:val="007D1B6C"/>
    <w:rsid w:val="007D1E47"/>
    <w:rsid w:val="007D600F"/>
    <w:rsid w:val="007D67E1"/>
    <w:rsid w:val="007F0F87"/>
    <w:rsid w:val="007F2490"/>
    <w:rsid w:val="007F5117"/>
    <w:rsid w:val="00806181"/>
    <w:rsid w:val="00806551"/>
    <w:rsid w:val="008101EE"/>
    <w:rsid w:val="00810DF9"/>
    <w:rsid w:val="008154B3"/>
    <w:rsid w:val="00815554"/>
    <w:rsid w:val="00815C99"/>
    <w:rsid w:val="0081671E"/>
    <w:rsid w:val="00823079"/>
    <w:rsid w:val="008241FD"/>
    <w:rsid w:val="0083068C"/>
    <w:rsid w:val="00836B6E"/>
    <w:rsid w:val="00841F22"/>
    <w:rsid w:val="00843A1B"/>
    <w:rsid w:val="0084417A"/>
    <w:rsid w:val="00853DCB"/>
    <w:rsid w:val="008544F3"/>
    <w:rsid w:val="00855401"/>
    <w:rsid w:val="00865889"/>
    <w:rsid w:val="008672D0"/>
    <w:rsid w:val="00874E02"/>
    <w:rsid w:val="008754FD"/>
    <w:rsid w:val="00880463"/>
    <w:rsid w:val="00881BDA"/>
    <w:rsid w:val="008839CB"/>
    <w:rsid w:val="00885B38"/>
    <w:rsid w:val="00886527"/>
    <w:rsid w:val="008A0A3D"/>
    <w:rsid w:val="008A7A7E"/>
    <w:rsid w:val="008B5787"/>
    <w:rsid w:val="008C1E51"/>
    <w:rsid w:val="008C240D"/>
    <w:rsid w:val="008C3B3D"/>
    <w:rsid w:val="008C46CF"/>
    <w:rsid w:val="008C6768"/>
    <w:rsid w:val="008C7AA0"/>
    <w:rsid w:val="008C7E1A"/>
    <w:rsid w:val="008D352A"/>
    <w:rsid w:val="008D4DC2"/>
    <w:rsid w:val="008D60B1"/>
    <w:rsid w:val="008E0433"/>
    <w:rsid w:val="008E7853"/>
    <w:rsid w:val="008F22DC"/>
    <w:rsid w:val="008F678B"/>
    <w:rsid w:val="00903522"/>
    <w:rsid w:val="00905A5A"/>
    <w:rsid w:val="00905BA0"/>
    <w:rsid w:val="00914853"/>
    <w:rsid w:val="009160C2"/>
    <w:rsid w:val="009228A1"/>
    <w:rsid w:val="0092632D"/>
    <w:rsid w:val="00926DE7"/>
    <w:rsid w:val="00927BDD"/>
    <w:rsid w:val="0093199A"/>
    <w:rsid w:val="00932440"/>
    <w:rsid w:val="00935E80"/>
    <w:rsid w:val="009361A6"/>
    <w:rsid w:val="00941E51"/>
    <w:rsid w:val="00944478"/>
    <w:rsid w:val="009548FC"/>
    <w:rsid w:val="00961A89"/>
    <w:rsid w:val="0096366F"/>
    <w:rsid w:val="009650C0"/>
    <w:rsid w:val="00966D3E"/>
    <w:rsid w:val="00967F4D"/>
    <w:rsid w:val="00975CB2"/>
    <w:rsid w:val="009766AD"/>
    <w:rsid w:val="00982579"/>
    <w:rsid w:val="00997EDD"/>
    <w:rsid w:val="009A2094"/>
    <w:rsid w:val="009A5111"/>
    <w:rsid w:val="009A7838"/>
    <w:rsid w:val="009B34BE"/>
    <w:rsid w:val="009B4362"/>
    <w:rsid w:val="009C05B8"/>
    <w:rsid w:val="009C1B65"/>
    <w:rsid w:val="009C2165"/>
    <w:rsid w:val="009C7D27"/>
    <w:rsid w:val="009D04A5"/>
    <w:rsid w:val="009D13F8"/>
    <w:rsid w:val="009F140F"/>
    <w:rsid w:val="009F18C1"/>
    <w:rsid w:val="00A01752"/>
    <w:rsid w:val="00A02B00"/>
    <w:rsid w:val="00A02E6E"/>
    <w:rsid w:val="00A07990"/>
    <w:rsid w:val="00A17C3D"/>
    <w:rsid w:val="00A2074B"/>
    <w:rsid w:val="00A2361B"/>
    <w:rsid w:val="00A31065"/>
    <w:rsid w:val="00A46C20"/>
    <w:rsid w:val="00A52DB7"/>
    <w:rsid w:val="00A53570"/>
    <w:rsid w:val="00A55721"/>
    <w:rsid w:val="00A61764"/>
    <w:rsid w:val="00A6618F"/>
    <w:rsid w:val="00A7041E"/>
    <w:rsid w:val="00A705EC"/>
    <w:rsid w:val="00A76C38"/>
    <w:rsid w:val="00A77A35"/>
    <w:rsid w:val="00A84581"/>
    <w:rsid w:val="00A8797D"/>
    <w:rsid w:val="00A91BA0"/>
    <w:rsid w:val="00AA2F13"/>
    <w:rsid w:val="00AB0D49"/>
    <w:rsid w:val="00AB69F3"/>
    <w:rsid w:val="00AB7CE6"/>
    <w:rsid w:val="00AC2697"/>
    <w:rsid w:val="00AC2C64"/>
    <w:rsid w:val="00AC5EDE"/>
    <w:rsid w:val="00AC75C2"/>
    <w:rsid w:val="00AC7A5B"/>
    <w:rsid w:val="00AD29ED"/>
    <w:rsid w:val="00AD48D5"/>
    <w:rsid w:val="00AD6241"/>
    <w:rsid w:val="00AE0FC1"/>
    <w:rsid w:val="00AE6755"/>
    <w:rsid w:val="00AF5A26"/>
    <w:rsid w:val="00AF5B84"/>
    <w:rsid w:val="00AF7599"/>
    <w:rsid w:val="00AF7F71"/>
    <w:rsid w:val="00B05F8D"/>
    <w:rsid w:val="00B2135F"/>
    <w:rsid w:val="00B21BC0"/>
    <w:rsid w:val="00B230BA"/>
    <w:rsid w:val="00B23C3E"/>
    <w:rsid w:val="00B248DB"/>
    <w:rsid w:val="00B24B04"/>
    <w:rsid w:val="00B270EA"/>
    <w:rsid w:val="00B3549B"/>
    <w:rsid w:val="00B36F25"/>
    <w:rsid w:val="00B43EED"/>
    <w:rsid w:val="00B53C2D"/>
    <w:rsid w:val="00B57BEE"/>
    <w:rsid w:val="00B61DCB"/>
    <w:rsid w:val="00B62053"/>
    <w:rsid w:val="00B635E0"/>
    <w:rsid w:val="00B64E4C"/>
    <w:rsid w:val="00B72247"/>
    <w:rsid w:val="00B800AC"/>
    <w:rsid w:val="00B8123E"/>
    <w:rsid w:val="00B8239F"/>
    <w:rsid w:val="00B8483C"/>
    <w:rsid w:val="00B95B1F"/>
    <w:rsid w:val="00B968F1"/>
    <w:rsid w:val="00B97CF0"/>
    <w:rsid w:val="00BA407E"/>
    <w:rsid w:val="00BA6F16"/>
    <w:rsid w:val="00BB573E"/>
    <w:rsid w:val="00BC5986"/>
    <w:rsid w:val="00BC5CE0"/>
    <w:rsid w:val="00BE0A7C"/>
    <w:rsid w:val="00BE0BF5"/>
    <w:rsid w:val="00BE3C1F"/>
    <w:rsid w:val="00BF4362"/>
    <w:rsid w:val="00BF4477"/>
    <w:rsid w:val="00BF4DE1"/>
    <w:rsid w:val="00C065C9"/>
    <w:rsid w:val="00C13760"/>
    <w:rsid w:val="00C1391D"/>
    <w:rsid w:val="00C15EEA"/>
    <w:rsid w:val="00C21141"/>
    <w:rsid w:val="00C24544"/>
    <w:rsid w:val="00C27E42"/>
    <w:rsid w:val="00C3073E"/>
    <w:rsid w:val="00C31080"/>
    <w:rsid w:val="00C31C05"/>
    <w:rsid w:val="00C3573A"/>
    <w:rsid w:val="00C35857"/>
    <w:rsid w:val="00C35916"/>
    <w:rsid w:val="00C377C8"/>
    <w:rsid w:val="00C41B0C"/>
    <w:rsid w:val="00C42E01"/>
    <w:rsid w:val="00C43697"/>
    <w:rsid w:val="00C43DB5"/>
    <w:rsid w:val="00C543E1"/>
    <w:rsid w:val="00C544AE"/>
    <w:rsid w:val="00C57AA9"/>
    <w:rsid w:val="00C63C17"/>
    <w:rsid w:val="00C7128C"/>
    <w:rsid w:val="00C73AA7"/>
    <w:rsid w:val="00C73D6F"/>
    <w:rsid w:val="00C75ED6"/>
    <w:rsid w:val="00C760B9"/>
    <w:rsid w:val="00C849D9"/>
    <w:rsid w:val="00C87986"/>
    <w:rsid w:val="00C87E8C"/>
    <w:rsid w:val="00C93A4A"/>
    <w:rsid w:val="00C9465F"/>
    <w:rsid w:val="00CA0F80"/>
    <w:rsid w:val="00CB2842"/>
    <w:rsid w:val="00CB4E88"/>
    <w:rsid w:val="00CB6028"/>
    <w:rsid w:val="00CB6F32"/>
    <w:rsid w:val="00CC1EF5"/>
    <w:rsid w:val="00CC2E93"/>
    <w:rsid w:val="00CC2F37"/>
    <w:rsid w:val="00CC3977"/>
    <w:rsid w:val="00CC63CE"/>
    <w:rsid w:val="00CC7EB1"/>
    <w:rsid w:val="00CD2F45"/>
    <w:rsid w:val="00CD5C4D"/>
    <w:rsid w:val="00CF4487"/>
    <w:rsid w:val="00D00ABC"/>
    <w:rsid w:val="00D02D20"/>
    <w:rsid w:val="00D035CC"/>
    <w:rsid w:val="00D07157"/>
    <w:rsid w:val="00D11218"/>
    <w:rsid w:val="00D11AB3"/>
    <w:rsid w:val="00D22A02"/>
    <w:rsid w:val="00D2392D"/>
    <w:rsid w:val="00D268BD"/>
    <w:rsid w:val="00D2696A"/>
    <w:rsid w:val="00D35F41"/>
    <w:rsid w:val="00D44BEC"/>
    <w:rsid w:val="00D509A9"/>
    <w:rsid w:val="00D600CA"/>
    <w:rsid w:val="00D6190C"/>
    <w:rsid w:val="00D61C07"/>
    <w:rsid w:val="00D739D4"/>
    <w:rsid w:val="00D76E64"/>
    <w:rsid w:val="00D8013D"/>
    <w:rsid w:val="00D84DDC"/>
    <w:rsid w:val="00D875B1"/>
    <w:rsid w:val="00D9106A"/>
    <w:rsid w:val="00D91803"/>
    <w:rsid w:val="00D91A8C"/>
    <w:rsid w:val="00D96E8E"/>
    <w:rsid w:val="00DA0D73"/>
    <w:rsid w:val="00DA0DAF"/>
    <w:rsid w:val="00DA1FDE"/>
    <w:rsid w:val="00DA4398"/>
    <w:rsid w:val="00DA5BE7"/>
    <w:rsid w:val="00DB1B6E"/>
    <w:rsid w:val="00DB2859"/>
    <w:rsid w:val="00DB6DE7"/>
    <w:rsid w:val="00DC3DFE"/>
    <w:rsid w:val="00DC5156"/>
    <w:rsid w:val="00DC5C5C"/>
    <w:rsid w:val="00DD5A55"/>
    <w:rsid w:val="00DE07F5"/>
    <w:rsid w:val="00DE0B2E"/>
    <w:rsid w:val="00DE2723"/>
    <w:rsid w:val="00DE5CD4"/>
    <w:rsid w:val="00DE74AA"/>
    <w:rsid w:val="00DF2C35"/>
    <w:rsid w:val="00DF7C79"/>
    <w:rsid w:val="00E06286"/>
    <w:rsid w:val="00E06ACC"/>
    <w:rsid w:val="00E07B05"/>
    <w:rsid w:val="00E07CFA"/>
    <w:rsid w:val="00E12DF7"/>
    <w:rsid w:val="00E132EB"/>
    <w:rsid w:val="00E155BF"/>
    <w:rsid w:val="00E23772"/>
    <w:rsid w:val="00E244E5"/>
    <w:rsid w:val="00E25521"/>
    <w:rsid w:val="00E321BA"/>
    <w:rsid w:val="00E33EDF"/>
    <w:rsid w:val="00E40AB1"/>
    <w:rsid w:val="00E4488E"/>
    <w:rsid w:val="00E4553C"/>
    <w:rsid w:val="00E55C19"/>
    <w:rsid w:val="00E61438"/>
    <w:rsid w:val="00E624C9"/>
    <w:rsid w:val="00E6716B"/>
    <w:rsid w:val="00E71150"/>
    <w:rsid w:val="00E74C92"/>
    <w:rsid w:val="00E766A6"/>
    <w:rsid w:val="00E83544"/>
    <w:rsid w:val="00E83830"/>
    <w:rsid w:val="00E87577"/>
    <w:rsid w:val="00E92DEB"/>
    <w:rsid w:val="00E9569F"/>
    <w:rsid w:val="00EA139A"/>
    <w:rsid w:val="00EA5A52"/>
    <w:rsid w:val="00EA7FAE"/>
    <w:rsid w:val="00EB148E"/>
    <w:rsid w:val="00EB2575"/>
    <w:rsid w:val="00EC1BC5"/>
    <w:rsid w:val="00ED13C4"/>
    <w:rsid w:val="00ED36A2"/>
    <w:rsid w:val="00ED4FFE"/>
    <w:rsid w:val="00ED5467"/>
    <w:rsid w:val="00EE0E81"/>
    <w:rsid w:val="00EE3076"/>
    <w:rsid w:val="00EE6285"/>
    <w:rsid w:val="00EE7916"/>
    <w:rsid w:val="00EF553A"/>
    <w:rsid w:val="00EF62B4"/>
    <w:rsid w:val="00EF7E34"/>
    <w:rsid w:val="00F0181A"/>
    <w:rsid w:val="00F01C66"/>
    <w:rsid w:val="00F029FD"/>
    <w:rsid w:val="00F0587E"/>
    <w:rsid w:val="00F114A9"/>
    <w:rsid w:val="00F12D57"/>
    <w:rsid w:val="00F26504"/>
    <w:rsid w:val="00F34041"/>
    <w:rsid w:val="00F37BA3"/>
    <w:rsid w:val="00F4230F"/>
    <w:rsid w:val="00F47C7F"/>
    <w:rsid w:val="00F51926"/>
    <w:rsid w:val="00F51D02"/>
    <w:rsid w:val="00F52447"/>
    <w:rsid w:val="00F5671F"/>
    <w:rsid w:val="00F65782"/>
    <w:rsid w:val="00F74175"/>
    <w:rsid w:val="00F74AE9"/>
    <w:rsid w:val="00F74D44"/>
    <w:rsid w:val="00F7534E"/>
    <w:rsid w:val="00F813E8"/>
    <w:rsid w:val="00F848DE"/>
    <w:rsid w:val="00F869D3"/>
    <w:rsid w:val="00F877D8"/>
    <w:rsid w:val="00FA0776"/>
    <w:rsid w:val="00FA2F5F"/>
    <w:rsid w:val="00FA4F9E"/>
    <w:rsid w:val="00FA63A2"/>
    <w:rsid w:val="00FB4F01"/>
    <w:rsid w:val="00FB514B"/>
    <w:rsid w:val="00FB7C39"/>
    <w:rsid w:val="00FC0A20"/>
    <w:rsid w:val="00FC1F6A"/>
    <w:rsid w:val="00FC43E9"/>
    <w:rsid w:val="00FC6402"/>
    <w:rsid w:val="00FD3EC1"/>
    <w:rsid w:val="00FD61AA"/>
    <w:rsid w:val="00FF1403"/>
    <w:rsid w:val="00FF449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7E3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en-AU"/>
    </w:rPr>
  </w:style>
  <w:style w:type="paragraph" w:styleId="Heading3">
    <w:name w:val="heading 3"/>
    <w:basedOn w:val="Normal"/>
    <w:next w:val="Normal"/>
    <w:link w:val="Heading3Char"/>
    <w:uiPriority w:val="9"/>
    <w:semiHidden/>
    <w:unhideWhenUsed/>
    <w:qFormat/>
    <w:rsid w:val="00EF7E34"/>
    <w:pPr>
      <w:keepNext/>
      <w:keepLines/>
      <w:spacing w:before="200" w:after="0" w:line="240" w:lineRule="auto"/>
      <w:outlineLvl w:val="2"/>
    </w:pPr>
    <w:rPr>
      <w:rFonts w:asciiTheme="majorHAnsi" w:eastAsiaTheme="majorEastAsia" w:hAnsiTheme="majorHAnsi" w:cstheme="majorBidi"/>
      <w:b/>
      <w:bCs/>
      <w:color w:val="4F81BD" w:themeColor="accent1"/>
      <w:sz w:val="23"/>
      <w:szCs w:val="24"/>
      <w:lang w:eastAsia="en-AU"/>
    </w:rPr>
  </w:style>
  <w:style w:type="paragraph" w:styleId="Heading4">
    <w:name w:val="heading 4"/>
    <w:basedOn w:val="Normal"/>
    <w:next w:val="Normal"/>
    <w:link w:val="Heading4Char"/>
    <w:qFormat/>
    <w:rsid w:val="00EF7E34"/>
    <w:pPr>
      <w:keepNext/>
      <w:spacing w:before="480" w:after="120" w:line="240" w:lineRule="auto"/>
      <w:outlineLvl w:val="3"/>
    </w:pPr>
    <w:rPr>
      <w:rFonts w:ascii="Arial" w:eastAsia="Times New Roman" w:hAnsi="Arial" w:cs="Times New Roman"/>
      <w:b/>
      <w:bCs/>
      <w:sz w:val="23"/>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E34"/>
    <w:rPr>
      <w:rFonts w:asciiTheme="majorHAnsi" w:eastAsiaTheme="majorEastAsia" w:hAnsiTheme="majorHAnsi" w:cstheme="majorBidi"/>
      <w:b/>
      <w:bCs/>
      <w:color w:val="365F91" w:themeColor="accent1" w:themeShade="BF"/>
      <w:sz w:val="28"/>
      <w:szCs w:val="28"/>
      <w:lang w:eastAsia="en-AU"/>
    </w:rPr>
  </w:style>
  <w:style w:type="character" w:customStyle="1" w:styleId="Heading4Char">
    <w:name w:val="Heading 4 Char"/>
    <w:basedOn w:val="DefaultParagraphFont"/>
    <w:link w:val="Heading4"/>
    <w:rsid w:val="00EF7E34"/>
    <w:rPr>
      <w:rFonts w:ascii="Arial" w:eastAsia="Times New Roman" w:hAnsi="Arial" w:cs="Times New Roman"/>
      <w:b/>
      <w:bCs/>
      <w:sz w:val="23"/>
      <w:szCs w:val="28"/>
      <w:lang w:eastAsia="en-AU"/>
    </w:rPr>
  </w:style>
  <w:style w:type="paragraph" w:styleId="ListParagraph">
    <w:name w:val="List Paragraph"/>
    <w:basedOn w:val="Normal"/>
    <w:uiPriority w:val="34"/>
    <w:qFormat/>
    <w:rsid w:val="00E155BF"/>
    <w:pPr>
      <w:ind w:left="720"/>
      <w:contextualSpacing/>
    </w:pPr>
  </w:style>
  <w:style w:type="table" w:styleId="TableGrid">
    <w:name w:val="Table Grid"/>
    <w:basedOn w:val="TableNormal"/>
    <w:uiPriority w:val="59"/>
    <w:rsid w:val="00572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927BDD"/>
    <w:pPr>
      <w:spacing w:after="0" w:line="240" w:lineRule="auto"/>
    </w:pPr>
    <w:rPr>
      <w:sz w:val="20"/>
      <w:szCs w:val="20"/>
    </w:rPr>
  </w:style>
  <w:style w:type="character" w:customStyle="1" w:styleId="FootnoteTextChar">
    <w:name w:val="Footnote Text Char"/>
    <w:basedOn w:val="DefaultParagraphFont"/>
    <w:link w:val="FootnoteText"/>
    <w:uiPriority w:val="99"/>
    <w:rsid w:val="00927BDD"/>
    <w:rPr>
      <w:sz w:val="20"/>
      <w:szCs w:val="20"/>
    </w:rPr>
  </w:style>
  <w:style w:type="character" w:styleId="FootnoteReference">
    <w:name w:val="footnote reference"/>
    <w:basedOn w:val="DefaultParagraphFont"/>
    <w:unhideWhenUsed/>
    <w:rsid w:val="00927BDD"/>
    <w:rPr>
      <w:vertAlign w:val="superscript"/>
    </w:rPr>
  </w:style>
  <w:style w:type="paragraph" w:customStyle="1" w:styleId="TRNormal">
    <w:name w:val="_TRNormal"/>
    <w:link w:val="TRNormalChar"/>
    <w:rsid w:val="00170CDA"/>
    <w:pPr>
      <w:spacing w:after="0" w:line="300" w:lineRule="atLeast"/>
      <w:jc w:val="both"/>
    </w:pPr>
    <w:rPr>
      <w:rFonts w:ascii="Times New Roman" w:eastAsia="Times New Roman" w:hAnsi="Times New Roman" w:cs="Times New Roman"/>
      <w:sz w:val="24"/>
      <w:szCs w:val="20"/>
      <w:lang w:eastAsia="en-AU"/>
    </w:rPr>
  </w:style>
  <w:style w:type="character" w:customStyle="1" w:styleId="TRNormalChar">
    <w:name w:val="_TRNormal Char"/>
    <w:basedOn w:val="DefaultParagraphFont"/>
    <w:link w:val="TRNormal"/>
    <w:rsid w:val="00170CDA"/>
    <w:rPr>
      <w:rFonts w:ascii="Times New Roman" w:eastAsia="Times New Roman" w:hAnsi="Times New Roman" w:cs="Times New Roman"/>
      <w:sz w:val="24"/>
      <w:szCs w:val="20"/>
      <w:lang w:eastAsia="en-AU"/>
    </w:rPr>
  </w:style>
  <w:style w:type="paragraph" w:customStyle="1" w:styleId="TRListBullet">
    <w:name w:val="_TRList Bullet"/>
    <w:basedOn w:val="TRNormal"/>
    <w:rsid w:val="001326C8"/>
    <w:pPr>
      <w:numPr>
        <w:numId w:val="1"/>
      </w:numPr>
      <w:spacing w:after="200"/>
    </w:pPr>
  </w:style>
  <w:style w:type="paragraph" w:styleId="Header">
    <w:name w:val="header"/>
    <w:basedOn w:val="Normal"/>
    <w:link w:val="HeaderChar"/>
    <w:uiPriority w:val="99"/>
    <w:unhideWhenUsed/>
    <w:rsid w:val="00B64E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E4C"/>
  </w:style>
  <w:style w:type="paragraph" w:styleId="Footer">
    <w:name w:val="footer"/>
    <w:basedOn w:val="Normal"/>
    <w:link w:val="FooterChar"/>
    <w:unhideWhenUsed/>
    <w:rsid w:val="00B64E4C"/>
    <w:pPr>
      <w:tabs>
        <w:tab w:val="center" w:pos="4513"/>
        <w:tab w:val="right" w:pos="9026"/>
      </w:tabs>
      <w:spacing w:after="0" w:line="240" w:lineRule="auto"/>
    </w:pPr>
  </w:style>
  <w:style w:type="character" w:customStyle="1" w:styleId="FooterChar">
    <w:name w:val="Footer Char"/>
    <w:basedOn w:val="DefaultParagraphFont"/>
    <w:link w:val="Footer"/>
    <w:rsid w:val="00B64E4C"/>
  </w:style>
  <w:style w:type="paragraph" w:styleId="BalloonText">
    <w:name w:val="Balloon Text"/>
    <w:basedOn w:val="Normal"/>
    <w:link w:val="BalloonTextChar"/>
    <w:uiPriority w:val="99"/>
    <w:semiHidden/>
    <w:unhideWhenUsed/>
    <w:rsid w:val="00B24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B04"/>
    <w:rPr>
      <w:rFonts w:ascii="Tahoma" w:hAnsi="Tahoma" w:cs="Tahoma"/>
      <w:sz w:val="16"/>
      <w:szCs w:val="16"/>
    </w:rPr>
  </w:style>
  <w:style w:type="character" w:styleId="CommentReference">
    <w:name w:val="annotation reference"/>
    <w:basedOn w:val="DefaultParagraphFont"/>
    <w:uiPriority w:val="99"/>
    <w:semiHidden/>
    <w:unhideWhenUsed/>
    <w:rsid w:val="00E87577"/>
    <w:rPr>
      <w:sz w:val="16"/>
      <w:szCs w:val="16"/>
    </w:rPr>
  </w:style>
  <w:style w:type="paragraph" w:styleId="CommentText">
    <w:name w:val="annotation text"/>
    <w:basedOn w:val="Normal"/>
    <w:link w:val="CommentTextChar"/>
    <w:uiPriority w:val="99"/>
    <w:semiHidden/>
    <w:unhideWhenUsed/>
    <w:rsid w:val="00E87577"/>
    <w:pPr>
      <w:spacing w:line="240" w:lineRule="auto"/>
    </w:pPr>
    <w:rPr>
      <w:sz w:val="20"/>
      <w:szCs w:val="20"/>
    </w:rPr>
  </w:style>
  <w:style w:type="character" w:customStyle="1" w:styleId="CommentTextChar">
    <w:name w:val="Comment Text Char"/>
    <w:basedOn w:val="DefaultParagraphFont"/>
    <w:link w:val="CommentText"/>
    <w:uiPriority w:val="99"/>
    <w:semiHidden/>
    <w:rsid w:val="00E87577"/>
    <w:rPr>
      <w:sz w:val="20"/>
      <w:szCs w:val="20"/>
    </w:rPr>
  </w:style>
  <w:style w:type="paragraph" w:styleId="CommentSubject">
    <w:name w:val="annotation subject"/>
    <w:basedOn w:val="CommentText"/>
    <w:next w:val="CommentText"/>
    <w:link w:val="CommentSubjectChar"/>
    <w:uiPriority w:val="99"/>
    <w:semiHidden/>
    <w:unhideWhenUsed/>
    <w:rsid w:val="00E87577"/>
    <w:rPr>
      <w:b/>
      <w:bCs/>
    </w:rPr>
  </w:style>
  <w:style w:type="character" w:customStyle="1" w:styleId="CommentSubjectChar">
    <w:name w:val="Comment Subject Char"/>
    <w:basedOn w:val="CommentTextChar"/>
    <w:link w:val="CommentSubject"/>
    <w:uiPriority w:val="99"/>
    <w:semiHidden/>
    <w:rsid w:val="00E87577"/>
    <w:rPr>
      <w:b/>
      <w:bCs/>
      <w:sz w:val="20"/>
      <w:szCs w:val="20"/>
    </w:rPr>
  </w:style>
  <w:style w:type="character" w:styleId="PageNumber">
    <w:name w:val="page number"/>
    <w:basedOn w:val="DefaultParagraphFont"/>
    <w:rsid w:val="00CC3977"/>
  </w:style>
  <w:style w:type="character" w:customStyle="1" w:styleId="Heading3Char">
    <w:name w:val="Heading 3 Char"/>
    <w:basedOn w:val="DefaultParagraphFont"/>
    <w:link w:val="Heading3"/>
    <w:uiPriority w:val="9"/>
    <w:semiHidden/>
    <w:rsid w:val="00EF7E34"/>
    <w:rPr>
      <w:rFonts w:asciiTheme="majorHAnsi" w:eastAsiaTheme="majorEastAsia" w:hAnsiTheme="majorHAnsi" w:cstheme="majorBidi"/>
      <w:b/>
      <w:bCs/>
      <w:color w:val="4F81BD" w:themeColor="accent1"/>
      <w:sz w:val="23"/>
      <w:szCs w:val="24"/>
      <w:lang w:eastAsia="en-AU"/>
    </w:rPr>
  </w:style>
  <w:style w:type="paragraph" w:styleId="BodyText">
    <w:name w:val="Body Text"/>
    <w:basedOn w:val="Normal"/>
    <w:link w:val="BodyTextChar"/>
    <w:rsid w:val="00EF7E34"/>
    <w:pPr>
      <w:spacing w:before="220" w:after="0" w:line="240" w:lineRule="auto"/>
    </w:pPr>
    <w:rPr>
      <w:rFonts w:ascii="Arial" w:eastAsia="Times New Roman" w:hAnsi="Arial" w:cs="Times New Roman"/>
      <w:sz w:val="23"/>
      <w:szCs w:val="24"/>
      <w:lang w:eastAsia="en-AU"/>
    </w:rPr>
  </w:style>
  <w:style w:type="character" w:customStyle="1" w:styleId="BodyTextChar">
    <w:name w:val="Body Text Char"/>
    <w:basedOn w:val="DefaultParagraphFont"/>
    <w:link w:val="BodyText"/>
    <w:rsid w:val="00EF7E34"/>
    <w:rPr>
      <w:rFonts w:ascii="Arial" w:eastAsia="Times New Roman" w:hAnsi="Arial" w:cs="Times New Roman"/>
      <w:sz w:val="23"/>
      <w:szCs w:val="24"/>
      <w:lang w:eastAsia="en-AU"/>
    </w:rPr>
  </w:style>
  <w:style w:type="character" w:customStyle="1" w:styleId="Bold">
    <w:name w:val="Bold"/>
    <w:basedOn w:val="DefaultParagraphFont"/>
    <w:rsid w:val="00EF7E34"/>
    <w:rPr>
      <w:b/>
    </w:rPr>
  </w:style>
  <w:style w:type="character" w:customStyle="1" w:styleId="Italic">
    <w:name w:val="Italic"/>
    <w:basedOn w:val="DefaultParagraphFont"/>
    <w:rsid w:val="00EF7E34"/>
    <w:rPr>
      <w:i/>
    </w:rPr>
  </w:style>
  <w:style w:type="paragraph" w:customStyle="1" w:styleId="SignatureText">
    <w:name w:val="Signature Text"/>
    <w:basedOn w:val="Normal"/>
    <w:rsid w:val="00EF7E34"/>
    <w:pPr>
      <w:spacing w:before="1560" w:after="0" w:line="240" w:lineRule="auto"/>
    </w:pPr>
    <w:rPr>
      <w:rFonts w:ascii="Arial" w:eastAsia="Times New Roman" w:hAnsi="Arial" w:cs="Times New Roman"/>
      <w:sz w:val="23"/>
      <w:szCs w:val="24"/>
      <w:lang w:eastAsia="en-AU"/>
    </w:rPr>
  </w:style>
  <w:style w:type="paragraph" w:customStyle="1" w:styleId="NumberLevel1">
    <w:name w:val="Number Level 1"/>
    <w:basedOn w:val="Normal"/>
    <w:rsid w:val="00EF7E34"/>
    <w:pPr>
      <w:numPr>
        <w:numId w:val="3"/>
      </w:numPr>
      <w:tabs>
        <w:tab w:val="clear" w:pos="641"/>
        <w:tab w:val="num" w:pos="357"/>
      </w:tabs>
      <w:spacing w:before="120" w:after="120" w:line="240" w:lineRule="auto"/>
      <w:ind w:left="357"/>
    </w:pPr>
    <w:rPr>
      <w:rFonts w:ascii="Arial" w:eastAsia="Times New Roman" w:hAnsi="Arial" w:cs="Times New Roman"/>
      <w:sz w:val="23"/>
      <w:szCs w:val="24"/>
      <w:lang w:eastAsia="en-AU"/>
    </w:rPr>
  </w:style>
  <w:style w:type="paragraph" w:customStyle="1" w:styleId="CabinetHeadingRight">
    <w:name w:val="Cabinet Heading Right"/>
    <w:basedOn w:val="BodyText"/>
    <w:rsid w:val="00EF7E34"/>
    <w:pPr>
      <w:spacing w:before="0" w:after="720"/>
      <w:jc w:val="right"/>
    </w:pPr>
  </w:style>
  <w:style w:type="paragraph" w:customStyle="1" w:styleId="CabinetHeadingRightUnderline">
    <w:name w:val="Cabinet Heading Right Underline"/>
    <w:basedOn w:val="CabinetHeadingRight"/>
    <w:next w:val="CabinetHeadingRight"/>
    <w:rsid w:val="00EF7E34"/>
    <w:rPr>
      <w:u w:val="single"/>
    </w:rPr>
  </w:style>
  <w:style w:type="paragraph" w:customStyle="1" w:styleId="NumberLevel3">
    <w:name w:val="Number Level 3"/>
    <w:basedOn w:val="NumberLevel2"/>
    <w:rsid w:val="00EF7E34"/>
    <w:pPr>
      <w:keepNext/>
      <w:numPr>
        <w:ilvl w:val="2"/>
      </w:numPr>
      <w:tabs>
        <w:tab w:val="clear" w:pos="1077"/>
        <w:tab w:val="num" w:pos="1260"/>
      </w:tabs>
      <w:ind w:left="1260" w:hanging="540"/>
    </w:pPr>
  </w:style>
  <w:style w:type="paragraph" w:customStyle="1" w:styleId="NumberLevel2">
    <w:name w:val="Number Level 2"/>
    <w:basedOn w:val="NumberLevel1"/>
    <w:rsid w:val="00EF7E34"/>
    <w:pPr>
      <w:numPr>
        <w:ilvl w:val="1"/>
      </w:numPr>
      <w:spacing w:before="220" w:after="220"/>
    </w:pPr>
  </w:style>
  <w:style w:type="paragraph" w:customStyle="1" w:styleId="BodyText-Numbered">
    <w:name w:val="Body Text - Numbered"/>
    <w:basedOn w:val="BodyText"/>
    <w:link w:val="BodyText-NumberedChar"/>
    <w:qFormat/>
    <w:rsid w:val="00EF7E34"/>
    <w:pPr>
      <w:keepNext/>
      <w:numPr>
        <w:numId w:val="4"/>
      </w:numPr>
      <w:spacing w:before="60" w:after="120"/>
    </w:pPr>
    <w:rPr>
      <w:rFonts w:cs="Arial"/>
      <w:szCs w:val="20"/>
      <w:lang w:eastAsia="en-GB"/>
    </w:rPr>
  </w:style>
  <w:style w:type="character" w:customStyle="1" w:styleId="BodyText-NumberedChar">
    <w:name w:val="Body Text - Numbered Char"/>
    <w:basedOn w:val="BodyTextChar"/>
    <w:link w:val="BodyText-Numbered"/>
    <w:rsid w:val="00EF7E34"/>
    <w:rPr>
      <w:rFonts w:ascii="Arial" w:eastAsia="Times New Roman" w:hAnsi="Arial" w:cs="Arial"/>
      <w:sz w:val="23"/>
      <w:szCs w:val="20"/>
      <w:lang w:eastAsia="en-GB"/>
    </w:rPr>
  </w:style>
  <w:style w:type="paragraph" w:customStyle="1" w:styleId="NumberedPara">
    <w:name w:val="Numbered Para"/>
    <w:basedOn w:val="Normal"/>
    <w:autoRedefine/>
    <w:qFormat/>
    <w:rsid w:val="00EF7E34"/>
    <w:pPr>
      <w:spacing w:before="120" w:after="60" w:line="240" w:lineRule="auto"/>
      <w:jc w:val="both"/>
    </w:pPr>
    <w:rPr>
      <w:rFonts w:ascii="Arial" w:eastAsia="Times New Roman" w:hAnsi="Arial" w:cs="Arial"/>
    </w:rPr>
  </w:style>
  <w:style w:type="paragraph" w:customStyle="1" w:styleId="Agree-disagree">
    <w:name w:val="Agree-disagree"/>
    <w:basedOn w:val="Normal"/>
    <w:rsid w:val="00EF7E34"/>
    <w:pPr>
      <w:keepNext/>
      <w:spacing w:after="120" w:line="240" w:lineRule="auto"/>
      <w:ind w:firstLine="567"/>
      <w:jc w:val="right"/>
    </w:pPr>
    <w:rPr>
      <w:rFonts w:ascii="Arial" w:eastAsia="Times New Roman" w:hAnsi="Arial" w:cs="Arial"/>
      <w:i/>
      <w:iCs/>
      <w:szCs w:val="20"/>
    </w:rPr>
  </w:style>
  <w:style w:type="paragraph" w:customStyle="1" w:styleId="Recommendation">
    <w:name w:val="Recommendation"/>
    <w:basedOn w:val="Normal"/>
    <w:qFormat/>
    <w:rsid w:val="00EF7E34"/>
    <w:pPr>
      <w:keepNext/>
      <w:numPr>
        <w:numId w:val="5"/>
      </w:numPr>
      <w:spacing w:before="60" w:after="120" w:line="240" w:lineRule="auto"/>
      <w:ind w:left="567" w:hanging="567"/>
    </w:pPr>
    <w:rPr>
      <w:rFonts w:ascii="Arial" w:eastAsia="Times New Roman" w:hAnsi="Arial" w:cs="Arial"/>
      <w:b/>
      <w:szCs w:val="20"/>
    </w:rPr>
  </w:style>
  <w:style w:type="table" w:customStyle="1" w:styleId="Blanktable">
    <w:name w:val="Blank table"/>
    <w:basedOn w:val="TableNormal"/>
    <w:uiPriority w:val="99"/>
    <w:rsid w:val="00EF7E34"/>
    <w:pPr>
      <w:spacing w:before="120" w:after="120" w:line="240" w:lineRule="auto"/>
    </w:pPr>
    <w:rPr>
      <w:rFonts w:ascii="Calibri" w:eastAsia="Times New Roman" w:hAnsi="Calibri" w:cs="Times New Roman"/>
      <w:sz w:val="24"/>
      <w:szCs w:val="24"/>
      <w:lang w:eastAsia="en-NZ"/>
    </w:rPr>
    <w:tblPr>
      <w:tblInd w:w="108" w:type="dxa"/>
      <w:tblCellMar>
        <w:top w:w="0" w:type="dxa"/>
        <w:left w:w="108" w:type="dxa"/>
        <w:bottom w:w="0" w:type="dxa"/>
        <w:right w:w="108" w:type="dxa"/>
      </w:tblCellMar>
    </w:tblPr>
  </w:style>
  <w:style w:type="paragraph" w:customStyle="1" w:styleId="Numberedpara3level1">
    <w:name w:val="Numbered para (3) level 1"/>
    <w:basedOn w:val="Normal"/>
    <w:qFormat/>
    <w:rsid w:val="00EF7E34"/>
    <w:pPr>
      <w:keepLines/>
      <w:numPr>
        <w:numId w:val="6"/>
      </w:numPr>
      <w:tabs>
        <w:tab w:val="clear" w:pos="7372"/>
        <w:tab w:val="num" w:pos="567"/>
      </w:tabs>
      <w:spacing w:before="120" w:after="120" w:line="240" w:lineRule="auto"/>
      <w:ind w:left="567"/>
    </w:pPr>
    <w:rPr>
      <w:rFonts w:ascii="Calibri" w:hAnsi="Calibri" w:cs="Times New Roman"/>
      <w:sz w:val="24"/>
      <w:szCs w:val="24"/>
    </w:rPr>
  </w:style>
  <w:style w:type="paragraph" w:customStyle="1" w:styleId="Numberedpara3level211">
    <w:name w:val="Numbered para (3) level 2 (1.1)"/>
    <w:basedOn w:val="Normal"/>
    <w:qFormat/>
    <w:rsid w:val="00EF7E34"/>
    <w:pPr>
      <w:keepLines/>
      <w:numPr>
        <w:ilvl w:val="1"/>
        <w:numId w:val="6"/>
      </w:numPr>
      <w:spacing w:before="120" w:after="120" w:line="240" w:lineRule="auto"/>
      <w:ind w:left="1304" w:hanging="737"/>
    </w:pPr>
    <w:rPr>
      <w:rFonts w:ascii="Calibri" w:hAnsi="Calibri" w:cs="Times New Roman"/>
      <w:sz w:val="24"/>
      <w:szCs w:val="24"/>
    </w:rPr>
  </w:style>
  <w:style w:type="paragraph" w:customStyle="1" w:styleId="Numberedpara3level3111">
    <w:name w:val="Numbered para (3) level 3 (1.1.1)"/>
    <w:basedOn w:val="Normal"/>
    <w:qFormat/>
    <w:rsid w:val="00EF7E34"/>
    <w:pPr>
      <w:keepLines/>
      <w:numPr>
        <w:ilvl w:val="2"/>
        <w:numId w:val="6"/>
      </w:numPr>
      <w:spacing w:before="120" w:after="120" w:line="240" w:lineRule="auto"/>
      <w:ind w:left="2211" w:hanging="907"/>
    </w:pPr>
    <w:rPr>
      <w:rFonts w:ascii="Calibri" w:hAnsi="Calibri" w:cs="Times New Roman"/>
      <w:sz w:val="24"/>
      <w:szCs w:val="24"/>
    </w:rPr>
  </w:style>
  <w:style w:type="paragraph" w:customStyle="1" w:styleId="FinancialtableLHC">
    <w:name w:val="Financial table LHC"/>
    <w:basedOn w:val="Normal"/>
    <w:qFormat/>
    <w:rsid w:val="00EF7E34"/>
    <w:pPr>
      <w:keepLines/>
      <w:spacing w:after="0" w:line="240" w:lineRule="auto"/>
      <w:contextualSpacing/>
    </w:pPr>
    <w:rPr>
      <w:rFonts w:ascii="Calibri" w:hAnsi="Calibri" w:cs="Times New Roman"/>
      <w:szCs w:val="24"/>
    </w:rPr>
  </w:style>
  <w:style w:type="paragraph" w:customStyle="1" w:styleId="Financialtablefigures">
    <w:name w:val="Financial table figures"/>
    <w:basedOn w:val="FinancialtableLHC"/>
    <w:qFormat/>
    <w:rsid w:val="00EF7E34"/>
    <w:pPr>
      <w:jc w:val="right"/>
    </w:pPr>
  </w:style>
  <w:style w:type="paragraph" w:customStyle="1" w:styleId="Financialtableyears">
    <w:name w:val="Financial table years"/>
    <w:basedOn w:val="Financialtablefigures"/>
    <w:qFormat/>
    <w:rsid w:val="00EF7E34"/>
    <w:pPr>
      <w:jc w:val="center"/>
    </w:pPr>
    <w:rPr>
      <w:b/>
      <w:sz w:val="20"/>
    </w:rPr>
  </w:style>
  <w:style w:type="character" w:styleId="Emphasis">
    <w:name w:val="Emphasis"/>
    <w:basedOn w:val="DefaultParagraphFont"/>
    <w:uiPriority w:val="20"/>
    <w:qFormat/>
    <w:rsid w:val="00EF7E34"/>
    <w:rPr>
      <w:i/>
      <w:iCs/>
    </w:rPr>
  </w:style>
  <w:style w:type="character" w:customStyle="1" w:styleId="apple-converted-space">
    <w:name w:val="apple-converted-space"/>
    <w:basedOn w:val="DefaultParagraphFont"/>
    <w:rsid w:val="00EF7E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7E3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en-AU"/>
    </w:rPr>
  </w:style>
  <w:style w:type="paragraph" w:styleId="Heading3">
    <w:name w:val="heading 3"/>
    <w:basedOn w:val="Normal"/>
    <w:next w:val="Normal"/>
    <w:link w:val="Heading3Char"/>
    <w:uiPriority w:val="9"/>
    <w:semiHidden/>
    <w:unhideWhenUsed/>
    <w:qFormat/>
    <w:rsid w:val="00EF7E34"/>
    <w:pPr>
      <w:keepNext/>
      <w:keepLines/>
      <w:spacing w:before="200" w:after="0" w:line="240" w:lineRule="auto"/>
      <w:outlineLvl w:val="2"/>
    </w:pPr>
    <w:rPr>
      <w:rFonts w:asciiTheme="majorHAnsi" w:eastAsiaTheme="majorEastAsia" w:hAnsiTheme="majorHAnsi" w:cstheme="majorBidi"/>
      <w:b/>
      <w:bCs/>
      <w:color w:val="4F81BD" w:themeColor="accent1"/>
      <w:sz w:val="23"/>
      <w:szCs w:val="24"/>
      <w:lang w:eastAsia="en-AU"/>
    </w:rPr>
  </w:style>
  <w:style w:type="paragraph" w:styleId="Heading4">
    <w:name w:val="heading 4"/>
    <w:basedOn w:val="Normal"/>
    <w:next w:val="Normal"/>
    <w:link w:val="Heading4Char"/>
    <w:qFormat/>
    <w:rsid w:val="00EF7E34"/>
    <w:pPr>
      <w:keepNext/>
      <w:spacing w:before="480" w:after="120" w:line="240" w:lineRule="auto"/>
      <w:outlineLvl w:val="3"/>
    </w:pPr>
    <w:rPr>
      <w:rFonts w:ascii="Arial" w:eastAsia="Times New Roman" w:hAnsi="Arial" w:cs="Times New Roman"/>
      <w:b/>
      <w:bCs/>
      <w:sz w:val="23"/>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E34"/>
    <w:rPr>
      <w:rFonts w:asciiTheme="majorHAnsi" w:eastAsiaTheme="majorEastAsia" w:hAnsiTheme="majorHAnsi" w:cstheme="majorBidi"/>
      <w:b/>
      <w:bCs/>
      <w:color w:val="365F91" w:themeColor="accent1" w:themeShade="BF"/>
      <w:sz w:val="28"/>
      <w:szCs w:val="28"/>
      <w:lang w:eastAsia="en-AU"/>
    </w:rPr>
  </w:style>
  <w:style w:type="character" w:customStyle="1" w:styleId="Heading4Char">
    <w:name w:val="Heading 4 Char"/>
    <w:basedOn w:val="DefaultParagraphFont"/>
    <w:link w:val="Heading4"/>
    <w:rsid w:val="00EF7E34"/>
    <w:rPr>
      <w:rFonts w:ascii="Arial" w:eastAsia="Times New Roman" w:hAnsi="Arial" w:cs="Times New Roman"/>
      <w:b/>
      <w:bCs/>
      <w:sz w:val="23"/>
      <w:szCs w:val="28"/>
      <w:lang w:eastAsia="en-AU"/>
    </w:rPr>
  </w:style>
  <w:style w:type="paragraph" w:styleId="ListParagraph">
    <w:name w:val="List Paragraph"/>
    <w:basedOn w:val="Normal"/>
    <w:uiPriority w:val="34"/>
    <w:qFormat/>
    <w:rsid w:val="00E155BF"/>
    <w:pPr>
      <w:ind w:left="720"/>
      <w:contextualSpacing/>
    </w:pPr>
  </w:style>
  <w:style w:type="table" w:styleId="TableGrid">
    <w:name w:val="Table Grid"/>
    <w:basedOn w:val="TableNormal"/>
    <w:uiPriority w:val="59"/>
    <w:rsid w:val="00572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927BDD"/>
    <w:pPr>
      <w:spacing w:after="0" w:line="240" w:lineRule="auto"/>
    </w:pPr>
    <w:rPr>
      <w:sz w:val="20"/>
      <w:szCs w:val="20"/>
    </w:rPr>
  </w:style>
  <w:style w:type="character" w:customStyle="1" w:styleId="FootnoteTextChar">
    <w:name w:val="Footnote Text Char"/>
    <w:basedOn w:val="DefaultParagraphFont"/>
    <w:link w:val="FootnoteText"/>
    <w:uiPriority w:val="99"/>
    <w:rsid w:val="00927BDD"/>
    <w:rPr>
      <w:sz w:val="20"/>
      <w:szCs w:val="20"/>
    </w:rPr>
  </w:style>
  <w:style w:type="character" w:styleId="FootnoteReference">
    <w:name w:val="footnote reference"/>
    <w:basedOn w:val="DefaultParagraphFont"/>
    <w:unhideWhenUsed/>
    <w:rsid w:val="00927BDD"/>
    <w:rPr>
      <w:vertAlign w:val="superscript"/>
    </w:rPr>
  </w:style>
  <w:style w:type="paragraph" w:customStyle="1" w:styleId="TRNormal">
    <w:name w:val="_TRNormal"/>
    <w:link w:val="TRNormalChar"/>
    <w:rsid w:val="00170CDA"/>
    <w:pPr>
      <w:spacing w:after="0" w:line="300" w:lineRule="atLeast"/>
      <w:jc w:val="both"/>
    </w:pPr>
    <w:rPr>
      <w:rFonts w:ascii="Times New Roman" w:eastAsia="Times New Roman" w:hAnsi="Times New Roman" w:cs="Times New Roman"/>
      <w:sz w:val="24"/>
      <w:szCs w:val="20"/>
      <w:lang w:eastAsia="en-AU"/>
    </w:rPr>
  </w:style>
  <w:style w:type="character" w:customStyle="1" w:styleId="TRNormalChar">
    <w:name w:val="_TRNormal Char"/>
    <w:basedOn w:val="DefaultParagraphFont"/>
    <w:link w:val="TRNormal"/>
    <w:rsid w:val="00170CDA"/>
    <w:rPr>
      <w:rFonts w:ascii="Times New Roman" w:eastAsia="Times New Roman" w:hAnsi="Times New Roman" w:cs="Times New Roman"/>
      <w:sz w:val="24"/>
      <w:szCs w:val="20"/>
      <w:lang w:eastAsia="en-AU"/>
    </w:rPr>
  </w:style>
  <w:style w:type="paragraph" w:customStyle="1" w:styleId="TRListBullet">
    <w:name w:val="_TRList Bullet"/>
    <w:basedOn w:val="TRNormal"/>
    <w:rsid w:val="001326C8"/>
    <w:pPr>
      <w:numPr>
        <w:numId w:val="1"/>
      </w:numPr>
      <w:spacing w:after="200"/>
    </w:pPr>
  </w:style>
  <w:style w:type="paragraph" w:styleId="Header">
    <w:name w:val="header"/>
    <w:basedOn w:val="Normal"/>
    <w:link w:val="HeaderChar"/>
    <w:uiPriority w:val="99"/>
    <w:unhideWhenUsed/>
    <w:rsid w:val="00B64E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E4C"/>
  </w:style>
  <w:style w:type="paragraph" w:styleId="Footer">
    <w:name w:val="footer"/>
    <w:basedOn w:val="Normal"/>
    <w:link w:val="FooterChar"/>
    <w:unhideWhenUsed/>
    <w:rsid w:val="00B64E4C"/>
    <w:pPr>
      <w:tabs>
        <w:tab w:val="center" w:pos="4513"/>
        <w:tab w:val="right" w:pos="9026"/>
      </w:tabs>
      <w:spacing w:after="0" w:line="240" w:lineRule="auto"/>
    </w:pPr>
  </w:style>
  <w:style w:type="character" w:customStyle="1" w:styleId="FooterChar">
    <w:name w:val="Footer Char"/>
    <w:basedOn w:val="DefaultParagraphFont"/>
    <w:link w:val="Footer"/>
    <w:rsid w:val="00B64E4C"/>
  </w:style>
  <w:style w:type="paragraph" w:styleId="BalloonText">
    <w:name w:val="Balloon Text"/>
    <w:basedOn w:val="Normal"/>
    <w:link w:val="BalloonTextChar"/>
    <w:uiPriority w:val="99"/>
    <w:semiHidden/>
    <w:unhideWhenUsed/>
    <w:rsid w:val="00B24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B04"/>
    <w:rPr>
      <w:rFonts w:ascii="Tahoma" w:hAnsi="Tahoma" w:cs="Tahoma"/>
      <w:sz w:val="16"/>
      <w:szCs w:val="16"/>
    </w:rPr>
  </w:style>
  <w:style w:type="character" w:styleId="CommentReference">
    <w:name w:val="annotation reference"/>
    <w:basedOn w:val="DefaultParagraphFont"/>
    <w:uiPriority w:val="99"/>
    <w:semiHidden/>
    <w:unhideWhenUsed/>
    <w:rsid w:val="00E87577"/>
    <w:rPr>
      <w:sz w:val="16"/>
      <w:szCs w:val="16"/>
    </w:rPr>
  </w:style>
  <w:style w:type="paragraph" w:styleId="CommentText">
    <w:name w:val="annotation text"/>
    <w:basedOn w:val="Normal"/>
    <w:link w:val="CommentTextChar"/>
    <w:uiPriority w:val="99"/>
    <w:semiHidden/>
    <w:unhideWhenUsed/>
    <w:rsid w:val="00E87577"/>
    <w:pPr>
      <w:spacing w:line="240" w:lineRule="auto"/>
    </w:pPr>
    <w:rPr>
      <w:sz w:val="20"/>
      <w:szCs w:val="20"/>
    </w:rPr>
  </w:style>
  <w:style w:type="character" w:customStyle="1" w:styleId="CommentTextChar">
    <w:name w:val="Comment Text Char"/>
    <w:basedOn w:val="DefaultParagraphFont"/>
    <w:link w:val="CommentText"/>
    <w:uiPriority w:val="99"/>
    <w:semiHidden/>
    <w:rsid w:val="00E87577"/>
    <w:rPr>
      <w:sz w:val="20"/>
      <w:szCs w:val="20"/>
    </w:rPr>
  </w:style>
  <w:style w:type="paragraph" w:styleId="CommentSubject">
    <w:name w:val="annotation subject"/>
    <w:basedOn w:val="CommentText"/>
    <w:next w:val="CommentText"/>
    <w:link w:val="CommentSubjectChar"/>
    <w:uiPriority w:val="99"/>
    <w:semiHidden/>
    <w:unhideWhenUsed/>
    <w:rsid w:val="00E87577"/>
    <w:rPr>
      <w:b/>
      <w:bCs/>
    </w:rPr>
  </w:style>
  <w:style w:type="character" w:customStyle="1" w:styleId="CommentSubjectChar">
    <w:name w:val="Comment Subject Char"/>
    <w:basedOn w:val="CommentTextChar"/>
    <w:link w:val="CommentSubject"/>
    <w:uiPriority w:val="99"/>
    <w:semiHidden/>
    <w:rsid w:val="00E87577"/>
    <w:rPr>
      <w:b/>
      <w:bCs/>
      <w:sz w:val="20"/>
      <w:szCs w:val="20"/>
    </w:rPr>
  </w:style>
  <w:style w:type="character" w:styleId="PageNumber">
    <w:name w:val="page number"/>
    <w:basedOn w:val="DefaultParagraphFont"/>
    <w:rsid w:val="00CC3977"/>
  </w:style>
  <w:style w:type="character" w:customStyle="1" w:styleId="Heading3Char">
    <w:name w:val="Heading 3 Char"/>
    <w:basedOn w:val="DefaultParagraphFont"/>
    <w:link w:val="Heading3"/>
    <w:uiPriority w:val="9"/>
    <w:semiHidden/>
    <w:rsid w:val="00EF7E34"/>
    <w:rPr>
      <w:rFonts w:asciiTheme="majorHAnsi" w:eastAsiaTheme="majorEastAsia" w:hAnsiTheme="majorHAnsi" w:cstheme="majorBidi"/>
      <w:b/>
      <w:bCs/>
      <w:color w:val="4F81BD" w:themeColor="accent1"/>
      <w:sz w:val="23"/>
      <w:szCs w:val="24"/>
      <w:lang w:eastAsia="en-AU"/>
    </w:rPr>
  </w:style>
  <w:style w:type="paragraph" w:styleId="BodyText">
    <w:name w:val="Body Text"/>
    <w:basedOn w:val="Normal"/>
    <w:link w:val="BodyTextChar"/>
    <w:rsid w:val="00EF7E34"/>
    <w:pPr>
      <w:spacing w:before="220" w:after="0" w:line="240" w:lineRule="auto"/>
    </w:pPr>
    <w:rPr>
      <w:rFonts w:ascii="Arial" w:eastAsia="Times New Roman" w:hAnsi="Arial" w:cs="Times New Roman"/>
      <w:sz w:val="23"/>
      <w:szCs w:val="24"/>
      <w:lang w:eastAsia="en-AU"/>
    </w:rPr>
  </w:style>
  <w:style w:type="character" w:customStyle="1" w:styleId="BodyTextChar">
    <w:name w:val="Body Text Char"/>
    <w:basedOn w:val="DefaultParagraphFont"/>
    <w:link w:val="BodyText"/>
    <w:rsid w:val="00EF7E34"/>
    <w:rPr>
      <w:rFonts w:ascii="Arial" w:eastAsia="Times New Roman" w:hAnsi="Arial" w:cs="Times New Roman"/>
      <w:sz w:val="23"/>
      <w:szCs w:val="24"/>
      <w:lang w:eastAsia="en-AU"/>
    </w:rPr>
  </w:style>
  <w:style w:type="character" w:customStyle="1" w:styleId="Bold">
    <w:name w:val="Bold"/>
    <w:basedOn w:val="DefaultParagraphFont"/>
    <w:rsid w:val="00EF7E34"/>
    <w:rPr>
      <w:b/>
    </w:rPr>
  </w:style>
  <w:style w:type="character" w:customStyle="1" w:styleId="Italic">
    <w:name w:val="Italic"/>
    <w:basedOn w:val="DefaultParagraphFont"/>
    <w:rsid w:val="00EF7E34"/>
    <w:rPr>
      <w:i/>
    </w:rPr>
  </w:style>
  <w:style w:type="paragraph" w:customStyle="1" w:styleId="SignatureText">
    <w:name w:val="Signature Text"/>
    <w:basedOn w:val="Normal"/>
    <w:rsid w:val="00EF7E34"/>
    <w:pPr>
      <w:spacing w:before="1560" w:after="0" w:line="240" w:lineRule="auto"/>
    </w:pPr>
    <w:rPr>
      <w:rFonts w:ascii="Arial" w:eastAsia="Times New Roman" w:hAnsi="Arial" w:cs="Times New Roman"/>
      <w:sz w:val="23"/>
      <w:szCs w:val="24"/>
      <w:lang w:eastAsia="en-AU"/>
    </w:rPr>
  </w:style>
  <w:style w:type="paragraph" w:customStyle="1" w:styleId="NumberLevel1">
    <w:name w:val="Number Level 1"/>
    <w:basedOn w:val="Normal"/>
    <w:rsid w:val="00EF7E34"/>
    <w:pPr>
      <w:numPr>
        <w:numId w:val="3"/>
      </w:numPr>
      <w:tabs>
        <w:tab w:val="clear" w:pos="641"/>
        <w:tab w:val="num" w:pos="357"/>
      </w:tabs>
      <w:spacing w:before="120" w:after="120" w:line="240" w:lineRule="auto"/>
      <w:ind w:left="357"/>
    </w:pPr>
    <w:rPr>
      <w:rFonts w:ascii="Arial" w:eastAsia="Times New Roman" w:hAnsi="Arial" w:cs="Times New Roman"/>
      <w:sz w:val="23"/>
      <w:szCs w:val="24"/>
      <w:lang w:eastAsia="en-AU"/>
    </w:rPr>
  </w:style>
  <w:style w:type="paragraph" w:customStyle="1" w:styleId="CabinetHeadingRight">
    <w:name w:val="Cabinet Heading Right"/>
    <w:basedOn w:val="BodyText"/>
    <w:rsid w:val="00EF7E34"/>
    <w:pPr>
      <w:spacing w:before="0" w:after="720"/>
      <w:jc w:val="right"/>
    </w:pPr>
  </w:style>
  <w:style w:type="paragraph" w:customStyle="1" w:styleId="CabinetHeadingRightUnderline">
    <w:name w:val="Cabinet Heading Right Underline"/>
    <w:basedOn w:val="CabinetHeadingRight"/>
    <w:next w:val="CabinetHeadingRight"/>
    <w:rsid w:val="00EF7E34"/>
    <w:rPr>
      <w:u w:val="single"/>
    </w:rPr>
  </w:style>
  <w:style w:type="paragraph" w:customStyle="1" w:styleId="NumberLevel3">
    <w:name w:val="Number Level 3"/>
    <w:basedOn w:val="NumberLevel2"/>
    <w:rsid w:val="00EF7E34"/>
    <w:pPr>
      <w:keepNext/>
      <w:numPr>
        <w:ilvl w:val="2"/>
      </w:numPr>
      <w:tabs>
        <w:tab w:val="clear" w:pos="1077"/>
        <w:tab w:val="num" w:pos="1260"/>
      </w:tabs>
      <w:ind w:left="1260" w:hanging="540"/>
    </w:pPr>
  </w:style>
  <w:style w:type="paragraph" w:customStyle="1" w:styleId="NumberLevel2">
    <w:name w:val="Number Level 2"/>
    <w:basedOn w:val="NumberLevel1"/>
    <w:rsid w:val="00EF7E34"/>
    <w:pPr>
      <w:numPr>
        <w:ilvl w:val="1"/>
      </w:numPr>
      <w:spacing w:before="220" w:after="220"/>
    </w:pPr>
  </w:style>
  <w:style w:type="paragraph" w:customStyle="1" w:styleId="BodyText-Numbered">
    <w:name w:val="Body Text - Numbered"/>
    <w:basedOn w:val="BodyText"/>
    <w:link w:val="BodyText-NumberedChar"/>
    <w:qFormat/>
    <w:rsid w:val="00EF7E34"/>
    <w:pPr>
      <w:keepNext/>
      <w:numPr>
        <w:numId w:val="4"/>
      </w:numPr>
      <w:spacing w:before="60" w:after="120"/>
    </w:pPr>
    <w:rPr>
      <w:rFonts w:cs="Arial"/>
      <w:szCs w:val="20"/>
      <w:lang w:eastAsia="en-GB"/>
    </w:rPr>
  </w:style>
  <w:style w:type="character" w:customStyle="1" w:styleId="BodyText-NumberedChar">
    <w:name w:val="Body Text - Numbered Char"/>
    <w:basedOn w:val="BodyTextChar"/>
    <w:link w:val="BodyText-Numbered"/>
    <w:rsid w:val="00EF7E34"/>
    <w:rPr>
      <w:rFonts w:ascii="Arial" w:eastAsia="Times New Roman" w:hAnsi="Arial" w:cs="Arial"/>
      <w:sz w:val="23"/>
      <w:szCs w:val="20"/>
      <w:lang w:eastAsia="en-GB"/>
    </w:rPr>
  </w:style>
  <w:style w:type="paragraph" w:customStyle="1" w:styleId="NumberedPara">
    <w:name w:val="Numbered Para"/>
    <w:basedOn w:val="Normal"/>
    <w:autoRedefine/>
    <w:qFormat/>
    <w:rsid w:val="00EF7E34"/>
    <w:pPr>
      <w:spacing w:before="120" w:after="60" w:line="240" w:lineRule="auto"/>
      <w:jc w:val="both"/>
    </w:pPr>
    <w:rPr>
      <w:rFonts w:ascii="Arial" w:eastAsia="Times New Roman" w:hAnsi="Arial" w:cs="Arial"/>
    </w:rPr>
  </w:style>
  <w:style w:type="paragraph" w:customStyle="1" w:styleId="Agree-disagree">
    <w:name w:val="Agree-disagree"/>
    <w:basedOn w:val="Normal"/>
    <w:rsid w:val="00EF7E34"/>
    <w:pPr>
      <w:keepNext/>
      <w:spacing w:after="120" w:line="240" w:lineRule="auto"/>
      <w:ind w:firstLine="567"/>
      <w:jc w:val="right"/>
    </w:pPr>
    <w:rPr>
      <w:rFonts w:ascii="Arial" w:eastAsia="Times New Roman" w:hAnsi="Arial" w:cs="Arial"/>
      <w:i/>
      <w:iCs/>
      <w:szCs w:val="20"/>
    </w:rPr>
  </w:style>
  <w:style w:type="paragraph" w:customStyle="1" w:styleId="Recommendation">
    <w:name w:val="Recommendation"/>
    <w:basedOn w:val="Normal"/>
    <w:qFormat/>
    <w:rsid w:val="00EF7E34"/>
    <w:pPr>
      <w:keepNext/>
      <w:numPr>
        <w:numId w:val="5"/>
      </w:numPr>
      <w:spacing w:before="60" w:after="120" w:line="240" w:lineRule="auto"/>
      <w:ind w:left="567" w:hanging="567"/>
    </w:pPr>
    <w:rPr>
      <w:rFonts w:ascii="Arial" w:eastAsia="Times New Roman" w:hAnsi="Arial" w:cs="Arial"/>
      <w:b/>
      <w:szCs w:val="20"/>
    </w:rPr>
  </w:style>
  <w:style w:type="table" w:customStyle="1" w:styleId="Blanktable">
    <w:name w:val="Blank table"/>
    <w:basedOn w:val="TableNormal"/>
    <w:uiPriority w:val="99"/>
    <w:rsid w:val="00EF7E34"/>
    <w:pPr>
      <w:spacing w:before="120" w:after="120" w:line="240" w:lineRule="auto"/>
    </w:pPr>
    <w:rPr>
      <w:rFonts w:ascii="Calibri" w:eastAsia="Times New Roman" w:hAnsi="Calibri" w:cs="Times New Roman"/>
      <w:sz w:val="24"/>
      <w:szCs w:val="24"/>
      <w:lang w:eastAsia="en-NZ"/>
    </w:rPr>
    <w:tblPr>
      <w:tblInd w:w="108" w:type="dxa"/>
      <w:tblCellMar>
        <w:top w:w="0" w:type="dxa"/>
        <w:left w:w="108" w:type="dxa"/>
        <w:bottom w:w="0" w:type="dxa"/>
        <w:right w:w="108" w:type="dxa"/>
      </w:tblCellMar>
    </w:tblPr>
  </w:style>
  <w:style w:type="paragraph" w:customStyle="1" w:styleId="Numberedpara3level1">
    <w:name w:val="Numbered para (3) level 1"/>
    <w:basedOn w:val="Normal"/>
    <w:qFormat/>
    <w:rsid w:val="00EF7E34"/>
    <w:pPr>
      <w:keepLines/>
      <w:numPr>
        <w:numId w:val="6"/>
      </w:numPr>
      <w:tabs>
        <w:tab w:val="clear" w:pos="7372"/>
        <w:tab w:val="num" w:pos="567"/>
      </w:tabs>
      <w:spacing w:before="120" w:after="120" w:line="240" w:lineRule="auto"/>
      <w:ind w:left="567"/>
    </w:pPr>
    <w:rPr>
      <w:rFonts w:ascii="Calibri" w:hAnsi="Calibri" w:cs="Times New Roman"/>
      <w:sz w:val="24"/>
      <w:szCs w:val="24"/>
    </w:rPr>
  </w:style>
  <w:style w:type="paragraph" w:customStyle="1" w:styleId="Numberedpara3level211">
    <w:name w:val="Numbered para (3) level 2 (1.1)"/>
    <w:basedOn w:val="Normal"/>
    <w:qFormat/>
    <w:rsid w:val="00EF7E34"/>
    <w:pPr>
      <w:keepLines/>
      <w:numPr>
        <w:ilvl w:val="1"/>
        <w:numId w:val="6"/>
      </w:numPr>
      <w:spacing w:before="120" w:after="120" w:line="240" w:lineRule="auto"/>
      <w:ind w:left="1304" w:hanging="737"/>
    </w:pPr>
    <w:rPr>
      <w:rFonts w:ascii="Calibri" w:hAnsi="Calibri" w:cs="Times New Roman"/>
      <w:sz w:val="24"/>
      <w:szCs w:val="24"/>
    </w:rPr>
  </w:style>
  <w:style w:type="paragraph" w:customStyle="1" w:styleId="Numberedpara3level3111">
    <w:name w:val="Numbered para (3) level 3 (1.1.1)"/>
    <w:basedOn w:val="Normal"/>
    <w:qFormat/>
    <w:rsid w:val="00EF7E34"/>
    <w:pPr>
      <w:keepLines/>
      <w:numPr>
        <w:ilvl w:val="2"/>
        <w:numId w:val="6"/>
      </w:numPr>
      <w:spacing w:before="120" w:after="120" w:line="240" w:lineRule="auto"/>
      <w:ind w:left="2211" w:hanging="907"/>
    </w:pPr>
    <w:rPr>
      <w:rFonts w:ascii="Calibri" w:hAnsi="Calibri" w:cs="Times New Roman"/>
      <w:sz w:val="24"/>
      <w:szCs w:val="24"/>
    </w:rPr>
  </w:style>
  <w:style w:type="paragraph" w:customStyle="1" w:styleId="FinancialtableLHC">
    <w:name w:val="Financial table LHC"/>
    <w:basedOn w:val="Normal"/>
    <w:qFormat/>
    <w:rsid w:val="00EF7E34"/>
    <w:pPr>
      <w:keepLines/>
      <w:spacing w:after="0" w:line="240" w:lineRule="auto"/>
      <w:contextualSpacing/>
    </w:pPr>
    <w:rPr>
      <w:rFonts w:ascii="Calibri" w:hAnsi="Calibri" w:cs="Times New Roman"/>
      <w:szCs w:val="24"/>
    </w:rPr>
  </w:style>
  <w:style w:type="paragraph" w:customStyle="1" w:styleId="Financialtablefigures">
    <w:name w:val="Financial table figures"/>
    <w:basedOn w:val="FinancialtableLHC"/>
    <w:qFormat/>
    <w:rsid w:val="00EF7E34"/>
    <w:pPr>
      <w:jc w:val="right"/>
    </w:pPr>
  </w:style>
  <w:style w:type="paragraph" w:customStyle="1" w:styleId="Financialtableyears">
    <w:name w:val="Financial table years"/>
    <w:basedOn w:val="Financialtablefigures"/>
    <w:qFormat/>
    <w:rsid w:val="00EF7E34"/>
    <w:pPr>
      <w:jc w:val="center"/>
    </w:pPr>
    <w:rPr>
      <w:b/>
      <w:sz w:val="20"/>
    </w:rPr>
  </w:style>
  <w:style w:type="character" w:styleId="Emphasis">
    <w:name w:val="Emphasis"/>
    <w:basedOn w:val="DefaultParagraphFont"/>
    <w:uiPriority w:val="20"/>
    <w:qFormat/>
    <w:rsid w:val="00EF7E34"/>
    <w:rPr>
      <w:i/>
      <w:iCs/>
    </w:rPr>
  </w:style>
  <w:style w:type="character" w:customStyle="1" w:styleId="apple-converted-space">
    <w:name w:val="apple-converted-space"/>
    <w:basedOn w:val="DefaultParagraphFont"/>
    <w:rsid w:val="00EF7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369947">
      <w:bodyDiv w:val="1"/>
      <w:marLeft w:val="0"/>
      <w:marRight w:val="0"/>
      <w:marTop w:val="0"/>
      <w:marBottom w:val="0"/>
      <w:divBdr>
        <w:top w:val="none" w:sz="0" w:space="0" w:color="auto"/>
        <w:left w:val="none" w:sz="0" w:space="0" w:color="auto"/>
        <w:bottom w:val="none" w:sz="0" w:space="0" w:color="auto"/>
        <w:right w:val="none" w:sz="0" w:space="0" w:color="auto"/>
      </w:divBdr>
    </w:div>
    <w:div w:id="1183083040">
      <w:bodyDiv w:val="1"/>
      <w:marLeft w:val="0"/>
      <w:marRight w:val="0"/>
      <w:marTop w:val="0"/>
      <w:marBottom w:val="0"/>
      <w:divBdr>
        <w:top w:val="none" w:sz="0" w:space="0" w:color="auto"/>
        <w:left w:val="none" w:sz="0" w:space="0" w:color="auto"/>
        <w:bottom w:val="none" w:sz="0" w:space="0" w:color="auto"/>
        <w:right w:val="none" w:sz="0" w:space="0" w:color="auto"/>
      </w:divBdr>
    </w:div>
    <w:div w:id="1280601810">
      <w:bodyDiv w:val="1"/>
      <w:marLeft w:val="0"/>
      <w:marRight w:val="0"/>
      <w:marTop w:val="0"/>
      <w:marBottom w:val="0"/>
      <w:divBdr>
        <w:top w:val="none" w:sz="0" w:space="0" w:color="auto"/>
        <w:left w:val="none" w:sz="0" w:space="0" w:color="auto"/>
        <w:bottom w:val="none" w:sz="0" w:space="0" w:color="auto"/>
        <w:right w:val="none" w:sz="0" w:space="0" w:color="auto"/>
      </w:divBdr>
    </w:div>
    <w:div w:id="1303585573">
      <w:bodyDiv w:val="1"/>
      <w:marLeft w:val="0"/>
      <w:marRight w:val="0"/>
      <w:marTop w:val="0"/>
      <w:marBottom w:val="0"/>
      <w:divBdr>
        <w:top w:val="none" w:sz="0" w:space="0" w:color="auto"/>
        <w:left w:val="none" w:sz="0" w:space="0" w:color="auto"/>
        <w:bottom w:val="none" w:sz="0" w:space="0" w:color="auto"/>
        <w:right w:val="none" w:sz="0" w:space="0" w:color="auto"/>
      </w:divBdr>
    </w:div>
    <w:div w:id="1331979395">
      <w:bodyDiv w:val="1"/>
      <w:marLeft w:val="0"/>
      <w:marRight w:val="0"/>
      <w:marTop w:val="0"/>
      <w:marBottom w:val="0"/>
      <w:divBdr>
        <w:top w:val="none" w:sz="0" w:space="0" w:color="auto"/>
        <w:left w:val="none" w:sz="0" w:space="0" w:color="auto"/>
        <w:bottom w:val="none" w:sz="0" w:space="0" w:color="auto"/>
        <w:right w:val="none" w:sz="0" w:space="0" w:color="auto"/>
      </w:divBdr>
    </w:div>
    <w:div w:id="1375471480">
      <w:bodyDiv w:val="1"/>
      <w:marLeft w:val="0"/>
      <w:marRight w:val="0"/>
      <w:marTop w:val="0"/>
      <w:marBottom w:val="0"/>
      <w:divBdr>
        <w:top w:val="none" w:sz="0" w:space="0" w:color="auto"/>
        <w:left w:val="none" w:sz="0" w:space="0" w:color="auto"/>
        <w:bottom w:val="none" w:sz="0" w:space="0" w:color="auto"/>
        <w:right w:val="none" w:sz="0" w:space="0" w:color="auto"/>
      </w:divBdr>
    </w:div>
    <w:div w:id="1949044969">
      <w:bodyDiv w:val="1"/>
      <w:marLeft w:val="0"/>
      <w:marRight w:val="0"/>
      <w:marTop w:val="0"/>
      <w:marBottom w:val="0"/>
      <w:divBdr>
        <w:top w:val="none" w:sz="0" w:space="0" w:color="auto"/>
        <w:left w:val="none" w:sz="0" w:space="0" w:color="auto"/>
        <w:bottom w:val="none" w:sz="0" w:space="0" w:color="auto"/>
        <w:right w:val="none" w:sz="0" w:space="0" w:color="auto"/>
      </w:divBdr>
    </w:div>
    <w:div w:id="196230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D3E15-046E-404D-A263-F7F560F5E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4925</Words>
  <Characters>26596</Characters>
  <Application>Microsoft Office Word</Application>
  <DocSecurity>0</DocSecurity>
  <Lines>738</Lines>
  <Paragraphs>258</Paragraphs>
  <ScaleCrop>false</ScaleCrop>
  <HeadingPairs>
    <vt:vector size="2" baseType="variant">
      <vt:variant>
        <vt:lpstr>Title</vt:lpstr>
      </vt:variant>
      <vt:variant>
        <vt:i4>1</vt:i4>
      </vt:variant>
    </vt:vector>
  </HeadingPairs>
  <TitlesOfParts>
    <vt:vector size="1" baseType="lpstr">
      <vt:lpstr>Regulatory impact statement - Implementing the tax provisions for community housing entities (June 2015)</vt:lpstr>
    </vt:vector>
  </TitlesOfParts>
  <Company>Inland Revenue</Company>
  <LinksUpToDate>false</LinksUpToDate>
  <CharactersWithSpaces>31263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statement - Implementing the tax provisions for community housing entities (June 2015)</dc:title>
  <dc:creator>Policy and Strategy</dc:creator>
  <dc:description>Published November 2015.</dc:description>
  <cp:lastModifiedBy>David Nind</cp:lastModifiedBy>
  <cp:revision>2</cp:revision>
  <dcterms:created xsi:type="dcterms:W3CDTF">2015-11-02T22:52:00Z</dcterms:created>
  <dcterms:modified xsi:type="dcterms:W3CDTF">2015-11-02T22:53:00Z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