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9F831" w14:textId="77777777" w:rsidR="000545DC" w:rsidRPr="000D5FF8"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0D5FF8">
        <w:rPr>
          <w:w w:val="100"/>
          <w:sz w:val="32"/>
          <w:szCs w:val="32"/>
        </w:rPr>
        <w:t>Regulatory Impact Statement</w:t>
      </w:r>
      <w:bookmarkEnd w:id="1"/>
      <w:bookmarkEnd w:id="2"/>
      <w:bookmarkEnd w:id="3"/>
      <w:bookmarkEnd w:id="4"/>
      <w:bookmarkEnd w:id="5"/>
    </w:p>
    <w:p w14:paraId="2CD32899" w14:textId="77777777" w:rsidR="000545DC" w:rsidRPr="000D5FF8" w:rsidRDefault="004323E5" w:rsidP="004342F0">
      <w:pPr>
        <w:pStyle w:val="RISheading"/>
        <w:rPr>
          <w:spacing w:val="0"/>
          <w:w w:val="100"/>
        </w:rPr>
      </w:pPr>
      <w:r w:rsidRPr="000D5FF8">
        <w:rPr>
          <w:spacing w:val="0"/>
          <w:w w:val="100"/>
        </w:rPr>
        <w:t>GST on cross-border services and intangibles</w:t>
      </w:r>
    </w:p>
    <w:p w14:paraId="3BC94349" w14:textId="77777777" w:rsidR="000545DC" w:rsidRPr="000D5FF8" w:rsidRDefault="001C6912" w:rsidP="004342F0">
      <w:pPr>
        <w:pStyle w:val="RISheading"/>
        <w:rPr>
          <w:spacing w:val="0"/>
          <w:w w:val="100"/>
        </w:rPr>
      </w:pPr>
      <w:r w:rsidRPr="000D5FF8">
        <w:rPr>
          <w:spacing w:val="0"/>
          <w:w w:val="100"/>
        </w:rPr>
        <w:t xml:space="preserve">Agency </w:t>
      </w:r>
      <w:r w:rsidR="000545DC" w:rsidRPr="000D5FF8">
        <w:rPr>
          <w:spacing w:val="0"/>
          <w:w w:val="100"/>
        </w:rPr>
        <w:t xml:space="preserve">Disclosure Statement </w:t>
      </w:r>
    </w:p>
    <w:p w14:paraId="332708DC" w14:textId="77777777" w:rsidR="000545DC" w:rsidRPr="000D5FF8" w:rsidRDefault="000545DC" w:rsidP="009A23EE">
      <w:pPr>
        <w:pStyle w:val="ListParagraph"/>
        <w:ind w:left="0" w:right="170"/>
        <w:contextualSpacing w:val="0"/>
        <w:rPr>
          <w:rFonts w:ascii="Times New Roman" w:hAnsi="Times New Roman"/>
          <w:sz w:val="24"/>
          <w:szCs w:val="24"/>
        </w:rPr>
      </w:pPr>
      <w:r w:rsidRPr="000D5FF8">
        <w:rPr>
          <w:rFonts w:ascii="Times New Roman" w:hAnsi="Times New Roman"/>
          <w:sz w:val="24"/>
          <w:szCs w:val="24"/>
        </w:rPr>
        <w:t>This Regulatory Impact Statement</w:t>
      </w:r>
      <w:r w:rsidR="000D5FF8">
        <w:rPr>
          <w:rFonts w:ascii="Times New Roman" w:hAnsi="Times New Roman"/>
          <w:sz w:val="24"/>
          <w:szCs w:val="24"/>
        </w:rPr>
        <w:t xml:space="preserve"> (RIS)</w:t>
      </w:r>
      <w:r w:rsidRPr="000D5FF8">
        <w:rPr>
          <w:rFonts w:ascii="Times New Roman" w:hAnsi="Times New Roman"/>
          <w:sz w:val="24"/>
          <w:szCs w:val="24"/>
        </w:rPr>
        <w:t xml:space="preserve"> has been prepared by </w:t>
      </w:r>
      <w:r w:rsidR="009F7B9A" w:rsidRPr="000D5FF8">
        <w:rPr>
          <w:rFonts w:ascii="Times New Roman" w:hAnsi="Times New Roman"/>
          <w:sz w:val="24"/>
          <w:szCs w:val="24"/>
        </w:rPr>
        <w:t>Inland Revenue</w:t>
      </w:r>
      <w:r w:rsidR="009A23EE" w:rsidRPr="000D5FF8">
        <w:rPr>
          <w:rFonts w:ascii="Times New Roman" w:hAnsi="Times New Roman"/>
          <w:sz w:val="24"/>
          <w:szCs w:val="24"/>
        </w:rPr>
        <w:t>.</w:t>
      </w:r>
    </w:p>
    <w:p w14:paraId="7B8BA261" w14:textId="77777777" w:rsidR="004342F0" w:rsidRPr="000D5FF8" w:rsidRDefault="004342F0" w:rsidP="005B3666">
      <w:pPr>
        <w:pStyle w:val="ListParagraph"/>
        <w:ind w:left="0" w:right="170"/>
        <w:contextualSpacing w:val="0"/>
        <w:rPr>
          <w:rFonts w:ascii="Times New Roman" w:hAnsi="Times New Roman"/>
          <w:sz w:val="24"/>
          <w:szCs w:val="24"/>
        </w:rPr>
      </w:pPr>
    </w:p>
    <w:p w14:paraId="36E167DD" w14:textId="16D51307" w:rsidR="00C9776F" w:rsidRPr="000D5FF8" w:rsidRDefault="000545DC" w:rsidP="005B3666">
      <w:pPr>
        <w:pStyle w:val="ListParagraph"/>
        <w:ind w:left="0" w:right="170"/>
        <w:contextualSpacing w:val="0"/>
        <w:rPr>
          <w:rFonts w:ascii="Times New Roman" w:hAnsi="Times New Roman"/>
          <w:sz w:val="24"/>
          <w:szCs w:val="24"/>
        </w:rPr>
      </w:pPr>
      <w:r w:rsidRPr="000D5FF8">
        <w:rPr>
          <w:rFonts w:ascii="Times New Roman" w:hAnsi="Times New Roman"/>
          <w:sz w:val="24"/>
          <w:szCs w:val="24"/>
        </w:rPr>
        <w:t>It p</w:t>
      </w:r>
      <w:r w:rsidR="000D5FF8">
        <w:rPr>
          <w:rFonts w:ascii="Times New Roman" w:hAnsi="Times New Roman"/>
          <w:sz w:val="24"/>
          <w:szCs w:val="24"/>
        </w:rPr>
        <w:t xml:space="preserve">rovides an analysis of options to </w:t>
      </w:r>
      <w:r w:rsidR="00C9776F" w:rsidRPr="000D5FF8">
        <w:rPr>
          <w:rFonts w:ascii="Times New Roman" w:hAnsi="Times New Roman"/>
          <w:sz w:val="24"/>
          <w:szCs w:val="24"/>
        </w:rPr>
        <w:t xml:space="preserve">apply Goods and Services Tax (GST) </w:t>
      </w:r>
      <w:r w:rsidR="008E6FA9">
        <w:rPr>
          <w:rFonts w:ascii="Times New Roman" w:hAnsi="Times New Roman"/>
          <w:sz w:val="24"/>
          <w:szCs w:val="24"/>
        </w:rPr>
        <w:t>to</w:t>
      </w:r>
      <w:r w:rsidR="00C9776F" w:rsidRPr="000D5FF8">
        <w:rPr>
          <w:rFonts w:ascii="Times New Roman" w:hAnsi="Times New Roman"/>
          <w:sz w:val="24"/>
          <w:szCs w:val="24"/>
        </w:rPr>
        <w:t xml:space="preserve"> cross-border services and intangibles consumed in New Zealand </w:t>
      </w:r>
      <w:r w:rsidR="00C9776F" w:rsidRPr="000D5FF8">
        <w:rPr>
          <w:rFonts w:ascii="Times New Roman" w:hAnsi="Times New Roman"/>
          <w:sz w:val="24"/>
          <w:szCs w:val="24"/>
          <w:lang w:val="en-GB"/>
        </w:rPr>
        <w:t>(including e-books, music, videos, and software purchased from offshore websites)</w:t>
      </w:r>
      <w:r w:rsidR="0077339D" w:rsidRPr="000D5FF8">
        <w:rPr>
          <w:rFonts w:ascii="Times New Roman" w:hAnsi="Times New Roman"/>
          <w:sz w:val="24"/>
          <w:szCs w:val="24"/>
          <w:lang w:val="en-GB"/>
        </w:rPr>
        <w:t>. Currently, GST is not</w:t>
      </w:r>
      <w:r w:rsidR="00F51FFB" w:rsidRPr="000D5FF8">
        <w:rPr>
          <w:rFonts w:ascii="Times New Roman" w:hAnsi="Times New Roman"/>
          <w:sz w:val="24"/>
          <w:szCs w:val="24"/>
          <w:lang w:val="en-GB"/>
        </w:rPr>
        <w:t xml:space="preserve"> usually collected on cross-border s</w:t>
      </w:r>
      <w:r w:rsidR="0077339D" w:rsidRPr="000D5FF8">
        <w:rPr>
          <w:rFonts w:ascii="Times New Roman" w:hAnsi="Times New Roman"/>
          <w:sz w:val="24"/>
          <w:szCs w:val="24"/>
          <w:lang w:val="en-GB"/>
        </w:rPr>
        <w:t>ervices and intangibles</w:t>
      </w:r>
      <w:r w:rsidR="008E6FA9">
        <w:rPr>
          <w:rFonts w:ascii="Times New Roman" w:hAnsi="Times New Roman"/>
          <w:sz w:val="24"/>
          <w:szCs w:val="24"/>
          <w:lang w:val="en-GB"/>
        </w:rPr>
        <w:t>,</w:t>
      </w:r>
      <w:r w:rsidR="0077339D" w:rsidRPr="000D5FF8">
        <w:rPr>
          <w:rFonts w:ascii="Times New Roman" w:hAnsi="Times New Roman"/>
          <w:sz w:val="24"/>
          <w:szCs w:val="24"/>
          <w:lang w:val="en-GB"/>
        </w:rPr>
        <w:t xml:space="preserve"> which results in competit</w:t>
      </w:r>
      <w:r w:rsidR="008E6FA9">
        <w:rPr>
          <w:rFonts w:ascii="Times New Roman" w:hAnsi="Times New Roman"/>
          <w:sz w:val="24"/>
          <w:szCs w:val="24"/>
          <w:lang w:val="en-GB"/>
        </w:rPr>
        <w:t>ion</w:t>
      </w:r>
      <w:r w:rsidR="0077339D" w:rsidRPr="000D5FF8">
        <w:rPr>
          <w:rFonts w:ascii="Times New Roman" w:hAnsi="Times New Roman"/>
          <w:sz w:val="24"/>
          <w:szCs w:val="24"/>
          <w:lang w:val="en-GB"/>
        </w:rPr>
        <w:t xml:space="preserve"> and fairness concerns</w:t>
      </w:r>
      <w:r w:rsidR="000F15EF">
        <w:rPr>
          <w:rFonts w:ascii="Times New Roman" w:hAnsi="Times New Roman"/>
          <w:sz w:val="24"/>
          <w:szCs w:val="24"/>
          <w:lang w:val="en-GB"/>
        </w:rPr>
        <w:t xml:space="preserve"> by New Zealand businesses</w:t>
      </w:r>
      <w:r w:rsidR="0077339D" w:rsidRPr="000D5FF8">
        <w:rPr>
          <w:rFonts w:ascii="Times New Roman" w:hAnsi="Times New Roman"/>
          <w:sz w:val="24"/>
          <w:szCs w:val="24"/>
          <w:lang w:val="en-GB"/>
        </w:rPr>
        <w:t>, as well as a revenue gap in New Zealand’s GST system.</w:t>
      </w:r>
    </w:p>
    <w:p w14:paraId="005A503F" w14:textId="77777777" w:rsidR="004342F0" w:rsidRPr="000D5FF8" w:rsidRDefault="004342F0" w:rsidP="005B3666">
      <w:pPr>
        <w:pStyle w:val="Text"/>
        <w:spacing w:before="0" w:after="0" w:line="240" w:lineRule="auto"/>
        <w:ind w:right="170"/>
        <w:rPr>
          <w:rFonts w:ascii="Times New Roman" w:hAnsi="Times New Roman"/>
          <w:sz w:val="24"/>
          <w:szCs w:val="24"/>
          <w:lang w:val="en-NZ"/>
        </w:rPr>
      </w:pPr>
    </w:p>
    <w:p w14:paraId="23C534E4" w14:textId="44725942" w:rsidR="0077339D" w:rsidRPr="000D5FF8" w:rsidRDefault="00C9776F" w:rsidP="005B3666">
      <w:pPr>
        <w:pStyle w:val="ListParagraph"/>
        <w:ind w:left="0" w:right="170"/>
        <w:contextualSpacing w:val="0"/>
        <w:rPr>
          <w:rFonts w:ascii="Times New Roman" w:hAnsi="Times New Roman"/>
          <w:sz w:val="24"/>
          <w:szCs w:val="24"/>
        </w:rPr>
      </w:pPr>
      <w:r w:rsidRPr="000D5FF8">
        <w:rPr>
          <w:rFonts w:ascii="Times New Roman" w:hAnsi="Times New Roman"/>
          <w:sz w:val="24"/>
          <w:szCs w:val="24"/>
        </w:rPr>
        <w:t xml:space="preserve">This analysis follows submissions received on the discussion document </w:t>
      </w:r>
      <w:r w:rsidRPr="000D5FF8">
        <w:rPr>
          <w:rFonts w:ascii="Times New Roman" w:hAnsi="Times New Roman"/>
          <w:i/>
          <w:sz w:val="24"/>
          <w:szCs w:val="24"/>
        </w:rPr>
        <w:t>GST: Cross-border services, intangibles and goods</w:t>
      </w:r>
      <w:r w:rsidRPr="000D5FF8">
        <w:rPr>
          <w:rFonts w:ascii="Times New Roman" w:hAnsi="Times New Roman"/>
          <w:sz w:val="24"/>
          <w:szCs w:val="24"/>
        </w:rPr>
        <w:t xml:space="preserve"> released on </w:t>
      </w:r>
      <w:r w:rsidRPr="000D5FF8">
        <w:rPr>
          <w:rFonts w:ascii="Times New Roman" w:hAnsi="Times New Roman"/>
          <w:sz w:val="24"/>
          <w:szCs w:val="24"/>
          <w:lang w:val="en-GB"/>
        </w:rPr>
        <w:t xml:space="preserve">18 August 2015, which sought public feedback on a proposal to require offshore suppliers of </w:t>
      </w:r>
      <w:r w:rsidRPr="000D5FF8">
        <w:rPr>
          <w:rFonts w:ascii="Times New Roman" w:hAnsi="Times New Roman"/>
          <w:sz w:val="24"/>
          <w:szCs w:val="24"/>
        </w:rPr>
        <w:t xml:space="preserve">services and intangibles </w:t>
      </w:r>
      <w:r w:rsidR="000F15EF">
        <w:rPr>
          <w:rFonts w:ascii="Times New Roman" w:hAnsi="Times New Roman"/>
          <w:sz w:val="24"/>
          <w:szCs w:val="24"/>
        </w:rPr>
        <w:t xml:space="preserve">to New Zealand resident consumers </w:t>
      </w:r>
      <w:r w:rsidRPr="000D5FF8">
        <w:rPr>
          <w:rFonts w:ascii="Times New Roman" w:hAnsi="Times New Roman"/>
          <w:sz w:val="24"/>
          <w:szCs w:val="24"/>
        </w:rPr>
        <w:t>to register and return the GST.</w:t>
      </w:r>
      <w:r w:rsidR="0077339D" w:rsidRPr="000D5FF8">
        <w:rPr>
          <w:rFonts w:ascii="Times New Roman" w:hAnsi="Times New Roman"/>
          <w:sz w:val="24"/>
          <w:szCs w:val="24"/>
        </w:rPr>
        <w:t xml:space="preserve"> The analysis also considered international developments to address this issue, including the </w:t>
      </w:r>
      <w:r w:rsidR="0077339D" w:rsidRPr="000D5FF8">
        <w:rPr>
          <w:rFonts w:ascii="Times New Roman" w:hAnsi="Times New Roman"/>
          <w:sz w:val="24"/>
          <w:szCs w:val="24"/>
          <w:lang w:val="en-GB"/>
        </w:rPr>
        <w:t xml:space="preserve"> OECD </w:t>
      </w:r>
      <w:r w:rsidR="000850F2">
        <w:rPr>
          <w:rFonts w:ascii="Times New Roman" w:hAnsi="Times New Roman"/>
          <w:sz w:val="24"/>
          <w:szCs w:val="24"/>
          <w:lang w:val="en-GB"/>
        </w:rPr>
        <w:t>guidelines</w:t>
      </w:r>
      <w:r w:rsidR="000850F2" w:rsidRPr="000D5FF8">
        <w:rPr>
          <w:rFonts w:ascii="Times New Roman" w:hAnsi="Times New Roman"/>
          <w:sz w:val="24"/>
          <w:szCs w:val="24"/>
          <w:lang w:val="en-GB"/>
        </w:rPr>
        <w:t xml:space="preserve"> </w:t>
      </w:r>
      <w:r w:rsidR="0077339D" w:rsidRPr="000D5FF8">
        <w:rPr>
          <w:rFonts w:ascii="Times New Roman" w:hAnsi="Times New Roman"/>
          <w:sz w:val="24"/>
          <w:szCs w:val="24"/>
          <w:lang w:val="en-GB"/>
        </w:rPr>
        <w:t xml:space="preserve">on GST and cross-border services and intangibles which </w:t>
      </w:r>
      <w:r w:rsidR="000850F2">
        <w:rPr>
          <w:rFonts w:ascii="Times New Roman" w:hAnsi="Times New Roman"/>
          <w:sz w:val="24"/>
          <w:szCs w:val="24"/>
          <w:lang w:val="en-GB"/>
        </w:rPr>
        <w:t>are</w:t>
      </w:r>
      <w:r w:rsidR="000850F2" w:rsidRPr="000D5FF8">
        <w:rPr>
          <w:rFonts w:ascii="Times New Roman" w:hAnsi="Times New Roman"/>
          <w:sz w:val="24"/>
          <w:szCs w:val="24"/>
          <w:lang w:val="en-GB"/>
        </w:rPr>
        <w:t xml:space="preserve"> </w:t>
      </w:r>
      <w:r w:rsidR="0077339D" w:rsidRPr="000D5FF8">
        <w:rPr>
          <w:rFonts w:ascii="Times New Roman" w:hAnsi="Times New Roman"/>
          <w:sz w:val="24"/>
          <w:szCs w:val="24"/>
          <w:lang w:val="en-GB"/>
        </w:rPr>
        <w:t>connected with the work on “base erosion and profi</w:t>
      </w:r>
      <w:r w:rsidR="008E6FA9">
        <w:rPr>
          <w:rFonts w:ascii="Times New Roman" w:hAnsi="Times New Roman"/>
          <w:sz w:val="24"/>
          <w:szCs w:val="24"/>
          <w:lang w:val="en-GB"/>
        </w:rPr>
        <w:t>t shifting” (BEPS). In addition</w:t>
      </w:r>
      <w:r w:rsidR="0077339D" w:rsidRPr="000D5FF8">
        <w:rPr>
          <w:rFonts w:ascii="Times New Roman" w:hAnsi="Times New Roman"/>
          <w:sz w:val="24"/>
          <w:szCs w:val="24"/>
          <w:lang w:val="en-GB"/>
        </w:rPr>
        <w:t xml:space="preserve">, </w:t>
      </w:r>
      <w:r w:rsidR="00E57623" w:rsidRPr="000D5FF8">
        <w:rPr>
          <w:rFonts w:ascii="Times New Roman" w:hAnsi="Times New Roman"/>
          <w:sz w:val="24"/>
          <w:szCs w:val="24"/>
          <w:lang w:val="en-GB"/>
        </w:rPr>
        <w:t xml:space="preserve">consideration has been given to </w:t>
      </w:r>
      <w:r w:rsidR="0077339D" w:rsidRPr="000D5FF8">
        <w:rPr>
          <w:rFonts w:ascii="Times New Roman" w:hAnsi="Times New Roman"/>
          <w:sz w:val="24"/>
          <w:szCs w:val="24"/>
          <w:lang w:val="en-GB"/>
        </w:rPr>
        <w:t>approaches adopted</w:t>
      </w:r>
      <w:r w:rsidR="00E57623" w:rsidRPr="000D5FF8">
        <w:rPr>
          <w:rFonts w:ascii="Times New Roman" w:hAnsi="Times New Roman"/>
          <w:sz w:val="24"/>
          <w:szCs w:val="24"/>
          <w:lang w:val="en-GB"/>
        </w:rPr>
        <w:t xml:space="preserve"> </w:t>
      </w:r>
      <w:r w:rsidR="0077339D" w:rsidRPr="000D5FF8">
        <w:rPr>
          <w:rFonts w:ascii="Times New Roman" w:hAnsi="Times New Roman"/>
          <w:sz w:val="24"/>
          <w:szCs w:val="24"/>
          <w:lang w:val="en-GB"/>
        </w:rPr>
        <w:t>in the European Union, and a number of countries including Australia, Norway, Switzerland, South Africa, Japan and South Korea</w:t>
      </w:r>
      <w:r w:rsidR="00E57623" w:rsidRPr="000D5FF8">
        <w:rPr>
          <w:rFonts w:ascii="Times New Roman" w:hAnsi="Times New Roman"/>
          <w:sz w:val="24"/>
          <w:szCs w:val="24"/>
          <w:lang w:val="en-GB"/>
        </w:rPr>
        <w:t>.</w:t>
      </w:r>
    </w:p>
    <w:p w14:paraId="5F8AC48D" w14:textId="77777777" w:rsidR="00C9776F" w:rsidRPr="000D5FF8" w:rsidRDefault="00C9776F" w:rsidP="005B3666">
      <w:pPr>
        <w:pStyle w:val="Text"/>
        <w:spacing w:before="0" w:after="0" w:line="240" w:lineRule="auto"/>
        <w:ind w:right="170"/>
        <w:rPr>
          <w:rFonts w:ascii="Times New Roman" w:hAnsi="Times New Roman"/>
          <w:sz w:val="24"/>
          <w:szCs w:val="24"/>
          <w:lang w:val="en-NZ"/>
        </w:rPr>
      </w:pPr>
    </w:p>
    <w:p w14:paraId="69A34683" w14:textId="77777777" w:rsidR="0077339D" w:rsidRPr="000D5FF8" w:rsidRDefault="0077339D" w:rsidP="005B3666">
      <w:pPr>
        <w:pStyle w:val="Text"/>
        <w:spacing w:before="0" w:after="0" w:line="240" w:lineRule="auto"/>
        <w:ind w:right="170"/>
        <w:rPr>
          <w:rFonts w:ascii="Times New Roman" w:hAnsi="Times New Roman"/>
          <w:sz w:val="24"/>
          <w:szCs w:val="24"/>
          <w:lang w:val="en-NZ"/>
        </w:rPr>
      </w:pPr>
      <w:r w:rsidRPr="000D5FF8">
        <w:rPr>
          <w:rFonts w:ascii="Times New Roman" w:hAnsi="Times New Roman"/>
          <w:sz w:val="24"/>
          <w:szCs w:val="24"/>
          <w:lang w:val="en-NZ"/>
        </w:rPr>
        <w:t xml:space="preserve">There are </w:t>
      </w:r>
      <w:r w:rsidR="004323E5" w:rsidRPr="000D5FF8">
        <w:rPr>
          <w:rFonts w:ascii="Times New Roman" w:hAnsi="Times New Roman"/>
          <w:sz w:val="24"/>
          <w:szCs w:val="24"/>
          <w:lang w:val="en-NZ"/>
        </w:rPr>
        <w:t>three</w:t>
      </w:r>
      <w:r w:rsidRPr="000D5FF8">
        <w:rPr>
          <w:rFonts w:ascii="Times New Roman" w:hAnsi="Times New Roman"/>
          <w:sz w:val="24"/>
          <w:szCs w:val="24"/>
          <w:lang w:val="en-NZ"/>
        </w:rPr>
        <w:t xml:space="preserve"> key constraints / caveats on the analysis:</w:t>
      </w:r>
    </w:p>
    <w:p w14:paraId="37D50202" w14:textId="77777777" w:rsidR="0077339D" w:rsidRPr="000D5FF8" w:rsidRDefault="0077339D" w:rsidP="005B3666">
      <w:pPr>
        <w:pStyle w:val="Text"/>
        <w:spacing w:before="0" w:after="0" w:line="240" w:lineRule="auto"/>
        <w:ind w:right="170"/>
        <w:rPr>
          <w:rFonts w:ascii="Times New Roman" w:hAnsi="Times New Roman"/>
          <w:sz w:val="24"/>
          <w:szCs w:val="24"/>
          <w:lang w:val="en-NZ"/>
        </w:rPr>
      </w:pPr>
    </w:p>
    <w:p w14:paraId="01BAC838" w14:textId="71D723D2" w:rsidR="0077339D" w:rsidRPr="000D5FF8" w:rsidRDefault="0077339D" w:rsidP="00BE1312">
      <w:pPr>
        <w:pStyle w:val="Text"/>
        <w:numPr>
          <w:ilvl w:val="0"/>
          <w:numId w:val="6"/>
        </w:numPr>
        <w:spacing w:before="0" w:after="0" w:line="240" w:lineRule="auto"/>
        <w:ind w:right="170"/>
        <w:rPr>
          <w:rFonts w:ascii="Times New Roman" w:hAnsi="Times New Roman"/>
          <w:sz w:val="24"/>
          <w:szCs w:val="24"/>
          <w:lang w:val="en-NZ"/>
        </w:rPr>
      </w:pPr>
      <w:r w:rsidRPr="000D5FF8">
        <w:rPr>
          <w:rFonts w:ascii="Times New Roman" w:hAnsi="Times New Roman"/>
          <w:sz w:val="24"/>
          <w:szCs w:val="24"/>
        </w:rPr>
        <w:t>Because of data limitations it is not possible to</w:t>
      </w:r>
      <w:r w:rsidR="000850F2">
        <w:rPr>
          <w:rFonts w:ascii="Times New Roman" w:hAnsi="Times New Roman"/>
          <w:sz w:val="24"/>
          <w:szCs w:val="24"/>
        </w:rPr>
        <w:t xml:space="preserve"> accurately</w:t>
      </w:r>
      <w:r w:rsidRPr="000D5FF8">
        <w:rPr>
          <w:rFonts w:ascii="Times New Roman" w:hAnsi="Times New Roman"/>
          <w:sz w:val="24"/>
          <w:szCs w:val="24"/>
        </w:rPr>
        <w:t xml:space="preserve"> determine how many offshore suppliers could be required to register and return GST under the preferred option. </w:t>
      </w:r>
      <w:r w:rsidR="0063027A" w:rsidRPr="000D5FF8">
        <w:rPr>
          <w:rFonts w:ascii="Times New Roman" w:hAnsi="Times New Roman"/>
          <w:sz w:val="24"/>
          <w:szCs w:val="24"/>
        </w:rPr>
        <w:t>Experience in similar countries suggests</w:t>
      </w:r>
      <w:r w:rsidR="00516C0B" w:rsidRPr="000D5FF8">
        <w:rPr>
          <w:rFonts w:ascii="Times New Roman" w:hAnsi="Times New Roman"/>
          <w:sz w:val="24"/>
          <w:szCs w:val="24"/>
        </w:rPr>
        <w:t xml:space="preserve"> that around 100 offshore suppliers may register if the preferred approach is adopted.</w:t>
      </w:r>
    </w:p>
    <w:p w14:paraId="759FB660" w14:textId="77777777" w:rsidR="00516C0B" w:rsidRPr="000D5FF8" w:rsidRDefault="00516C0B" w:rsidP="005B3666">
      <w:pPr>
        <w:pStyle w:val="Text"/>
        <w:spacing w:before="0" w:after="0" w:line="240" w:lineRule="auto"/>
        <w:ind w:left="720" w:right="170"/>
        <w:rPr>
          <w:rFonts w:ascii="Times New Roman" w:hAnsi="Times New Roman"/>
          <w:sz w:val="24"/>
          <w:szCs w:val="24"/>
          <w:lang w:val="en-NZ"/>
        </w:rPr>
      </w:pPr>
    </w:p>
    <w:p w14:paraId="0B247D43" w14:textId="5104DF95" w:rsidR="00C9776F" w:rsidRPr="000D5FF8" w:rsidRDefault="000850F2" w:rsidP="00BE1312">
      <w:pPr>
        <w:pStyle w:val="Text"/>
        <w:numPr>
          <w:ilvl w:val="0"/>
          <w:numId w:val="6"/>
        </w:numPr>
        <w:spacing w:before="0" w:after="0" w:line="240" w:lineRule="auto"/>
        <w:ind w:right="170"/>
        <w:rPr>
          <w:rFonts w:ascii="Times New Roman" w:hAnsi="Times New Roman"/>
          <w:sz w:val="24"/>
          <w:szCs w:val="24"/>
          <w:lang w:val="en-NZ"/>
        </w:rPr>
      </w:pPr>
      <w:r>
        <w:rPr>
          <w:rFonts w:ascii="Times New Roman" w:hAnsi="Times New Roman"/>
          <w:sz w:val="24"/>
          <w:szCs w:val="24"/>
        </w:rPr>
        <w:t>Again owing to</w:t>
      </w:r>
      <w:r w:rsidR="00516C0B" w:rsidRPr="000D5FF8">
        <w:rPr>
          <w:rFonts w:ascii="Times New Roman" w:hAnsi="Times New Roman"/>
          <w:sz w:val="24"/>
          <w:szCs w:val="24"/>
        </w:rPr>
        <w:t xml:space="preserve"> data limitations it is not possible to determine exactly how much is spent on services and intangibles purchased offshore and consumed in New Zealand. Officials</w:t>
      </w:r>
      <w:r>
        <w:rPr>
          <w:rFonts w:ascii="Times New Roman" w:hAnsi="Times New Roman"/>
          <w:sz w:val="24"/>
          <w:szCs w:val="24"/>
        </w:rPr>
        <w:t>’</w:t>
      </w:r>
      <w:r w:rsidR="00516C0B" w:rsidRPr="000D5FF8">
        <w:rPr>
          <w:rFonts w:ascii="Times New Roman" w:hAnsi="Times New Roman"/>
          <w:sz w:val="24"/>
          <w:szCs w:val="24"/>
        </w:rPr>
        <w:t xml:space="preserve"> </w:t>
      </w:r>
      <w:r>
        <w:rPr>
          <w:rFonts w:ascii="Times New Roman" w:hAnsi="Times New Roman"/>
          <w:sz w:val="24"/>
          <w:szCs w:val="24"/>
        </w:rPr>
        <w:t xml:space="preserve">best </w:t>
      </w:r>
      <w:r w:rsidR="00516C0B" w:rsidRPr="000D5FF8">
        <w:rPr>
          <w:rFonts w:ascii="Times New Roman" w:hAnsi="Times New Roman"/>
          <w:sz w:val="24"/>
          <w:szCs w:val="24"/>
        </w:rPr>
        <w:t>estimate that around $</w:t>
      </w:r>
      <w:r w:rsidRPr="000D5FF8">
        <w:rPr>
          <w:rFonts w:ascii="Times New Roman" w:hAnsi="Times New Roman"/>
          <w:sz w:val="24"/>
          <w:szCs w:val="24"/>
        </w:rPr>
        <w:t>2</w:t>
      </w:r>
      <w:r>
        <w:rPr>
          <w:rFonts w:ascii="Times New Roman" w:hAnsi="Times New Roman"/>
          <w:sz w:val="24"/>
          <w:szCs w:val="24"/>
        </w:rPr>
        <w:t>70</w:t>
      </w:r>
      <w:r w:rsidRPr="000D5FF8">
        <w:rPr>
          <w:rFonts w:ascii="Times New Roman" w:hAnsi="Times New Roman"/>
          <w:sz w:val="24"/>
          <w:szCs w:val="24"/>
        </w:rPr>
        <w:t xml:space="preserve"> </w:t>
      </w:r>
      <w:r w:rsidR="00516C0B" w:rsidRPr="000D5FF8">
        <w:rPr>
          <w:rFonts w:ascii="Times New Roman" w:hAnsi="Times New Roman"/>
          <w:sz w:val="24"/>
          <w:szCs w:val="24"/>
        </w:rPr>
        <w:t xml:space="preserve">million per annum is spent on services and intangibles from offshore suppliers. This estimate means that around $40 million of GST is forgone on these purchases. This </w:t>
      </w:r>
      <w:r w:rsidR="0063027A" w:rsidRPr="000D5FF8">
        <w:rPr>
          <w:rFonts w:ascii="Times New Roman" w:hAnsi="Times New Roman"/>
          <w:sz w:val="24"/>
          <w:szCs w:val="24"/>
        </w:rPr>
        <w:t xml:space="preserve">amount </w:t>
      </w:r>
      <w:r w:rsidR="00516C0B" w:rsidRPr="000D5FF8">
        <w:rPr>
          <w:rFonts w:ascii="Times New Roman" w:hAnsi="Times New Roman"/>
          <w:sz w:val="24"/>
          <w:szCs w:val="24"/>
        </w:rPr>
        <w:t>could be growing at a rate of 10% per annum.</w:t>
      </w:r>
    </w:p>
    <w:p w14:paraId="11E62B9D" w14:textId="77777777" w:rsidR="00FC52AC" w:rsidRPr="000D5FF8" w:rsidRDefault="00FC52AC" w:rsidP="005B3666">
      <w:pPr>
        <w:pStyle w:val="Text"/>
        <w:spacing w:before="0" w:after="0" w:line="240" w:lineRule="auto"/>
        <w:ind w:left="720" w:right="170"/>
        <w:rPr>
          <w:rFonts w:ascii="Times New Roman" w:hAnsi="Times New Roman"/>
          <w:sz w:val="24"/>
          <w:szCs w:val="24"/>
          <w:lang w:val="en-NZ"/>
        </w:rPr>
      </w:pPr>
    </w:p>
    <w:p w14:paraId="4623E952" w14:textId="4EAC4E54" w:rsidR="00516C0B" w:rsidRPr="000D5FF8" w:rsidRDefault="0063027A" w:rsidP="00BE1312">
      <w:pPr>
        <w:pStyle w:val="Text"/>
        <w:numPr>
          <w:ilvl w:val="0"/>
          <w:numId w:val="6"/>
        </w:numPr>
        <w:spacing w:before="0" w:after="0" w:line="240" w:lineRule="auto"/>
        <w:ind w:right="170"/>
        <w:rPr>
          <w:rFonts w:ascii="Times New Roman" w:hAnsi="Times New Roman"/>
          <w:sz w:val="24"/>
          <w:szCs w:val="24"/>
          <w:lang w:val="en-NZ"/>
        </w:rPr>
      </w:pPr>
      <w:r w:rsidRPr="000D5FF8">
        <w:rPr>
          <w:rFonts w:ascii="Times New Roman" w:hAnsi="Times New Roman"/>
          <w:sz w:val="24"/>
          <w:szCs w:val="24"/>
          <w:lang w:val="en-NZ"/>
        </w:rPr>
        <w:t>T</w:t>
      </w:r>
      <w:r w:rsidR="00FC52AC" w:rsidRPr="000D5FF8">
        <w:rPr>
          <w:rFonts w:ascii="Times New Roman" w:hAnsi="Times New Roman"/>
          <w:sz w:val="24"/>
          <w:szCs w:val="24"/>
          <w:lang w:val="en-NZ"/>
        </w:rPr>
        <w:t>he extent to which the GST treatment of services and intangibles purchased from offshore influences consumers</w:t>
      </w:r>
      <w:r w:rsidR="00355774">
        <w:rPr>
          <w:rFonts w:ascii="Times New Roman" w:hAnsi="Times New Roman"/>
          <w:sz w:val="24"/>
          <w:szCs w:val="24"/>
          <w:lang w:val="en-NZ"/>
        </w:rPr>
        <w:t>’</w:t>
      </w:r>
      <w:r w:rsidR="00FC52AC" w:rsidRPr="000D5FF8">
        <w:rPr>
          <w:rFonts w:ascii="Times New Roman" w:hAnsi="Times New Roman"/>
          <w:sz w:val="24"/>
          <w:szCs w:val="24"/>
          <w:lang w:val="en-NZ"/>
        </w:rPr>
        <w:t xml:space="preserve"> purchasing decisions</w:t>
      </w:r>
      <w:r w:rsidRPr="000D5FF8">
        <w:rPr>
          <w:rFonts w:ascii="Times New Roman" w:hAnsi="Times New Roman"/>
          <w:sz w:val="24"/>
          <w:szCs w:val="24"/>
          <w:lang w:val="en-NZ"/>
        </w:rPr>
        <w:t xml:space="preserve"> is uncertain</w:t>
      </w:r>
      <w:r w:rsidR="00FC52AC" w:rsidRPr="000D5FF8">
        <w:rPr>
          <w:rFonts w:ascii="Times New Roman" w:hAnsi="Times New Roman"/>
          <w:sz w:val="24"/>
          <w:szCs w:val="24"/>
          <w:lang w:val="en-NZ"/>
        </w:rPr>
        <w:t>. Other factors such as product range</w:t>
      </w:r>
      <w:r w:rsidR="000850F2">
        <w:rPr>
          <w:rFonts w:ascii="Times New Roman" w:hAnsi="Times New Roman"/>
          <w:sz w:val="24"/>
          <w:szCs w:val="24"/>
          <w:lang w:val="en-NZ"/>
        </w:rPr>
        <w:t>,</w:t>
      </w:r>
      <w:r w:rsidR="00FC52AC" w:rsidRPr="000D5FF8">
        <w:rPr>
          <w:rFonts w:ascii="Times New Roman" w:hAnsi="Times New Roman"/>
          <w:sz w:val="24"/>
          <w:szCs w:val="24"/>
          <w:lang w:val="en-NZ"/>
        </w:rPr>
        <w:t xml:space="preserve"> availability </w:t>
      </w:r>
      <w:r w:rsidR="000850F2">
        <w:rPr>
          <w:rFonts w:ascii="Times New Roman" w:hAnsi="Times New Roman"/>
          <w:sz w:val="24"/>
          <w:szCs w:val="24"/>
          <w:lang w:val="en-NZ"/>
        </w:rPr>
        <w:t xml:space="preserve">and </w:t>
      </w:r>
      <w:r w:rsidR="000850F2" w:rsidRPr="000D5FF8">
        <w:rPr>
          <w:rFonts w:ascii="Times New Roman" w:hAnsi="Times New Roman"/>
          <w:sz w:val="24"/>
          <w:szCs w:val="24"/>
          <w:lang w:val="en-NZ"/>
        </w:rPr>
        <w:t>price (exclusive of GST)</w:t>
      </w:r>
      <w:r w:rsidR="000850F2">
        <w:rPr>
          <w:rFonts w:ascii="Times New Roman" w:hAnsi="Times New Roman"/>
          <w:sz w:val="24"/>
          <w:szCs w:val="24"/>
          <w:lang w:val="en-NZ"/>
        </w:rPr>
        <w:t xml:space="preserve"> </w:t>
      </w:r>
      <w:r w:rsidR="00FC52AC" w:rsidRPr="000D5FF8">
        <w:rPr>
          <w:rFonts w:ascii="Times New Roman" w:hAnsi="Times New Roman"/>
          <w:sz w:val="24"/>
          <w:szCs w:val="24"/>
          <w:lang w:val="en-NZ"/>
        </w:rPr>
        <w:t xml:space="preserve">may have a greater impact on </w:t>
      </w:r>
      <w:r w:rsidR="004323E5" w:rsidRPr="000D5FF8">
        <w:rPr>
          <w:rFonts w:ascii="Times New Roman" w:hAnsi="Times New Roman"/>
          <w:sz w:val="24"/>
          <w:szCs w:val="24"/>
          <w:lang w:val="en-NZ"/>
        </w:rPr>
        <w:t>consumers’</w:t>
      </w:r>
      <w:r w:rsidR="00FC52AC" w:rsidRPr="000D5FF8">
        <w:rPr>
          <w:rFonts w:ascii="Times New Roman" w:hAnsi="Times New Roman"/>
          <w:sz w:val="24"/>
          <w:szCs w:val="24"/>
          <w:lang w:val="en-NZ"/>
        </w:rPr>
        <w:t xml:space="preserve"> decision to purchase from an offshore </w:t>
      </w:r>
      <w:r w:rsidR="004323E5" w:rsidRPr="000D5FF8">
        <w:rPr>
          <w:rFonts w:ascii="Times New Roman" w:hAnsi="Times New Roman"/>
          <w:sz w:val="24"/>
          <w:szCs w:val="24"/>
          <w:lang w:val="en-NZ"/>
        </w:rPr>
        <w:t>supplier</w:t>
      </w:r>
      <w:r w:rsidR="00FC52AC" w:rsidRPr="000D5FF8">
        <w:rPr>
          <w:rFonts w:ascii="Times New Roman" w:hAnsi="Times New Roman"/>
          <w:sz w:val="24"/>
          <w:szCs w:val="24"/>
          <w:lang w:val="en-NZ"/>
        </w:rPr>
        <w:t xml:space="preserve"> as opposed to a domestic supplier. </w:t>
      </w:r>
    </w:p>
    <w:p w14:paraId="6ABACCF9" w14:textId="77777777" w:rsidR="00516C0B" w:rsidRPr="000D5FF8" w:rsidRDefault="00516C0B" w:rsidP="005B3666">
      <w:pPr>
        <w:pStyle w:val="Text"/>
        <w:spacing w:before="0" w:after="0" w:line="240" w:lineRule="auto"/>
        <w:ind w:right="170"/>
        <w:rPr>
          <w:rFonts w:ascii="Times New Roman" w:hAnsi="Times New Roman"/>
          <w:sz w:val="24"/>
          <w:szCs w:val="24"/>
          <w:lang w:val="en-NZ"/>
        </w:rPr>
      </w:pPr>
    </w:p>
    <w:p w14:paraId="1B5652A9" w14:textId="77777777" w:rsidR="004323E5" w:rsidRPr="000D5FF8" w:rsidRDefault="004323E5" w:rsidP="005B3666">
      <w:pPr>
        <w:autoSpaceDE w:val="0"/>
        <w:autoSpaceDN w:val="0"/>
        <w:adjustRightInd w:val="0"/>
        <w:spacing w:after="0" w:line="240" w:lineRule="auto"/>
        <w:jc w:val="both"/>
        <w:rPr>
          <w:rFonts w:ascii="Times New Roman" w:hAnsi="Times New Roman"/>
          <w:sz w:val="24"/>
          <w:szCs w:val="24"/>
          <w:lang w:val="en-NZ" w:eastAsia="en-NZ"/>
        </w:rPr>
      </w:pPr>
      <w:r w:rsidRPr="000D5FF8">
        <w:rPr>
          <w:rFonts w:ascii="Times New Roman" w:hAnsi="Times New Roman"/>
          <w:sz w:val="24"/>
          <w:szCs w:val="24"/>
          <w:lang w:val="en-NZ" w:eastAsia="en-NZ"/>
        </w:rPr>
        <w:t>A range of options has been considered and measured against the objectives of providing certainty, consistency and fairness of GST treatment whilst minimising compliance costs and disruption to current practices. There are no environmental or cultural impacts from these recommended changes.</w:t>
      </w:r>
    </w:p>
    <w:p w14:paraId="59ADEDF1" w14:textId="77777777" w:rsidR="004323E5" w:rsidRPr="000D5FF8" w:rsidRDefault="004323E5" w:rsidP="005B3666">
      <w:pPr>
        <w:pStyle w:val="Text"/>
        <w:spacing w:before="0" w:after="0" w:line="240" w:lineRule="auto"/>
        <w:ind w:right="170"/>
        <w:rPr>
          <w:rFonts w:ascii="Times New Roman" w:hAnsi="Times New Roman"/>
          <w:sz w:val="24"/>
          <w:szCs w:val="24"/>
          <w:lang w:val="en-NZ"/>
        </w:rPr>
      </w:pPr>
    </w:p>
    <w:p w14:paraId="008E1A82" w14:textId="77777777" w:rsidR="004323E5" w:rsidRPr="000D5FF8" w:rsidRDefault="004323E5" w:rsidP="005B3666">
      <w:pPr>
        <w:pStyle w:val="ListParagraph"/>
        <w:ind w:left="0" w:right="170"/>
        <w:contextualSpacing w:val="0"/>
        <w:rPr>
          <w:rFonts w:ascii="Times New Roman" w:hAnsi="Times New Roman"/>
          <w:sz w:val="24"/>
          <w:szCs w:val="24"/>
        </w:rPr>
      </w:pPr>
      <w:r w:rsidRPr="000D5FF8">
        <w:rPr>
          <w:rFonts w:ascii="Times New Roman" w:hAnsi="Times New Roman"/>
          <w:sz w:val="24"/>
          <w:szCs w:val="24"/>
        </w:rPr>
        <w:t xml:space="preserve">There are no other significant constraints, caveats or uncertainties concerning this regulatory impact analysis other than those noted above. </w:t>
      </w:r>
    </w:p>
    <w:p w14:paraId="669BAC8A" w14:textId="77777777" w:rsidR="004323E5" w:rsidRPr="000D5FF8" w:rsidRDefault="004323E5" w:rsidP="005B3666">
      <w:pPr>
        <w:pStyle w:val="ListParagraph"/>
        <w:ind w:left="0" w:right="170"/>
        <w:contextualSpacing w:val="0"/>
        <w:rPr>
          <w:rFonts w:ascii="Times New Roman" w:hAnsi="Times New Roman"/>
          <w:sz w:val="24"/>
          <w:szCs w:val="24"/>
        </w:rPr>
      </w:pPr>
    </w:p>
    <w:p w14:paraId="5E472E61" w14:textId="76C1C9EE" w:rsidR="005F7549" w:rsidRDefault="005376D1" w:rsidP="005B3666">
      <w:pPr>
        <w:spacing w:after="0" w:line="240" w:lineRule="auto"/>
        <w:jc w:val="both"/>
        <w:rPr>
          <w:rFonts w:ascii="Times New Roman" w:hAnsi="Times New Roman"/>
          <w:sz w:val="24"/>
          <w:szCs w:val="24"/>
        </w:rPr>
      </w:pPr>
      <w:r w:rsidRPr="000D5FF8">
        <w:rPr>
          <w:rFonts w:ascii="Times New Roman" w:hAnsi="Times New Roman"/>
          <w:sz w:val="24"/>
          <w:szCs w:val="24"/>
        </w:rPr>
        <w:lastRenderedPageBreak/>
        <w:t>The pr</w:t>
      </w:r>
      <w:r w:rsidR="0063027A" w:rsidRPr="000D5FF8">
        <w:rPr>
          <w:rFonts w:ascii="Times New Roman" w:hAnsi="Times New Roman"/>
          <w:sz w:val="24"/>
          <w:szCs w:val="24"/>
        </w:rPr>
        <w:t>oposals could impact</w:t>
      </w:r>
      <w:r w:rsidR="008E6FA9">
        <w:rPr>
          <w:rFonts w:ascii="Times New Roman" w:hAnsi="Times New Roman"/>
          <w:sz w:val="24"/>
          <w:szCs w:val="24"/>
        </w:rPr>
        <w:t xml:space="preserve"> on</w:t>
      </w:r>
      <w:r w:rsidR="0063027A" w:rsidRPr="000D5FF8">
        <w:rPr>
          <w:rFonts w:ascii="Times New Roman" w:hAnsi="Times New Roman"/>
          <w:sz w:val="24"/>
          <w:szCs w:val="24"/>
        </w:rPr>
        <w:t xml:space="preserve"> the </w:t>
      </w:r>
      <w:r w:rsidR="000D5FF8">
        <w:rPr>
          <w:rFonts w:ascii="Times New Roman" w:hAnsi="Times New Roman"/>
          <w:sz w:val="24"/>
          <w:szCs w:val="24"/>
        </w:rPr>
        <w:t>level of competition by discouraging offshore suppliers from entering or continuing to supply to the New Zealand market. H</w:t>
      </w:r>
      <w:r w:rsidR="00A54ECE" w:rsidRPr="000D5FF8">
        <w:rPr>
          <w:rFonts w:ascii="Times New Roman" w:hAnsi="Times New Roman"/>
          <w:sz w:val="24"/>
          <w:szCs w:val="24"/>
        </w:rPr>
        <w:t>owever, th</w:t>
      </w:r>
      <w:r w:rsidR="0063027A" w:rsidRPr="000D5FF8">
        <w:rPr>
          <w:rFonts w:ascii="Times New Roman" w:hAnsi="Times New Roman"/>
          <w:sz w:val="24"/>
          <w:szCs w:val="24"/>
        </w:rPr>
        <w:t>is</w:t>
      </w:r>
      <w:r w:rsidR="00A54ECE" w:rsidRPr="000D5FF8">
        <w:rPr>
          <w:rFonts w:ascii="Times New Roman" w:hAnsi="Times New Roman"/>
          <w:sz w:val="24"/>
          <w:szCs w:val="24"/>
        </w:rPr>
        <w:t xml:space="preserve"> impact may depend </w:t>
      </w:r>
      <w:r w:rsidR="004244D5" w:rsidRPr="000D5FF8">
        <w:rPr>
          <w:rFonts w:ascii="Times New Roman" w:hAnsi="Times New Roman"/>
          <w:sz w:val="24"/>
          <w:szCs w:val="24"/>
        </w:rPr>
        <w:t>on</w:t>
      </w:r>
      <w:r w:rsidRPr="000D5FF8">
        <w:rPr>
          <w:rFonts w:ascii="Times New Roman" w:hAnsi="Times New Roman"/>
          <w:sz w:val="24"/>
          <w:szCs w:val="24"/>
        </w:rPr>
        <w:t xml:space="preserve"> </w:t>
      </w:r>
      <w:r w:rsidR="005F7549">
        <w:rPr>
          <w:rFonts w:ascii="Times New Roman" w:hAnsi="Times New Roman"/>
          <w:sz w:val="24"/>
          <w:szCs w:val="24"/>
        </w:rPr>
        <w:t>the extent to which compliance costs are imposed on offshore suppliers</w:t>
      </w:r>
      <w:r w:rsidR="00355774">
        <w:rPr>
          <w:rFonts w:ascii="Times New Roman" w:hAnsi="Times New Roman"/>
          <w:sz w:val="24"/>
          <w:szCs w:val="24"/>
        </w:rPr>
        <w:t xml:space="preserve"> and the extent to which consumers alter their purchasing behaviour in response to the change</w:t>
      </w:r>
      <w:r w:rsidR="005F7549">
        <w:rPr>
          <w:rFonts w:ascii="Times New Roman" w:hAnsi="Times New Roman"/>
          <w:sz w:val="24"/>
          <w:szCs w:val="24"/>
        </w:rPr>
        <w:t>.</w:t>
      </w:r>
    </w:p>
    <w:p w14:paraId="6C372749" w14:textId="77777777" w:rsidR="005F7549" w:rsidRDefault="005F7549" w:rsidP="005B3666">
      <w:pPr>
        <w:spacing w:after="0" w:line="240" w:lineRule="auto"/>
        <w:jc w:val="both"/>
        <w:rPr>
          <w:rFonts w:ascii="Times New Roman" w:hAnsi="Times New Roman"/>
          <w:sz w:val="24"/>
          <w:szCs w:val="24"/>
        </w:rPr>
      </w:pPr>
    </w:p>
    <w:p w14:paraId="425B2C12" w14:textId="40978307" w:rsidR="005F7549" w:rsidRDefault="005F7549" w:rsidP="005B3666">
      <w:pPr>
        <w:spacing w:after="0" w:line="240" w:lineRule="auto"/>
        <w:jc w:val="both"/>
        <w:rPr>
          <w:rFonts w:ascii="Times New Roman" w:hAnsi="Times New Roman"/>
          <w:sz w:val="24"/>
          <w:szCs w:val="24"/>
        </w:rPr>
      </w:pPr>
      <w:r w:rsidRPr="000D5FF8">
        <w:rPr>
          <w:rFonts w:ascii="Times New Roman" w:hAnsi="Times New Roman"/>
          <w:sz w:val="24"/>
          <w:szCs w:val="24"/>
        </w:rPr>
        <w:t xml:space="preserve">The preferred option would likely impose some compliance costs on offshore suppliers as they would be required to register and return GST. These compliance costs are likely to be comparable to </w:t>
      </w:r>
      <w:r>
        <w:rPr>
          <w:rFonts w:ascii="Times New Roman" w:hAnsi="Times New Roman"/>
          <w:sz w:val="24"/>
          <w:szCs w:val="24"/>
        </w:rPr>
        <w:t xml:space="preserve">(if not lower than) </w:t>
      </w:r>
      <w:r w:rsidRPr="000D5FF8">
        <w:rPr>
          <w:rFonts w:ascii="Times New Roman" w:hAnsi="Times New Roman"/>
          <w:sz w:val="24"/>
          <w:szCs w:val="24"/>
        </w:rPr>
        <w:t>the compliance costs already imposed on domestic businesses associated with registering and return</w:t>
      </w:r>
      <w:r>
        <w:rPr>
          <w:rFonts w:ascii="Times New Roman" w:hAnsi="Times New Roman"/>
          <w:sz w:val="24"/>
          <w:szCs w:val="24"/>
        </w:rPr>
        <w:t>ing</w:t>
      </w:r>
      <w:r w:rsidRPr="000D5FF8">
        <w:rPr>
          <w:rFonts w:ascii="Times New Roman" w:hAnsi="Times New Roman"/>
          <w:sz w:val="24"/>
          <w:szCs w:val="24"/>
        </w:rPr>
        <w:t xml:space="preserve"> GST on domestic supplies.</w:t>
      </w:r>
      <w:r>
        <w:rPr>
          <w:rFonts w:ascii="Times New Roman" w:hAnsi="Times New Roman"/>
          <w:sz w:val="24"/>
          <w:szCs w:val="24"/>
        </w:rPr>
        <w:t xml:space="preserve"> The preferred option also contains a number of compliance savings measures to ensure compliance costs </w:t>
      </w:r>
      <w:r w:rsidR="0097279A">
        <w:rPr>
          <w:rFonts w:ascii="Times New Roman" w:hAnsi="Times New Roman"/>
          <w:sz w:val="24"/>
          <w:szCs w:val="24"/>
        </w:rPr>
        <w:t xml:space="preserve">imposed on offshore suppliers </w:t>
      </w:r>
      <w:r>
        <w:rPr>
          <w:rFonts w:ascii="Times New Roman" w:hAnsi="Times New Roman"/>
          <w:sz w:val="24"/>
          <w:szCs w:val="24"/>
        </w:rPr>
        <w:t>are minimised.</w:t>
      </w:r>
    </w:p>
    <w:p w14:paraId="7D5B2EBB" w14:textId="77777777" w:rsidR="005F7549" w:rsidRDefault="005F7549" w:rsidP="005B3666">
      <w:pPr>
        <w:spacing w:after="0" w:line="240" w:lineRule="auto"/>
        <w:jc w:val="both"/>
        <w:rPr>
          <w:rFonts w:ascii="Times New Roman" w:hAnsi="Times New Roman"/>
          <w:sz w:val="24"/>
          <w:szCs w:val="24"/>
        </w:rPr>
      </w:pPr>
    </w:p>
    <w:p w14:paraId="7D3716A0" w14:textId="73ECB4EE" w:rsidR="005376D1" w:rsidRPr="000D5FF8" w:rsidRDefault="00EA66A2" w:rsidP="00622496">
      <w:pPr>
        <w:spacing w:after="0" w:line="240" w:lineRule="auto"/>
        <w:jc w:val="both"/>
        <w:rPr>
          <w:rFonts w:ascii="Times New Roman" w:hAnsi="Times New Roman"/>
          <w:sz w:val="24"/>
          <w:szCs w:val="24"/>
        </w:rPr>
      </w:pPr>
      <w:r>
        <w:rPr>
          <w:rFonts w:ascii="Times New Roman" w:hAnsi="Times New Roman"/>
          <w:sz w:val="24"/>
          <w:szCs w:val="24"/>
        </w:rPr>
        <w:t xml:space="preserve">The </w:t>
      </w:r>
      <w:r w:rsidR="005376D1" w:rsidRPr="000D5FF8">
        <w:rPr>
          <w:rFonts w:ascii="Times New Roman" w:hAnsi="Times New Roman"/>
          <w:sz w:val="24"/>
          <w:szCs w:val="24"/>
        </w:rPr>
        <w:t xml:space="preserve">application of GST </w:t>
      </w:r>
      <w:r>
        <w:rPr>
          <w:rFonts w:ascii="Times New Roman" w:hAnsi="Times New Roman"/>
          <w:sz w:val="24"/>
          <w:szCs w:val="24"/>
        </w:rPr>
        <w:t xml:space="preserve">on services and intangibles purchased from offshore suppliers may also </w:t>
      </w:r>
      <w:r w:rsidR="005376D1" w:rsidRPr="000D5FF8">
        <w:rPr>
          <w:rFonts w:ascii="Times New Roman" w:hAnsi="Times New Roman"/>
          <w:sz w:val="24"/>
          <w:szCs w:val="24"/>
        </w:rPr>
        <w:t>impact</w:t>
      </w:r>
      <w:r w:rsidR="0097279A">
        <w:rPr>
          <w:rFonts w:ascii="Times New Roman" w:hAnsi="Times New Roman"/>
          <w:sz w:val="24"/>
          <w:szCs w:val="24"/>
        </w:rPr>
        <w:t xml:space="preserve"> New Zealand</w:t>
      </w:r>
      <w:r w:rsidR="005376D1" w:rsidRPr="000D5FF8">
        <w:rPr>
          <w:rFonts w:ascii="Times New Roman" w:hAnsi="Times New Roman"/>
          <w:sz w:val="24"/>
          <w:szCs w:val="24"/>
        </w:rPr>
        <w:t xml:space="preserve"> </w:t>
      </w:r>
      <w:r w:rsidR="0063027A" w:rsidRPr="000D5FF8">
        <w:rPr>
          <w:rFonts w:ascii="Times New Roman" w:hAnsi="Times New Roman"/>
          <w:sz w:val="24"/>
          <w:szCs w:val="24"/>
        </w:rPr>
        <w:t>consumers’</w:t>
      </w:r>
      <w:r>
        <w:rPr>
          <w:rFonts w:ascii="Times New Roman" w:hAnsi="Times New Roman"/>
          <w:sz w:val="24"/>
          <w:szCs w:val="24"/>
        </w:rPr>
        <w:t xml:space="preserve"> purchasing</w:t>
      </w:r>
      <w:r w:rsidR="005376D1" w:rsidRPr="000D5FF8">
        <w:rPr>
          <w:rFonts w:ascii="Times New Roman" w:hAnsi="Times New Roman"/>
          <w:sz w:val="24"/>
          <w:szCs w:val="24"/>
        </w:rPr>
        <w:t xml:space="preserve"> decision</w:t>
      </w:r>
      <w:r w:rsidR="0063027A" w:rsidRPr="000D5FF8">
        <w:rPr>
          <w:rFonts w:ascii="Times New Roman" w:hAnsi="Times New Roman"/>
          <w:sz w:val="24"/>
          <w:szCs w:val="24"/>
        </w:rPr>
        <w:t>s</w:t>
      </w:r>
      <w:r w:rsidR="00A54ECE" w:rsidRPr="000D5FF8">
        <w:rPr>
          <w:rFonts w:ascii="Times New Roman" w:hAnsi="Times New Roman"/>
          <w:sz w:val="24"/>
          <w:szCs w:val="24"/>
        </w:rPr>
        <w:t xml:space="preserve">. </w:t>
      </w:r>
      <w:r w:rsidR="002A34A9">
        <w:rPr>
          <w:rFonts w:ascii="Times New Roman" w:hAnsi="Times New Roman"/>
          <w:sz w:val="24"/>
          <w:szCs w:val="24"/>
        </w:rPr>
        <w:t xml:space="preserve">As </w:t>
      </w:r>
      <w:r w:rsidR="00A54ECE" w:rsidRPr="000D5FF8">
        <w:rPr>
          <w:rFonts w:ascii="Times New Roman" w:hAnsi="Times New Roman"/>
          <w:sz w:val="24"/>
          <w:szCs w:val="24"/>
        </w:rPr>
        <w:t xml:space="preserve">noted above, </w:t>
      </w:r>
      <w:r>
        <w:rPr>
          <w:rFonts w:ascii="Times New Roman" w:hAnsi="Times New Roman"/>
          <w:sz w:val="24"/>
          <w:szCs w:val="24"/>
        </w:rPr>
        <w:t xml:space="preserve">the impact </w:t>
      </w:r>
      <w:r w:rsidR="0097279A">
        <w:rPr>
          <w:rFonts w:ascii="Times New Roman" w:hAnsi="Times New Roman"/>
          <w:sz w:val="24"/>
          <w:szCs w:val="24"/>
        </w:rPr>
        <w:t>is likely to</w:t>
      </w:r>
      <w:r>
        <w:rPr>
          <w:rFonts w:ascii="Times New Roman" w:hAnsi="Times New Roman"/>
          <w:sz w:val="24"/>
          <w:szCs w:val="24"/>
        </w:rPr>
        <w:t xml:space="preserve"> be limited as </w:t>
      </w:r>
      <w:r w:rsidR="0063027A" w:rsidRPr="000D5FF8">
        <w:rPr>
          <w:rFonts w:ascii="Times New Roman" w:hAnsi="Times New Roman"/>
          <w:sz w:val="24"/>
          <w:szCs w:val="24"/>
          <w:lang w:val="en-NZ"/>
        </w:rPr>
        <w:t>other factors such as</w:t>
      </w:r>
      <w:r w:rsidR="00A54ECE" w:rsidRPr="000D5FF8">
        <w:rPr>
          <w:rFonts w:ascii="Times New Roman" w:hAnsi="Times New Roman"/>
          <w:sz w:val="24"/>
          <w:szCs w:val="24"/>
          <w:lang w:val="en-NZ"/>
        </w:rPr>
        <w:t xml:space="preserve"> product range</w:t>
      </w:r>
      <w:r w:rsidR="000850F2">
        <w:rPr>
          <w:rFonts w:ascii="Times New Roman" w:hAnsi="Times New Roman"/>
          <w:sz w:val="24"/>
          <w:szCs w:val="24"/>
          <w:lang w:val="en-NZ"/>
        </w:rPr>
        <w:t>,</w:t>
      </w:r>
      <w:r w:rsidR="00A54ECE" w:rsidRPr="000D5FF8">
        <w:rPr>
          <w:rFonts w:ascii="Times New Roman" w:hAnsi="Times New Roman"/>
          <w:sz w:val="24"/>
          <w:szCs w:val="24"/>
          <w:lang w:val="en-NZ"/>
        </w:rPr>
        <w:t xml:space="preserve"> availability</w:t>
      </w:r>
      <w:r w:rsidR="000850F2">
        <w:rPr>
          <w:rFonts w:ascii="Times New Roman" w:hAnsi="Times New Roman"/>
          <w:sz w:val="24"/>
          <w:szCs w:val="24"/>
          <w:lang w:val="en-NZ"/>
        </w:rPr>
        <w:t xml:space="preserve"> and</w:t>
      </w:r>
      <w:r w:rsidR="000850F2" w:rsidRPr="000850F2">
        <w:rPr>
          <w:rFonts w:ascii="Times New Roman" w:hAnsi="Times New Roman"/>
          <w:sz w:val="24"/>
          <w:szCs w:val="24"/>
          <w:lang w:val="en-NZ"/>
        </w:rPr>
        <w:t xml:space="preserve"> </w:t>
      </w:r>
      <w:r w:rsidR="000850F2" w:rsidRPr="000D5FF8">
        <w:rPr>
          <w:rFonts w:ascii="Times New Roman" w:hAnsi="Times New Roman"/>
          <w:sz w:val="24"/>
          <w:szCs w:val="24"/>
          <w:lang w:val="en-NZ"/>
        </w:rPr>
        <w:t>price (exclusive of GST)</w:t>
      </w:r>
      <w:r w:rsidR="00A54ECE" w:rsidRPr="000D5FF8">
        <w:rPr>
          <w:rFonts w:ascii="Times New Roman" w:hAnsi="Times New Roman"/>
          <w:sz w:val="24"/>
          <w:szCs w:val="24"/>
          <w:lang w:val="en-NZ"/>
        </w:rPr>
        <w:t xml:space="preserve"> may have a greater impact on consumers’ decisions</w:t>
      </w:r>
      <w:r>
        <w:rPr>
          <w:rFonts w:ascii="Times New Roman" w:hAnsi="Times New Roman"/>
          <w:sz w:val="24"/>
          <w:szCs w:val="24"/>
          <w:lang w:val="en-NZ"/>
        </w:rPr>
        <w:t xml:space="preserve"> than the application of GST on these services and intangibles</w:t>
      </w:r>
      <w:r w:rsidR="00A54ECE" w:rsidRPr="000D5FF8">
        <w:rPr>
          <w:rFonts w:ascii="Times New Roman" w:hAnsi="Times New Roman"/>
          <w:sz w:val="24"/>
          <w:szCs w:val="24"/>
          <w:lang w:val="en-NZ"/>
        </w:rPr>
        <w:t>.</w:t>
      </w:r>
    </w:p>
    <w:p w14:paraId="52E52339" w14:textId="77777777" w:rsidR="00A54ECE" w:rsidRPr="000D5FF8" w:rsidRDefault="00A54ECE" w:rsidP="005B3666">
      <w:pPr>
        <w:spacing w:after="0" w:line="240" w:lineRule="auto"/>
        <w:jc w:val="both"/>
        <w:rPr>
          <w:rFonts w:ascii="Times New Roman" w:hAnsi="Times New Roman"/>
          <w:sz w:val="24"/>
          <w:szCs w:val="24"/>
        </w:rPr>
      </w:pPr>
    </w:p>
    <w:p w14:paraId="3B8525E3" w14:textId="77777777" w:rsidR="004323E5" w:rsidRPr="000D5FF8" w:rsidRDefault="004323E5" w:rsidP="005B3666">
      <w:pPr>
        <w:spacing w:after="0" w:line="240" w:lineRule="auto"/>
        <w:jc w:val="both"/>
        <w:rPr>
          <w:rFonts w:ascii="Times New Roman" w:hAnsi="Times New Roman"/>
          <w:sz w:val="24"/>
          <w:szCs w:val="24"/>
          <w:lang w:val="en-NZ" w:eastAsia="en-US"/>
        </w:rPr>
      </w:pPr>
      <w:r w:rsidRPr="000D5FF8">
        <w:rPr>
          <w:rFonts w:ascii="Times New Roman" w:hAnsi="Times New Roman"/>
          <w:sz w:val="24"/>
          <w:szCs w:val="24"/>
        </w:rPr>
        <w:t>None of the policy options i</w:t>
      </w:r>
      <w:r w:rsidR="0082791A">
        <w:rPr>
          <w:rFonts w:ascii="Times New Roman" w:hAnsi="Times New Roman"/>
          <w:sz w:val="24"/>
          <w:szCs w:val="24"/>
        </w:rPr>
        <w:t>dentified is</w:t>
      </w:r>
      <w:r w:rsidRPr="000D5FF8">
        <w:rPr>
          <w:rFonts w:ascii="Times New Roman" w:hAnsi="Times New Roman"/>
          <w:sz w:val="24"/>
          <w:szCs w:val="24"/>
        </w:rPr>
        <w:t xml:space="preserve"> expected to unduly impair private property rights or override fundamental common law principles.</w:t>
      </w:r>
    </w:p>
    <w:p w14:paraId="7E0B49AE" w14:textId="77777777" w:rsidR="00385EC1" w:rsidRPr="000D5FF8" w:rsidRDefault="00385EC1" w:rsidP="005B3666">
      <w:pPr>
        <w:pStyle w:val="Text"/>
        <w:spacing w:before="0" w:after="0" w:line="240" w:lineRule="auto"/>
        <w:ind w:right="170"/>
        <w:rPr>
          <w:rFonts w:ascii="Times New Roman" w:hAnsi="Times New Roman"/>
          <w:sz w:val="24"/>
          <w:szCs w:val="24"/>
          <w:lang w:val="en-NZ"/>
        </w:rPr>
      </w:pPr>
    </w:p>
    <w:p w14:paraId="12169EB6" w14:textId="7A6B4113" w:rsidR="00085660" w:rsidRPr="004342F0" w:rsidRDefault="004244D5" w:rsidP="00C90ABE">
      <w:pPr>
        <w:pStyle w:val="Text"/>
        <w:spacing w:before="0" w:after="0" w:line="240" w:lineRule="auto"/>
        <w:ind w:right="170"/>
        <w:rPr>
          <w:rFonts w:ascii="Times New Roman" w:hAnsi="Times New Roman"/>
          <w:sz w:val="24"/>
          <w:szCs w:val="24"/>
          <w:lang w:val="en-NZ"/>
        </w:rPr>
      </w:pPr>
      <w:r w:rsidRPr="000D5FF8">
        <w:rPr>
          <w:rFonts w:ascii="Times New Roman" w:hAnsi="Times New Roman"/>
          <w:sz w:val="24"/>
          <w:szCs w:val="24"/>
          <w:lang w:val="en-NZ"/>
        </w:rPr>
        <w:t>Note that this RIS only considers the application of GST to cross-b</w:t>
      </w:r>
      <w:r w:rsidR="00BA3C05" w:rsidRPr="000D5FF8">
        <w:rPr>
          <w:rFonts w:ascii="Times New Roman" w:hAnsi="Times New Roman"/>
          <w:sz w:val="24"/>
          <w:szCs w:val="24"/>
          <w:lang w:val="en-NZ"/>
        </w:rPr>
        <w:t>order services and intangibles. The application of GST to low-value imported goods will be considered at a later time following separate public consultation.</w:t>
      </w:r>
    </w:p>
    <w:p w14:paraId="08D36165" w14:textId="77777777" w:rsidR="00085660" w:rsidRDefault="00085660" w:rsidP="009A23EE">
      <w:pPr>
        <w:pStyle w:val="Text"/>
        <w:spacing w:before="0" w:after="0" w:line="240" w:lineRule="auto"/>
        <w:ind w:right="170"/>
        <w:rPr>
          <w:rFonts w:ascii="Times New Roman" w:hAnsi="Times New Roman"/>
          <w:sz w:val="24"/>
          <w:szCs w:val="24"/>
          <w:lang w:val="en-NZ"/>
        </w:rPr>
      </w:pPr>
    </w:p>
    <w:p w14:paraId="304C18CA" w14:textId="77777777" w:rsidR="00385EC1" w:rsidRPr="004342F0" w:rsidRDefault="00385EC1" w:rsidP="009A23EE">
      <w:pPr>
        <w:pStyle w:val="Text"/>
        <w:spacing w:before="0" w:after="0" w:line="240" w:lineRule="auto"/>
        <w:ind w:right="170"/>
        <w:rPr>
          <w:rFonts w:ascii="Times New Roman" w:hAnsi="Times New Roman"/>
          <w:sz w:val="24"/>
          <w:szCs w:val="24"/>
          <w:lang w:val="en-NZ"/>
        </w:rPr>
      </w:pPr>
    </w:p>
    <w:p w14:paraId="725FC097" w14:textId="77777777" w:rsidR="00085660" w:rsidRDefault="00085660" w:rsidP="009A23EE">
      <w:pPr>
        <w:pStyle w:val="Text"/>
        <w:spacing w:before="0" w:after="0" w:line="240" w:lineRule="auto"/>
        <w:ind w:right="170"/>
        <w:rPr>
          <w:rFonts w:ascii="Times New Roman" w:hAnsi="Times New Roman"/>
          <w:sz w:val="24"/>
          <w:szCs w:val="24"/>
          <w:lang w:val="en-NZ"/>
        </w:rPr>
      </w:pPr>
    </w:p>
    <w:p w14:paraId="5E6C5E6F" w14:textId="77777777" w:rsidR="00BA3C05" w:rsidRDefault="00BA3C05" w:rsidP="009A23EE">
      <w:pPr>
        <w:pStyle w:val="Text"/>
        <w:spacing w:before="0" w:after="0" w:line="240" w:lineRule="auto"/>
        <w:ind w:right="170"/>
        <w:rPr>
          <w:rFonts w:ascii="Times New Roman" w:hAnsi="Times New Roman"/>
          <w:sz w:val="24"/>
          <w:szCs w:val="24"/>
          <w:lang w:val="en-NZ"/>
        </w:rPr>
      </w:pPr>
    </w:p>
    <w:p w14:paraId="7E6FB2A5" w14:textId="77777777" w:rsidR="00BA3C05" w:rsidRDefault="00BA3C05" w:rsidP="009A23EE">
      <w:pPr>
        <w:pStyle w:val="Text"/>
        <w:spacing w:before="0" w:after="0" w:line="240" w:lineRule="auto"/>
        <w:ind w:right="170"/>
        <w:rPr>
          <w:rFonts w:ascii="Times New Roman" w:hAnsi="Times New Roman"/>
          <w:sz w:val="24"/>
          <w:szCs w:val="24"/>
          <w:lang w:val="en-NZ"/>
        </w:rPr>
      </w:pPr>
    </w:p>
    <w:p w14:paraId="1E255A7B" w14:textId="77777777" w:rsidR="00BA3C05" w:rsidRPr="00A54ECE" w:rsidRDefault="00BA3C05" w:rsidP="009A23EE">
      <w:pPr>
        <w:pStyle w:val="Text"/>
        <w:spacing w:before="0" w:after="0" w:line="240" w:lineRule="auto"/>
        <w:ind w:right="170"/>
        <w:rPr>
          <w:rFonts w:ascii="Times New Roman" w:hAnsi="Times New Roman"/>
          <w:sz w:val="24"/>
          <w:szCs w:val="24"/>
          <w:lang w:val="en-NZ"/>
        </w:rPr>
      </w:pPr>
    </w:p>
    <w:p w14:paraId="1A0CE1F3" w14:textId="77777777" w:rsidR="00085660" w:rsidRPr="004342F0" w:rsidRDefault="00A54ECE"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Marie Pallot</w:t>
      </w:r>
    </w:p>
    <w:p w14:paraId="7B44E2C4" w14:textId="77777777" w:rsidR="009F7B9A" w:rsidRPr="004342F0" w:rsidRDefault="00A54ECE"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14:paraId="1CBC81F3" w14:textId="77777777" w:rsidR="001C6912" w:rsidRPr="004342F0" w:rsidRDefault="001C6912" w:rsidP="004342F0">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14:paraId="06D20DCA" w14:textId="77777777" w:rsidR="000545DC" w:rsidRPr="004342F0" w:rsidRDefault="000545DC" w:rsidP="004342F0">
      <w:pPr>
        <w:pStyle w:val="Text"/>
        <w:tabs>
          <w:tab w:val="left" w:pos="567"/>
        </w:tabs>
        <w:spacing w:before="0" w:after="0" w:line="240" w:lineRule="auto"/>
        <w:ind w:right="170"/>
        <w:rPr>
          <w:rFonts w:ascii="Times New Roman" w:hAnsi="Times New Roman"/>
          <w:sz w:val="24"/>
          <w:szCs w:val="24"/>
          <w:lang w:val="en-NZ"/>
        </w:rPr>
      </w:pPr>
    </w:p>
    <w:p w14:paraId="4367AEF0" w14:textId="3A674C39" w:rsidR="000545DC" w:rsidRPr="004342F0" w:rsidRDefault="00355774"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21 </w:t>
      </w:r>
      <w:r w:rsidR="00A54ECE">
        <w:rPr>
          <w:rFonts w:ascii="Times New Roman" w:hAnsi="Times New Roman"/>
          <w:sz w:val="24"/>
          <w:szCs w:val="24"/>
          <w:lang w:val="en-NZ"/>
        </w:rPr>
        <w:t>October 2015</w:t>
      </w:r>
    </w:p>
    <w:p w14:paraId="7BAEFBA2" w14:textId="77777777" w:rsidR="000545DC" w:rsidRPr="004342F0" w:rsidRDefault="001C6912" w:rsidP="004342F0">
      <w:pPr>
        <w:pStyle w:val="RISheading"/>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14:paraId="02F87CE0" w14:textId="77777777" w:rsidR="004244D5" w:rsidRPr="004244D5" w:rsidRDefault="004244D5"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244D5">
        <w:rPr>
          <w:rFonts w:ascii="Times New Roman" w:hAnsi="Times New Roman"/>
          <w:sz w:val="24"/>
          <w:szCs w:val="24"/>
        </w:rPr>
        <w:t>In principle, GST should apply evenly to all consumption that occurs within New Zealand as this helps to ensure GST is fair, efficient and simple.  However, GST is not typically collected on cross-border services and intangibles (including internet downloads and online services) purchased from offshore websites.</w:t>
      </w:r>
    </w:p>
    <w:p w14:paraId="11DB5D24" w14:textId="77777777" w:rsidR="004244D5" w:rsidRPr="004244D5" w:rsidRDefault="004244D5" w:rsidP="00BA3C05">
      <w:pPr>
        <w:pStyle w:val="Bullet-list"/>
        <w:spacing w:after="0" w:line="240" w:lineRule="auto"/>
        <w:ind w:left="0" w:firstLine="0"/>
        <w:jc w:val="both"/>
        <w:rPr>
          <w:rFonts w:ascii="Times New Roman" w:hAnsi="Times New Roman"/>
          <w:sz w:val="24"/>
          <w:szCs w:val="24"/>
        </w:rPr>
      </w:pPr>
    </w:p>
    <w:p w14:paraId="2790F7A9" w14:textId="77777777" w:rsidR="004244D5" w:rsidRPr="004244D5" w:rsidRDefault="004244D5"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244D5">
        <w:rPr>
          <w:rFonts w:ascii="Times New Roman" w:hAnsi="Times New Roman"/>
          <w:sz w:val="24"/>
          <w:szCs w:val="24"/>
        </w:rPr>
        <w:t>When GST was introduced in 1986, few New Zealand consumers purchased services from offshore and online digital products were not yet available. Therefore, at that time the compliance and administrative costs involved in taxing cross-border services outweighed the benefits of taxation.</w:t>
      </w:r>
    </w:p>
    <w:p w14:paraId="7F79E71B" w14:textId="77777777" w:rsidR="004244D5" w:rsidRPr="004244D5" w:rsidRDefault="004244D5" w:rsidP="00BA3C05">
      <w:pPr>
        <w:pStyle w:val="Bullet-list"/>
        <w:spacing w:after="0" w:line="240" w:lineRule="auto"/>
        <w:ind w:left="0" w:firstLine="0"/>
        <w:jc w:val="both"/>
        <w:rPr>
          <w:rFonts w:ascii="Times New Roman" w:hAnsi="Times New Roman"/>
          <w:sz w:val="24"/>
          <w:szCs w:val="24"/>
        </w:rPr>
      </w:pPr>
    </w:p>
    <w:p w14:paraId="02A3F96A" w14:textId="77777777" w:rsidR="004244D5" w:rsidRPr="004244D5" w:rsidRDefault="004244D5"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244D5">
        <w:rPr>
          <w:rFonts w:ascii="Times New Roman" w:hAnsi="Times New Roman"/>
          <w:sz w:val="24"/>
          <w:szCs w:val="24"/>
        </w:rPr>
        <w:t>The growth in online purchases means that the volume of imported services on which GST is not collected is becoming increasingly significant. This raises the question of whether the existing tax rules will remain suitable and sustainable in the future.</w:t>
      </w:r>
    </w:p>
    <w:p w14:paraId="67A3FBB2" w14:textId="77777777" w:rsidR="004244D5" w:rsidRPr="004244D5" w:rsidRDefault="004244D5" w:rsidP="00BA3C05">
      <w:pPr>
        <w:pStyle w:val="Bullet-list"/>
        <w:spacing w:after="0" w:line="240" w:lineRule="auto"/>
        <w:ind w:left="0" w:firstLine="0"/>
        <w:jc w:val="both"/>
        <w:rPr>
          <w:rFonts w:ascii="Times New Roman" w:hAnsi="Times New Roman"/>
          <w:sz w:val="24"/>
          <w:szCs w:val="24"/>
        </w:rPr>
      </w:pPr>
    </w:p>
    <w:p w14:paraId="18FBD19B" w14:textId="77777777" w:rsidR="004244D5" w:rsidRPr="004244D5" w:rsidRDefault="004244D5"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244D5">
        <w:rPr>
          <w:rFonts w:ascii="Times New Roman" w:hAnsi="Times New Roman"/>
          <w:sz w:val="24"/>
          <w:szCs w:val="24"/>
        </w:rPr>
        <w:t xml:space="preserve">Many domestic providers feel the existing tax settings place them at an unfair disadvantage </w:t>
      </w:r>
      <w:r w:rsidR="00FB0EC0">
        <w:rPr>
          <w:rFonts w:ascii="Times New Roman" w:hAnsi="Times New Roman"/>
          <w:sz w:val="24"/>
          <w:szCs w:val="24"/>
        </w:rPr>
        <w:t xml:space="preserve">when </w:t>
      </w:r>
      <w:r w:rsidRPr="004244D5">
        <w:rPr>
          <w:rFonts w:ascii="Times New Roman" w:hAnsi="Times New Roman"/>
          <w:sz w:val="24"/>
          <w:szCs w:val="24"/>
        </w:rPr>
        <w:t xml:space="preserve">compared with offshore businesses supplying products with no GST added to the price. There are a number of reasons why New Zealand consumers </w:t>
      </w:r>
      <w:r w:rsidR="00FB0EC0">
        <w:rPr>
          <w:rFonts w:ascii="Times New Roman" w:hAnsi="Times New Roman"/>
          <w:sz w:val="24"/>
          <w:szCs w:val="24"/>
        </w:rPr>
        <w:t xml:space="preserve">may </w:t>
      </w:r>
      <w:r w:rsidRPr="004244D5">
        <w:rPr>
          <w:rFonts w:ascii="Times New Roman" w:hAnsi="Times New Roman"/>
          <w:sz w:val="24"/>
          <w:szCs w:val="24"/>
        </w:rPr>
        <w:t>purchase services offshore, such as overall cheaper prices, product availability, and convenience. However, ideally, the tax treatment should not be a factor in consumers’ purchasing decisions.</w:t>
      </w:r>
    </w:p>
    <w:p w14:paraId="0FA4EE0B" w14:textId="77777777" w:rsidR="004244D5" w:rsidRPr="004244D5" w:rsidRDefault="004244D5" w:rsidP="00BA3C05">
      <w:pPr>
        <w:pStyle w:val="Bullet-list"/>
        <w:spacing w:after="0" w:line="240" w:lineRule="auto"/>
        <w:ind w:left="0" w:firstLine="0"/>
        <w:jc w:val="both"/>
        <w:rPr>
          <w:rFonts w:ascii="Times New Roman" w:hAnsi="Times New Roman"/>
          <w:sz w:val="24"/>
          <w:szCs w:val="24"/>
        </w:rPr>
      </w:pPr>
    </w:p>
    <w:p w14:paraId="454CE174" w14:textId="4EA1468C" w:rsidR="004244D5" w:rsidRPr="004244D5" w:rsidRDefault="004244D5"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4244D5">
        <w:rPr>
          <w:rFonts w:ascii="Times New Roman" w:hAnsi="Times New Roman"/>
          <w:sz w:val="24"/>
          <w:szCs w:val="24"/>
        </w:rPr>
        <w:t xml:space="preserve">It is likely that </w:t>
      </w:r>
      <w:r w:rsidR="00430492">
        <w:rPr>
          <w:rFonts w:ascii="Times New Roman" w:hAnsi="Times New Roman"/>
          <w:sz w:val="24"/>
          <w:szCs w:val="24"/>
        </w:rPr>
        <w:t>up to</w:t>
      </w:r>
      <w:r w:rsidRPr="004244D5">
        <w:rPr>
          <w:rFonts w:ascii="Times New Roman" w:hAnsi="Times New Roman"/>
          <w:sz w:val="24"/>
          <w:szCs w:val="24"/>
        </w:rPr>
        <w:t xml:space="preserve"> $40 million of GST is forgone on cross-border services and intangibles per year. The growth of imported services is a relatively recent development and the amount is expected to continue to grow – estimates vary but the growth could be around 10 percent per year.</w:t>
      </w:r>
    </w:p>
    <w:p w14:paraId="31720798" w14:textId="77777777" w:rsidR="004244D5" w:rsidRDefault="004244D5" w:rsidP="00BA3C05">
      <w:pPr>
        <w:pStyle w:val="Bullet-list"/>
        <w:spacing w:after="0" w:line="240" w:lineRule="auto"/>
        <w:ind w:left="0" w:firstLine="0"/>
        <w:jc w:val="both"/>
        <w:rPr>
          <w:rFonts w:ascii="Times New Roman" w:hAnsi="Times New Roman"/>
          <w:sz w:val="24"/>
          <w:szCs w:val="24"/>
        </w:rPr>
      </w:pPr>
    </w:p>
    <w:p w14:paraId="7E9A0DA2" w14:textId="77777777" w:rsidR="005B3666" w:rsidRPr="005B3666" w:rsidRDefault="005B3666" w:rsidP="00BA3C05">
      <w:pPr>
        <w:pStyle w:val="Bullet-list"/>
        <w:spacing w:after="0" w:line="240" w:lineRule="auto"/>
        <w:ind w:left="0" w:firstLine="0"/>
        <w:jc w:val="both"/>
        <w:rPr>
          <w:rFonts w:ascii="Times New Roman" w:hAnsi="Times New Roman"/>
          <w:b/>
          <w:sz w:val="24"/>
          <w:szCs w:val="24"/>
        </w:rPr>
      </w:pPr>
      <w:r w:rsidRPr="005B3666">
        <w:rPr>
          <w:rFonts w:ascii="Times New Roman" w:hAnsi="Times New Roman"/>
          <w:b/>
          <w:sz w:val="24"/>
          <w:szCs w:val="24"/>
        </w:rPr>
        <w:t>International considerations</w:t>
      </w:r>
    </w:p>
    <w:p w14:paraId="770A01A0" w14:textId="77777777" w:rsidR="005B3666" w:rsidRDefault="005B3666" w:rsidP="00BA3C05">
      <w:pPr>
        <w:pStyle w:val="Bullet-list"/>
        <w:spacing w:after="0" w:line="240" w:lineRule="auto"/>
        <w:ind w:left="0" w:firstLine="0"/>
        <w:jc w:val="both"/>
        <w:rPr>
          <w:rFonts w:ascii="Times New Roman" w:hAnsi="Times New Roman"/>
          <w:sz w:val="24"/>
          <w:szCs w:val="24"/>
        </w:rPr>
      </w:pPr>
    </w:p>
    <w:p w14:paraId="55ED480A" w14:textId="77777777" w:rsidR="00BA3C05" w:rsidRPr="00BA3C05" w:rsidRDefault="00BA3C05"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BA3C05">
        <w:rPr>
          <w:rFonts w:ascii="Times New Roman" w:hAnsi="Times New Roman"/>
          <w:sz w:val="24"/>
          <w:szCs w:val="24"/>
        </w:rPr>
        <w:t>The non-collection of GST on cross-border services and intangibles is an international issue faced by countries that have a GST or Value Added Tax (VAT) system. The OECD is in the process of developing guidelines which focus on establishing an international set of principles for determining when countries should have the right to tax such supplies.</w:t>
      </w:r>
    </w:p>
    <w:p w14:paraId="0AF19DA6" w14:textId="77777777" w:rsidR="00BA3C05" w:rsidRPr="00BA3C05" w:rsidRDefault="00BA3C05" w:rsidP="00BA3C05">
      <w:pPr>
        <w:pStyle w:val="Bullet-list"/>
        <w:spacing w:after="0" w:line="240" w:lineRule="auto"/>
        <w:ind w:left="0" w:firstLine="0"/>
        <w:jc w:val="both"/>
        <w:rPr>
          <w:rFonts w:ascii="Times New Roman" w:hAnsi="Times New Roman"/>
          <w:sz w:val="24"/>
          <w:szCs w:val="24"/>
        </w:rPr>
      </w:pPr>
    </w:p>
    <w:p w14:paraId="7239A000" w14:textId="500FF81A" w:rsidR="00BA3C05" w:rsidRPr="00BA3C05" w:rsidRDefault="00E2349B"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w:t>
      </w:r>
      <w:r w:rsidRPr="00BA3C05">
        <w:rPr>
          <w:rFonts w:ascii="Times New Roman" w:hAnsi="Times New Roman"/>
          <w:sz w:val="24"/>
          <w:szCs w:val="24"/>
        </w:rPr>
        <w:t xml:space="preserve"> </w:t>
      </w:r>
      <w:r w:rsidR="00BA3C05" w:rsidRPr="00BA3C05">
        <w:rPr>
          <w:rFonts w:ascii="Times New Roman" w:hAnsi="Times New Roman"/>
          <w:sz w:val="24"/>
          <w:szCs w:val="24"/>
        </w:rPr>
        <w:t xml:space="preserve">guidelines were </w:t>
      </w:r>
      <w:r>
        <w:rPr>
          <w:rFonts w:ascii="Times New Roman" w:hAnsi="Times New Roman"/>
          <w:sz w:val="24"/>
          <w:szCs w:val="24"/>
        </w:rPr>
        <w:t xml:space="preserve">publicly </w:t>
      </w:r>
      <w:r w:rsidR="00BA3C05" w:rsidRPr="00BA3C05">
        <w:rPr>
          <w:rFonts w:ascii="Times New Roman" w:hAnsi="Times New Roman"/>
          <w:sz w:val="24"/>
          <w:szCs w:val="24"/>
        </w:rPr>
        <w:t xml:space="preserve">released on </w:t>
      </w:r>
      <w:r>
        <w:rPr>
          <w:rFonts w:ascii="Times New Roman" w:hAnsi="Times New Roman"/>
          <w:sz w:val="24"/>
          <w:szCs w:val="24"/>
        </w:rPr>
        <w:t>5</w:t>
      </w:r>
      <w:r w:rsidRPr="00BA3C05">
        <w:rPr>
          <w:rFonts w:ascii="Times New Roman" w:hAnsi="Times New Roman"/>
          <w:sz w:val="24"/>
          <w:szCs w:val="24"/>
        </w:rPr>
        <w:t xml:space="preserve"> </w:t>
      </w:r>
      <w:r>
        <w:rPr>
          <w:rFonts w:ascii="Times New Roman" w:hAnsi="Times New Roman"/>
          <w:sz w:val="24"/>
          <w:szCs w:val="24"/>
        </w:rPr>
        <w:t>October</w:t>
      </w:r>
      <w:r w:rsidRPr="00BA3C05">
        <w:rPr>
          <w:rFonts w:ascii="Times New Roman" w:hAnsi="Times New Roman"/>
          <w:sz w:val="24"/>
          <w:szCs w:val="24"/>
        </w:rPr>
        <w:t xml:space="preserve"> </w:t>
      </w:r>
      <w:r>
        <w:rPr>
          <w:rFonts w:ascii="Times New Roman" w:hAnsi="Times New Roman"/>
          <w:sz w:val="24"/>
          <w:szCs w:val="24"/>
        </w:rPr>
        <w:t>2015.</w:t>
      </w:r>
      <w:r w:rsidR="00BA3C05" w:rsidRPr="00BA3C05">
        <w:rPr>
          <w:rFonts w:ascii="Times New Roman" w:hAnsi="Times New Roman"/>
          <w:sz w:val="24"/>
          <w:szCs w:val="24"/>
        </w:rPr>
        <w:t xml:space="preserve"> The guideli</w:t>
      </w:r>
      <w:r w:rsidR="00FB0EC0">
        <w:rPr>
          <w:rFonts w:ascii="Times New Roman" w:hAnsi="Times New Roman"/>
          <w:sz w:val="24"/>
          <w:szCs w:val="24"/>
        </w:rPr>
        <w:t>nes suggest that, for remotely supplied</w:t>
      </w:r>
      <w:r w:rsidR="00BA3C05" w:rsidRPr="00BA3C05">
        <w:rPr>
          <w:rFonts w:ascii="Times New Roman" w:hAnsi="Times New Roman"/>
          <w:sz w:val="24"/>
          <w:szCs w:val="24"/>
        </w:rPr>
        <w:t xml:space="preserve"> services and intangibles, the consumer’s usual place of residence is the predominant test for determining which country has the right to tax. They also suggest that offshore suppliers could be required to register and return the GST on remote supplies, as is the case in the European Union. The guidelines are expected to be finalised later this year.</w:t>
      </w:r>
    </w:p>
    <w:p w14:paraId="27BC10C5" w14:textId="77777777" w:rsidR="00BA3C05" w:rsidRPr="00BA3C05" w:rsidRDefault="00BA3C05" w:rsidP="00BA3C05">
      <w:pPr>
        <w:pStyle w:val="Bullet-list"/>
        <w:spacing w:after="0" w:line="240" w:lineRule="auto"/>
        <w:ind w:left="0" w:firstLine="0"/>
        <w:jc w:val="both"/>
        <w:rPr>
          <w:rFonts w:ascii="Times New Roman" w:hAnsi="Times New Roman"/>
          <w:sz w:val="24"/>
          <w:szCs w:val="24"/>
        </w:rPr>
      </w:pPr>
    </w:p>
    <w:p w14:paraId="74DC1747" w14:textId="0FADD916" w:rsidR="00BA3C05" w:rsidRPr="00BA3C05" w:rsidRDefault="008A3608"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w:t>
      </w:r>
      <w:r w:rsidRPr="00BA3C05">
        <w:rPr>
          <w:rFonts w:ascii="Times New Roman" w:hAnsi="Times New Roman"/>
          <w:sz w:val="24"/>
          <w:szCs w:val="24"/>
        </w:rPr>
        <w:t xml:space="preserve">he offshore supplier registration model has been adopted </w:t>
      </w:r>
      <w:r>
        <w:rPr>
          <w:rFonts w:ascii="Times New Roman" w:hAnsi="Times New Roman"/>
          <w:sz w:val="24"/>
          <w:szCs w:val="24"/>
        </w:rPr>
        <w:t xml:space="preserve">in </w:t>
      </w:r>
      <w:r w:rsidR="00BA3C05" w:rsidRPr="00BA3C05">
        <w:rPr>
          <w:rFonts w:ascii="Times New Roman" w:hAnsi="Times New Roman"/>
          <w:sz w:val="24"/>
          <w:szCs w:val="24"/>
        </w:rPr>
        <w:t>the European Union</w:t>
      </w:r>
      <w:r>
        <w:rPr>
          <w:rFonts w:ascii="Times New Roman" w:hAnsi="Times New Roman"/>
          <w:sz w:val="24"/>
          <w:szCs w:val="24"/>
        </w:rPr>
        <w:t xml:space="preserve"> </w:t>
      </w:r>
      <w:r w:rsidR="00BA3C05" w:rsidRPr="00BA3C05">
        <w:rPr>
          <w:rFonts w:ascii="Times New Roman" w:hAnsi="Times New Roman"/>
          <w:sz w:val="24"/>
          <w:szCs w:val="24"/>
        </w:rPr>
        <w:t>for cross-border services and intangibles</w:t>
      </w:r>
      <w:r>
        <w:rPr>
          <w:rFonts w:ascii="Times New Roman" w:hAnsi="Times New Roman"/>
          <w:sz w:val="24"/>
          <w:szCs w:val="24"/>
        </w:rPr>
        <w:t xml:space="preserve"> as well as </w:t>
      </w:r>
      <w:r w:rsidR="00BA3C05" w:rsidRPr="00BA3C05">
        <w:rPr>
          <w:rFonts w:ascii="Times New Roman" w:hAnsi="Times New Roman"/>
          <w:sz w:val="24"/>
          <w:szCs w:val="24"/>
        </w:rPr>
        <w:t xml:space="preserve">a number of countries, including Norway, South Korea, Switzerland, </w:t>
      </w:r>
      <w:r w:rsidR="00BA3C05">
        <w:rPr>
          <w:rFonts w:ascii="Times New Roman" w:hAnsi="Times New Roman"/>
          <w:sz w:val="24"/>
          <w:szCs w:val="24"/>
        </w:rPr>
        <w:t xml:space="preserve">Japan </w:t>
      </w:r>
      <w:r w:rsidR="00BA3C05" w:rsidRPr="00BA3C05">
        <w:rPr>
          <w:rFonts w:ascii="Times New Roman" w:hAnsi="Times New Roman"/>
          <w:sz w:val="24"/>
          <w:szCs w:val="24"/>
        </w:rPr>
        <w:t xml:space="preserve">and South Africa. The countries that have implemented </w:t>
      </w:r>
      <w:r w:rsidR="00FB0EC0">
        <w:rPr>
          <w:rFonts w:ascii="Times New Roman" w:hAnsi="Times New Roman"/>
          <w:sz w:val="24"/>
          <w:szCs w:val="24"/>
        </w:rPr>
        <w:t xml:space="preserve">such </w:t>
      </w:r>
      <w:r w:rsidR="00BA3C05" w:rsidRPr="00BA3C05">
        <w:rPr>
          <w:rFonts w:ascii="Times New Roman" w:hAnsi="Times New Roman"/>
          <w:sz w:val="24"/>
          <w:szCs w:val="24"/>
        </w:rPr>
        <w:t>a system report some success in collecting GST or VAT.</w:t>
      </w:r>
    </w:p>
    <w:p w14:paraId="3A75E419" w14:textId="77777777" w:rsidR="00BA3C05" w:rsidRPr="00BA3C05" w:rsidRDefault="00BA3C05" w:rsidP="00BA3C05">
      <w:pPr>
        <w:pStyle w:val="Bullet-list"/>
        <w:spacing w:after="0" w:line="240" w:lineRule="auto"/>
        <w:ind w:left="0" w:firstLine="0"/>
        <w:jc w:val="both"/>
        <w:rPr>
          <w:rFonts w:ascii="Times New Roman" w:hAnsi="Times New Roman"/>
          <w:sz w:val="24"/>
          <w:szCs w:val="24"/>
        </w:rPr>
      </w:pPr>
    </w:p>
    <w:p w14:paraId="57BC5CBC" w14:textId="319A2558" w:rsidR="00BA3C05" w:rsidRDefault="00BA3C05"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BA3C05">
        <w:rPr>
          <w:rFonts w:ascii="Times New Roman" w:hAnsi="Times New Roman"/>
          <w:sz w:val="24"/>
          <w:szCs w:val="24"/>
        </w:rPr>
        <w:t>Australia</w:t>
      </w:r>
      <w:r>
        <w:rPr>
          <w:rFonts w:ascii="Times New Roman" w:hAnsi="Times New Roman"/>
          <w:sz w:val="24"/>
          <w:szCs w:val="24"/>
        </w:rPr>
        <w:t xml:space="preserve"> </w:t>
      </w:r>
      <w:r w:rsidRPr="00BA3C05">
        <w:rPr>
          <w:rFonts w:ascii="Times New Roman" w:hAnsi="Times New Roman"/>
          <w:sz w:val="24"/>
          <w:szCs w:val="24"/>
        </w:rPr>
        <w:t>also announced plans to introduce the model as part of the</w:t>
      </w:r>
      <w:r w:rsidR="00E2349B">
        <w:rPr>
          <w:rFonts w:ascii="Times New Roman" w:hAnsi="Times New Roman"/>
          <w:sz w:val="24"/>
          <w:szCs w:val="24"/>
        </w:rPr>
        <w:t>ir</w:t>
      </w:r>
      <w:r w:rsidRPr="00BA3C05">
        <w:rPr>
          <w:rFonts w:ascii="Times New Roman" w:hAnsi="Times New Roman"/>
          <w:sz w:val="24"/>
          <w:szCs w:val="24"/>
        </w:rPr>
        <w:t xml:space="preserve"> </w:t>
      </w:r>
      <w:r w:rsidR="00E2349B">
        <w:rPr>
          <w:rFonts w:ascii="Times New Roman" w:hAnsi="Times New Roman"/>
          <w:sz w:val="24"/>
          <w:szCs w:val="24"/>
        </w:rPr>
        <w:t xml:space="preserve">2015 </w:t>
      </w:r>
      <w:r w:rsidRPr="00BA3C05">
        <w:rPr>
          <w:rFonts w:ascii="Times New Roman" w:hAnsi="Times New Roman"/>
          <w:sz w:val="24"/>
          <w:szCs w:val="24"/>
        </w:rPr>
        <w:t>Federal Government Budget. While some of the detail is still subject to consultation, the broad framework of the proposed rules is consistent with the OECD guidelines and the system that operates in Europe. Australia intends to implement its proposed rules on 1 July 2017.</w:t>
      </w:r>
    </w:p>
    <w:p w14:paraId="703E8757" w14:textId="77777777" w:rsidR="0082791A" w:rsidRDefault="0082791A" w:rsidP="0082791A">
      <w:pPr>
        <w:pStyle w:val="Bullet-list"/>
        <w:spacing w:after="0" w:line="240" w:lineRule="auto"/>
        <w:ind w:left="0" w:firstLine="0"/>
        <w:jc w:val="both"/>
        <w:rPr>
          <w:rFonts w:ascii="Times New Roman" w:hAnsi="Times New Roman"/>
          <w:sz w:val="24"/>
          <w:szCs w:val="24"/>
        </w:rPr>
      </w:pPr>
    </w:p>
    <w:p w14:paraId="29DAF5CA" w14:textId="77777777" w:rsidR="0082791A" w:rsidRPr="000F7E67" w:rsidRDefault="0082791A" w:rsidP="0097279A">
      <w:pPr>
        <w:pStyle w:val="Bullet-list"/>
        <w:keepNext/>
        <w:spacing w:after="0" w:line="240" w:lineRule="auto"/>
        <w:ind w:left="567" w:hanging="567"/>
        <w:jc w:val="both"/>
        <w:rPr>
          <w:rFonts w:ascii="Times New Roman" w:hAnsi="Times New Roman"/>
          <w:b/>
          <w:sz w:val="24"/>
          <w:szCs w:val="24"/>
        </w:rPr>
      </w:pPr>
      <w:r w:rsidRPr="000F7E67">
        <w:rPr>
          <w:rFonts w:ascii="Times New Roman" w:hAnsi="Times New Roman"/>
          <w:b/>
          <w:sz w:val="24"/>
          <w:szCs w:val="24"/>
        </w:rPr>
        <w:t>Establishing New Zealand’s right to tax</w:t>
      </w:r>
    </w:p>
    <w:p w14:paraId="5014107C" w14:textId="77777777" w:rsidR="0082791A" w:rsidRDefault="0082791A" w:rsidP="0097279A">
      <w:pPr>
        <w:pStyle w:val="Bullet-list"/>
        <w:keepNext/>
        <w:spacing w:after="0" w:line="240" w:lineRule="auto"/>
        <w:ind w:left="567" w:hanging="567"/>
        <w:jc w:val="both"/>
        <w:rPr>
          <w:rFonts w:ascii="Times New Roman" w:hAnsi="Times New Roman"/>
          <w:sz w:val="24"/>
          <w:szCs w:val="24"/>
        </w:rPr>
      </w:pPr>
    </w:p>
    <w:p w14:paraId="2CC9578A" w14:textId="67E259AA" w:rsidR="0082791A" w:rsidRDefault="0082791A" w:rsidP="0097279A">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Before considering the various options, it is first important to determine </w:t>
      </w:r>
      <w:r w:rsidR="00E2349B">
        <w:rPr>
          <w:rFonts w:ascii="Times New Roman" w:hAnsi="Times New Roman"/>
          <w:sz w:val="24"/>
          <w:szCs w:val="24"/>
        </w:rPr>
        <w:t xml:space="preserve">which </w:t>
      </w:r>
      <w:r>
        <w:rPr>
          <w:rFonts w:ascii="Times New Roman" w:hAnsi="Times New Roman"/>
          <w:sz w:val="24"/>
          <w:szCs w:val="24"/>
        </w:rPr>
        <w:t xml:space="preserve">cross-border services and intangibles New Zealand </w:t>
      </w:r>
      <w:r w:rsidR="00E2349B">
        <w:rPr>
          <w:rFonts w:ascii="Times New Roman" w:hAnsi="Times New Roman"/>
          <w:sz w:val="24"/>
          <w:szCs w:val="24"/>
        </w:rPr>
        <w:t>should</w:t>
      </w:r>
      <w:r>
        <w:rPr>
          <w:rFonts w:ascii="Times New Roman" w:hAnsi="Times New Roman"/>
          <w:sz w:val="24"/>
          <w:szCs w:val="24"/>
        </w:rPr>
        <w:t xml:space="preserve"> tax. New Zealand and other countries</w:t>
      </w:r>
      <w:r w:rsidR="00E2349B">
        <w:rPr>
          <w:rFonts w:ascii="Times New Roman" w:hAnsi="Times New Roman"/>
          <w:sz w:val="24"/>
          <w:szCs w:val="24"/>
        </w:rPr>
        <w:t>’</w:t>
      </w:r>
      <w:r>
        <w:rPr>
          <w:rFonts w:ascii="Times New Roman" w:hAnsi="Times New Roman"/>
          <w:sz w:val="24"/>
          <w:szCs w:val="24"/>
        </w:rPr>
        <w:t xml:space="preserve"> GST systems </w:t>
      </w:r>
      <w:r w:rsidR="00E2349B">
        <w:rPr>
          <w:rFonts w:ascii="Times New Roman" w:hAnsi="Times New Roman"/>
          <w:sz w:val="24"/>
          <w:szCs w:val="24"/>
        </w:rPr>
        <w:t xml:space="preserve">seek to tax </w:t>
      </w:r>
      <w:r w:rsidR="00EA66A2">
        <w:rPr>
          <w:rFonts w:ascii="Times New Roman" w:hAnsi="Times New Roman"/>
          <w:sz w:val="24"/>
          <w:szCs w:val="24"/>
        </w:rPr>
        <w:t xml:space="preserve">domestic </w:t>
      </w:r>
      <w:r w:rsidR="00E2349B">
        <w:rPr>
          <w:rFonts w:ascii="Times New Roman" w:hAnsi="Times New Roman"/>
          <w:sz w:val="24"/>
          <w:szCs w:val="24"/>
        </w:rPr>
        <w:t>consumption</w:t>
      </w:r>
      <w:r w:rsidR="00EA66A2">
        <w:rPr>
          <w:rFonts w:ascii="Times New Roman" w:hAnsi="Times New Roman"/>
          <w:sz w:val="24"/>
          <w:szCs w:val="24"/>
        </w:rPr>
        <w:t>. This is done taxing</w:t>
      </w:r>
      <w:r w:rsidR="00E2349B">
        <w:rPr>
          <w:rFonts w:ascii="Times New Roman" w:hAnsi="Times New Roman"/>
          <w:sz w:val="24"/>
          <w:szCs w:val="24"/>
        </w:rPr>
        <w:t xml:space="preserve"> imports</w:t>
      </w:r>
      <w:r w:rsidR="00EA66A2">
        <w:rPr>
          <w:rFonts w:ascii="Times New Roman" w:hAnsi="Times New Roman"/>
          <w:sz w:val="24"/>
          <w:szCs w:val="24"/>
        </w:rPr>
        <w:t xml:space="preserve"> (as well as other goods and services supplied domestically</w:t>
      </w:r>
      <w:r w:rsidR="00E2349B">
        <w:rPr>
          <w:rFonts w:ascii="Times New Roman" w:hAnsi="Times New Roman"/>
          <w:sz w:val="24"/>
          <w:szCs w:val="24"/>
        </w:rPr>
        <w:t xml:space="preserve">), </w:t>
      </w:r>
      <w:r w:rsidR="00EA66A2">
        <w:rPr>
          <w:rFonts w:ascii="Times New Roman" w:hAnsi="Times New Roman"/>
          <w:sz w:val="24"/>
          <w:szCs w:val="24"/>
        </w:rPr>
        <w:t>and</w:t>
      </w:r>
      <w:r w:rsidR="00E2349B">
        <w:rPr>
          <w:rFonts w:ascii="Times New Roman" w:hAnsi="Times New Roman"/>
          <w:sz w:val="24"/>
          <w:szCs w:val="24"/>
        </w:rPr>
        <w:t xml:space="preserve"> not tax</w:t>
      </w:r>
      <w:r w:rsidR="00EA66A2">
        <w:rPr>
          <w:rFonts w:ascii="Times New Roman" w:hAnsi="Times New Roman"/>
          <w:sz w:val="24"/>
          <w:szCs w:val="24"/>
        </w:rPr>
        <w:t>ing</w:t>
      </w:r>
      <w:r w:rsidR="00E2349B">
        <w:rPr>
          <w:rFonts w:ascii="Times New Roman" w:hAnsi="Times New Roman"/>
          <w:sz w:val="24"/>
          <w:szCs w:val="24"/>
        </w:rPr>
        <w:t xml:space="preserve"> exports</w:t>
      </w:r>
      <w:r>
        <w:rPr>
          <w:rFonts w:ascii="Times New Roman" w:hAnsi="Times New Roman"/>
          <w:sz w:val="24"/>
          <w:szCs w:val="24"/>
        </w:rPr>
        <w:t>.</w:t>
      </w:r>
    </w:p>
    <w:p w14:paraId="43301197" w14:textId="77777777" w:rsidR="0082791A" w:rsidRDefault="0082791A" w:rsidP="0082791A">
      <w:pPr>
        <w:pStyle w:val="Bullet-list"/>
        <w:spacing w:after="0" w:line="240" w:lineRule="auto"/>
        <w:ind w:left="0" w:firstLine="0"/>
        <w:jc w:val="both"/>
        <w:rPr>
          <w:rFonts w:ascii="Times New Roman" w:hAnsi="Times New Roman"/>
          <w:sz w:val="24"/>
          <w:szCs w:val="24"/>
        </w:rPr>
      </w:pPr>
    </w:p>
    <w:p w14:paraId="261F9A22" w14:textId="337FCB88" w:rsidR="0082791A" w:rsidRDefault="0082791A" w:rsidP="008279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E570FD">
        <w:rPr>
          <w:rFonts w:ascii="Times New Roman" w:hAnsi="Times New Roman"/>
          <w:sz w:val="24"/>
          <w:szCs w:val="24"/>
        </w:rPr>
        <w:t xml:space="preserve">In the case of </w:t>
      </w:r>
      <w:r w:rsidR="00E2349B">
        <w:rPr>
          <w:rFonts w:ascii="Times New Roman" w:hAnsi="Times New Roman"/>
          <w:sz w:val="24"/>
          <w:szCs w:val="24"/>
        </w:rPr>
        <w:t xml:space="preserve">cross-border </w:t>
      </w:r>
      <w:r w:rsidRPr="00E570FD">
        <w:rPr>
          <w:rFonts w:ascii="Times New Roman" w:hAnsi="Times New Roman"/>
          <w:sz w:val="24"/>
          <w:szCs w:val="24"/>
        </w:rPr>
        <w:t>goods, the place of consumption will be clear – the consumption occurs in the country of import.</w:t>
      </w:r>
      <w:r>
        <w:rPr>
          <w:rFonts w:ascii="Times New Roman" w:hAnsi="Times New Roman"/>
          <w:sz w:val="24"/>
          <w:szCs w:val="24"/>
        </w:rPr>
        <w:t xml:space="preserve"> </w:t>
      </w:r>
      <w:r w:rsidRPr="00B97A50">
        <w:rPr>
          <w:rFonts w:ascii="Times New Roman" w:hAnsi="Times New Roman"/>
          <w:sz w:val="24"/>
          <w:szCs w:val="24"/>
        </w:rPr>
        <w:t xml:space="preserve">There is less certainty when applying GST to cross-border services and intangibles.  In many cases it is not clear where the consumption occurs and therefore which country has the taxing right.  </w:t>
      </w:r>
      <w:r>
        <w:rPr>
          <w:rFonts w:ascii="Times New Roman" w:hAnsi="Times New Roman"/>
          <w:sz w:val="24"/>
          <w:szCs w:val="24"/>
        </w:rPr>
        <w:t>A number of proxies could be used to determine place of consumption, such as the location of the consumer, location of the supplier, or the residence of the consumer.</w:t>
      </w:r>
    </w:p>
    <w:p w14:paraId="2568E0BF" w14:textId="77777777" w:rsidR="0082791A" w:rsidRDefault="0082791A" w:rsidP="0082791A">
      <w:pPr>
        <w:pStyle w:val="Bullet-list"/>
        <w:spacing w:after="0" w:line="240" w:lineRule="auto"/>
        <w:ind w:left="0" w:firstLine="0"/>
        <w:jc w:val="both"/>
        <w:rPr>
          <w:rFonts w:ascii="Times New Roman" w:hAnsi="Times New Roman"/>
          <w:sz w:val="24"/>
          <w:szCs w:val="24"/>
        </w:rPr>
      </w:pPr>
    </w:p>
    <w:p w14:paraId="4382C36C" w14:textId="41A58401" w:rsidR="0082791A" w:rsidRPr="00ED1C8D" w:rsidRDefault="0082791A" w:rsidP="008279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ED1C8D">
        <w:rPr>
          <w:rFonts w:ascii="Times New Roman" w:hAnsi="Times New Roman"/>
          <w:sz w:val="24"/>
          <w:szCs w:val="24"/>
        </w:rPr>
        <w:t xml:space="preserve">Without international consensus on taxing rights, it is possible that services could be taxed in multiple jurisdictions or not at all. The OECD has been </w:t>
      </w:r>
      <w:r w:rsidR="00E2349B">
        <w:rPr>
          <w:rFonts w:ascii="Times New Roman" w:hAnsi="Times New Roman"/>
          <w:sz w:val="24"/>
          <w:szCs w:val="24"/>
        </w:rPr>
        <w:t>developing</w:t>
      </w:r>
      <w:r w:rsidRPr="00ED1C8D">
        <w:rPr>
          <w:rFonts w:ascii="Times New Roman" w:hAnsi="Times New Roman"/>
          <w:sz w:val="24"/>
          <w:szCs w:val="24"/>
        </w:rPr>
        <w:t xml:space="preserve"> a set of guidelines addressing these issues of double taxation and non-taxation that may arise from inconsistencies in the application of VAT/GST to international trade. </w:t>
      </w:r>
    </w:p>
    <w:p w14:paraId="0A8FDD61" w14:textId="77777777" w:rsidR="0082791A" w:rsidRPr="00ED1C8D" w:rsidRDefault="0082791A" w:rsidP="0082791A">
      <w:pPr>
        <w:pStyle w:val="Bullet-list"/>
        <w:spacing w:after="0" w:line="240" w:lineRule="auto"/>
        <w:ind w:left="0" w:firstLine="0"/>
        <w:jc w:val="both"/>
        <w:rPr>
          <w:rFonts w:ascii="Times New Roman" w:hAnsi="Times New Roman"/>
          <w:sz w:val="24"/>
          <w:szCs w:val="24"/>
        </w:rPr>
      </w:pPr>
    </w:p>
    <w:p w14:paraId="4C2C8F3B" w14:textId="16F3F808" w:rsidR="0082791A" w:rsidRPr="000F7E67" w:rsidRDefault="0082791A" w:rsidP="008279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ED1C8D">
        <w:rPr>
          <w:rFonts w:ascii="Times New Roman" w:hAnsi="Times New Roman"/>
          <w:sz w:val="24"/>
          <w:szCs w:val="24"/>
        </w:rPr>
        <w:t xml:space="preserve">The OECD draft guidelines and growing international practice suggest that New Zealand should apply GST to </w:t>
      </w:r>
      <w:r>
        <w:rPr>
          <w:rFonts w:ascii="Times New Roman" w:hAnsi="Times New Roman"/>
          <w:sz w:val="24"/>
          <w:szCs w:val="24"/>
        </w:rPr>
        <w:t>“remote”</w:t>
      </w:r>
      <w:r w:rsidRPr="00ED1C8D">
        <w:rPr>
          <w:rFonts w:ascii="Times New Roman" w:hAnsi="Times New Roman"/>
          <w:sz w:val="24"/>
          <w:szCs w:val="24"/>
        </w:rPr>
        <w:t xml:space="preserve"> services and intangibles supplied to New Zealand-resident</w:t>
      </w:r>
      <w:r w:rsidR="00E2349B">
        <w:rPr>
          <w:rFonts w:ascii="Times New Roman" w:hAnsi="Times New Roman"/>
          <w:sz w:val="24"/>
          <w:szCs w:val="24"/>
        </w:rPr>
        <w:t>s</w:t>
      </w:r>
      <w:r w:rsidRPr="00ED1C8D">
        <w:rPr>
          <w:rFonts w:ascii="Times New Roman" w:hAnsi="Times New Roman"/>
          <w:sz w:val="24"/>
          <w:szCs w:val="24"/>
        </w:rPr>
        <w:t xml:space="preserve">.  </w:t>
      </w:r>
      <w:r>
        <w:rPr>
          <w:rFonts w:ascii="Times New Roman" w:hAnsi="Times New Roman"/>
          <w:sz w:val="24"/>
          <w:szCs w:val="24"/>
        </w:rPr>
        <w:t>Remote</w:t>
      </w:r>
      <w:r w:rsidRPr="000F7E67">
        <w:rPr>
          <w:rFonts w:ascii="Times New Roman" w:hAnsi="Times New Roman"/>
          <w:sz w:val="24"/>
          <w:szCs w:val="24"/>
        </w:rPr>
        <w:t xml:space="preserve"> services </w:t>
      </w:r>
      <w:r>
        <w:rPr>
          <w:rFonts w:ascii="Times New Roman" w:hAnsi="Times New Roman"/>
          <w:sz w:val="24"/>
          <w:szCs w:val="24"/>
        </w:rPr>
        <w:t xml:space="preserve">are services </w:t>
      </w:r>
      <w:r w:rsidRPr="000F7E67">
        <w:rPr>
          <w:rFonts w:ascii="Times New Roman" w:hAnsi="Times New Roman"/>
          <w:sz w:val="24"/>
          <w:szCs w:val="24"/>
        </w:rPr>
        <w:t xml:space="preserve">where it is not necessary for the supplier and customer to be in the same location when the services are supplied – </w:t>
      </w:r>
      <w:r w:rsidR="00E2349B">
        <w:rPr>
          <w:rFonts w:ascii="Times New Roman" w:hAnsi="Times New Roman"/>
          <w:sz w:val="24"/>
          <w:szCs w:val="24"/>
        </w:rPr>
        <w:t xml:space="preserve">such as if, </w:t>
      </w:r>
      <w:r w:rsidRPr="000F7E67">
        <w:rPr>
          <w:rFonts w:ascii="Times New Roman" w:hAnsi="Times New Roman"/>
          <w:sz w:val="24"/>
          <w:szCs w:val="24"/>
        </w:rPr>
        <w:t>for example, a person download</w:t>
      </w:r>
      <w:r w:rsidR="00E2349B">
        <w:rPr>
          <w:rFonts w:ascii="Times New Roman" w:hAnsi="Times New Roman"/>
          <w:sz w:val="24"/>
          <w:szCs w:val="24"/>
        </w:rPr>
        <w:t>s</w:t>
      </w:r>
      <w:r w:rsidRPr="000F7E67">
        <w:rPr>
          <w:rFonts w:ascii="Times New Roman" w:hAnsi="Times New Roman"/>
          <w:sz w:val="24"/>
          <w:szCs w:val="24"/>
        </w:rPr>
        <w:t xml:space="preserve"> a song from a website.</w:t>
      </w:r>
      <w:r>
        <w:rPr>
          <w:rFonts w:ascii="Times New Roman" w:hAnsi="Times New Roman"/>
          <w:sz w:val="24"/>
          <w:szCs w:val="24"/>
        </w:rPr>
        <w:t xml:space="preserve"> These services can be distinguished from “on-the-spot” services, where the supplier and the customer are </w:t>
      </w:r>
      <w:r w:rsidR="00E2349B">
        <w:rPr>
          <w:rFonts w:ascii="Times New Roman" w:hAnsi="Times New Roman"/>
          <w:sz w:val="24"/>
          <w:szCs w:val="24"/>
        </w:rPr>
        <w:t xml:space="preserve">usually </w:t>
      </w:r>
      <w:r>
        <w:rPr>
          <w:rFonts w:ascii="Times New Roman" w:hAnsi="Times New Roman"/>
          <w:sz w:val="24"/>
          <w:szCs w:val="24"/>
        </w:rPr>
        <w:t>required to be in the same location as the supplier in order for the services to be physically performed – for example, the service</w:t>
      </w:r>
      <w:r w:rsidR="00E2349B">
        <w:rPr>
          <w:rFonts w:ascii="Times New Roman" w:hAnsi="Times New Roman"/>
          <w:sz w:val="24"/>
          <w:szCs w:val="24"/>
        </w:rPr>
        <w:t>s</w:t>
      </w:r>
      <w:r>
        <w:rPr>
          <w:rFonts w:ascii="Times New Roman" w:hAnsi="Times New Roman"/>
          <w:sz w:val="24"/>
          <w:szCs w:val="24"/>
        </w:rPr>
        <w:t xml:space="preserve"> provided by a hairdresser.</w:t>
      </w:r>
    </w:p>
    <w:p w14:paraId="647F9EBA" w14:textId="77777777" w:rsidR="0082791A" w:rsidRDefault="0082791A" w:rsidP="0082791A">
      <w:pPr>
        <w:pStyle w:val="Bullet-list"/>
        <w:spacing w:after="0" w:line="240" w:lineRule="auto"/>
        <w:ind w:left="0" w:firstLine="0"/>
        <w:jc w:val="both"/>
        <w:rPr>
          <w:rFonts w:ascii="Times New Roman" w:hAnsi="Times New Roman"/>
          <w:sz w:val="24"/>
          <w:szCs w:val="24"/>
        </w:rPr>
      </w:pPr>
    </w:p>
    <w:p w14:paraId="0EF92CAD" w14:textId="57446437" w:rsidR="0082791A" w:rsidRPr="0082791A" w:rsidRDefault="0082791A" w:rsidP="008279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In relation to remote services,</w:t>
      </w:r>
      <w:r w:rsidRPr="00ED1C8D">
        <w:rPr>
          <w:rFonts w:ascii="Times New Roman" w:hAnsi="Times New Roman"/>
          <w:sz w:val="24"/>
          <w:szCs w:val="24"/>
        </w:rPr>
        <w:t xml:space="preserve"> residence is </w:t>
      </w:r>
      <w:r>
        <w:rPr>
          <w:rFonts w:ascii="Times New Roman" w:hAnsi="Times New Roman"/>
          <w:sz w:val="24"/>
          <w:szCs w:val="24"/>
        </w:rPr>
        <w:t xml:space="preserve">internationally </w:t>
      </w:r>
      <w:r w:rsidRPr="00ED1C8D">
        <w:rPr>
          <w:rFonts w:ascii="Times New Roman" w:hAnsi="Times New Roman"/>
          <w:sz w:val="24"/>
          <w:szCs w:val="24"/>
        </w:rPr>
        <w:t xml:space="preserve">regarded as a reasonable proxy for determining where a cross-border service or intangible will be consumed. </w:t>
      </w:r>
      <w:r>
        <w:rPr>
          <w:rFonts w:ascii="Times New Roman" w:hAnsi="Times New Roman"/>
          <w:sz w:val="24"/>
          <w:szCs w:val="24"/>
        </w:rPr>
        <w:t>It is recommended that New Zealand follow international consensus to av</w:t>
      </w:r>
      <w:r w:rsidRPr="00ED1C8D">
        <w:rPr>
          <w:rFonts w:ascii="Times New Roman" w:hAnsi="Times New Roman"/>
          <w:sz w:val="24"/>
          <w:szCs w:val="24"/>
        </w:rPr>
        <w:t xml:space="preserve">oid double </w:t>
      </w:r>
      <w:r w:rsidR="00EA66A2">
        <w:rPr>
          <w:rFonts w:ascii="Times New Roman" w:hAnsi="Times New Roman"/>
          <w:sz w:val="24"/>
          <w:szCs w:val="24"/>
        </w:rPr>
        <w:t xml:space="preserve">taxation </w:t>
      </w:r>
      <w:r w:rsidRPr="00ED1C8D">
        <w:rPr>
          <w:rFonts w:ascii="Times New Roman" w:hAnsi="Times New Roman"/>
          <w:sz w:val="24"/>
          <w:szCs w:val="24"/>
        </w:rPr>
        <w:t>or double non-taxation in international trade.</w:t>
      </w:r>
      <w:r>
        <w:rPr>
          <w:rFonts w:ascii="Times New Roman" w:hAnsi="Times New Roman"/>
          <w:sz w:val="24"/>
          <w:szCs w:val="24"/>
        </w:rPr>
        <w:t xml:space="preserve"> Therefore, the options considered seek to apply GST to remotely supplied services and intangibles received by New Zealand residents.</w:t>
      </w:r>
    </w:p>
    <w:p w14:paraId="083399EE" w14:textId="77777777" w:rsidR="000545DC" w:rsidRPr="004342F0" w:rsidRDefault="000545DC" w:rsidP="0082791A">
      <w:pPr>
        <w:pStyle w:val="Bullet-list"/>
        <w:spacing w:after="0" w:line="240" w:lineRule="auto"/>
        <w:ind w:left="0" w:firstLine="0"/>
        <w:jc w:val="both"/>
        <w:rPr>
          <w:rFonts w:ascii="Times New Roman" w:hAnsi="Times New Roman"/>
          <w:sz w:val="24"/>
          <w:szCs w:val="24"/>
        </w:rPr>
      </w:pPr>
    </w:p>
    <w:p w14:paraId="3EA4F1F7" w14:textId="7275A85B" w:rsidR="000545DC" w:rsidRPr="004342F0" w:rsidRDefault="00D943DD" w:rsidP="004342F0">
      <w:pPr>
        <w:pStyle w:val="RISheading"/>
        <w:rPr>
          <w:spacing w:val="0"/>
          <w:w w:val="100"/>
        </w:rPr>
      </w:pPr>
      <w:bookmarkStart w:id="12" w:name="_Toc244580364"/>
      <w:bookmarkStart w:id="13" w:name="_Toc244587040"/>
      <w:bookmarkStart w:id="14" w:name="_Toc244857274"/>
      <w:bookmarkStart w:id="15" w:name="_Toc244912539"/>
      <w:bookmarkStart w:id="16" w:name="_Toc244916996"/>
      <w:r w:rsidRPr="004342F0">
        <w:rPr>
          <w:spacing w:val="0"/>
          <w:w w:val="100"/>
        </w:rPr>
        <w:t>OBJECTIVES</w:t>
      </w:r>
      <w:bookmarkEnd w:id="12"/>
      <w:bookmarkEnd w:id="13"/>
      <w:bookmarkEnd w:id="14"/>
      <w:bookmarkEnd w:id="15"/>
      <w:bookmarkEnd w:id="16"/>
    </w:p>
    <w:p w14:paraId="75C56958" w14:textId="5349E452" w:rsidR="00EA66A2" w:rsidRPr="0097279A" w:rsidRDefault="00EA66A2" w:rsidP="007330A7">
      <w:pPr>
        <w:pStyle w:val="Bullet-list"/>
        <w:spacing w:after="0" w:line="240" w:lineRule="auto"/>
        <w:ind w:left="0" w:firstLine="0"/>
        <w:jc w:val="both"/>
        <w:rPr>
          <w:rFonts w:ascii="Times New Roman" w:hAnsi="Times New Roman"/>
          <w:sz w:val="24"/>
          <w:szCs w:val="24"/>
        </w:rPr>
      </w:pPr>
      <w:r w:rsidRPr="0097279A">
        <w:rPr>
          <w:rFonts w:ascii="Times New Roman" w:hAnsi="Times New Roman"/>
          <w:sz w:val="24"/>
          <w:szCs w:val="24"/>
        </w:rPr>
        <w:t xml:space="preserve">The options outlined in this RIS seek to achieve </w:t>
      </w:r>
      <w:r w:rsidRPr="00622496">
        <w:rPr>
          <w:rFonts w:ascii="Times New Roman" w:hAnsi="Times New Roman"/>
          <w:sz w:val="24"/>
          <w:szCs w:val="24"/>
        </w:rPr>
        <w:t>two main objectives</w:t>
      </w:r>
      <w:r>
        <w:rPr>
          <w:rFonts w:ascii="Times New Roman" w:hAnsi="Times New Roman"/>
          <w:sz w:val="24"/>
          <w:szCs w:val="24"/>
        </w:rPr>
        <w:t>:</w:t>
      </w:r>
    </w:p>
    <w:p w14:paraId="31674D3B" w14:textId="77777777" w:rsidR="00EA66A2" w:rsidRDefault="00EA66A2" w:rsidP="007330A7">
      <w:pPr>
        <w:pStyle w:val="Bullet-list"/>
        <w:spacing w:after="0" w:line="240" w:lineRule="auto"/>
        <w:ind w:left="0" w:firstLine="0"/>
        <w:jc w:val="both"/>
        <w:rPr>
          <w:rFonts w:ascii="Times New Roman" w:hAnsi="Times New Roman"/>
          <w:b/>
          <w:sz w:val="24"/>
          <w:szCs w:val="24"/>
        </w:rPr>
      </w:pPr>
    </w:p>
    <w:p w14:paraId="58E3548A" w14:textId="56F8BB76" w:rsidR="007330A7" w:rsidRPr="007330A7" w:rsidRDefault="00D10709" w:rsidP="007330A7">
      <w:pPr>
        <w:pStyle w:val="Bullet-list"/>
        <w:spacing w:after="0" w:line="240" w:lineRule="auto"/>
        <w:ind w:left="0" w:firstLine="0"/>
        <w:jc w:val="both"/>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r>
      <w:r w:rsidR="007330A7" w:rsidRPr="007330A7">
        <w:rPr>
          <w:rFonts w:ascii="Times New Roman" w:hAnsi="Times New Roman"/>
          <w:b/>
          <w:sz w:val="24"/>
          <w:szCs w:val="24"/>
        </w:rPr>
        <w:t>Address the non-taxation of cross-border services and intangibles</w:t>
      </w:r>
    </w:p>
    <w:p w14:paraId="242F1ABC" w14:textId="77777777" w:rsidR="007330A7" w:rsidRDefault="007330A7" w:rsidP="007330A7">
      <w:pPr>
        <w:pStyle w:val="Bullet-list"/>
        <w:spacing w:after="0" w:line="240" w:lineRule="auto"/>
        <w:ind w:left="0" w:firstLine="0"/>
        <w:jc w:val="both"/>
        <w:rPr>
          <w:rFonts w:ascii="Times New Roman" w:hAnsi="Times New Roman"/>
          <w:sz w:val="24"/>
          <w:szCs w:val="24"/>
        </w:rPr>
      </w:pPr>
    </w:p>
    <w:p w14:paraId="3E2167A7" w14:textId="77777777" w:rsidR="005B3666" w:rsidRPr="005B3666" w:rsidRDefault="005B3666"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5B3666">
        <w:rPr>
          <w:rFonts w:ascii="Times New Roman" w:hAnsi="Times New Roman"/>
          <w:sz w:val="24"/>
          <w:szCs w:val="24"/>
        </w:rPr>
        <w:t>New Zealand’s GST is a “consumption tax”.  Consumption taxes seek to tax consumer spending on goods and services.  The country that has the right to tax this consumer spending is generally the country in which the good or service is consumed.  This is known as the “destination principle”.</w:t>
      </w:r>
    </w:p>
    <w:p w14:paraId="229244D7" w14:textId="77777777" w:rsidR="005B3666" w:rsidRPr="005B3666" w:rsidRDefault="005B3666" w:rsidP="005B3666">
      <w:pPr>
        <w:pStyle w:val="Bullet-list"/>
        <w:spacing w:after="0" w:line="240" w:lineRule="auto"/>
        <w:ind w:left="0" w:firstLine="0"/>
        <w:jc w:val="both"/>
        <w:rPr>
          <w:rFonts w:ascii="Times New Roman" w:hAnsi="Times New Roman"/>
          <w:sz w:val="24"/>
          <w:szCs w:val="24"/>
        </w:rPr>
      </w:pPr>
    </w:p>
    <w:p w14:paraId="6067B768" w14:textId="32291F81" w:rsidR="005B3666" w:rsidRPr="005B3666" w:rsidRDefault="005B3666"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5B3666">
        <w:rPr>
          <w:rFonts w:ascii="Times New Roman" w:hAnsi="Times New Roman"/>
          <w:sz w:val="24"/>
          <w:szCs w:val="24"/>
        </w:rPr>
        <w:t xml:space="preserve">Conversely, goods and services that are exported, and therefore consumed offshore, are generally untaxed </w:t>
      </w:r>
      <w:r w:rsidR="00E2349B">
        <w:rPr>
          <w:rFonts w:ascii="Times New Roman" w:hAnsi="Times New Roman"/>
          <w:sz w:val="24"/>
          <w:szCs w:val="24"/>
        </w:rPr>
        <w:t>– that is</w:t>
      </w:r>
      <w:r w:rsidRPr="005B3666">
        <w:rPr>
          <w:rFonts w:ascii="Times New Roman" w:hAnsi="Times New Roman"/>
          <w:sz w:val="24"/>
          <w:szCs w:val="24"/>
        </w:rPr>
        <w:t>, exports are zero-rated, meaning GST is charged at a rate of zero percent and businesses can claim GST back on their inputs.  Allowing exporters to claim back GST on their inputs ensures that GST is not a cost on business or offshore consumers.</w:t>
      </w:r>
    </w:p>
    <w:p w14:paraId="05F3FFAE" w14:textId="77777777" w:rsidR="005B3666" w:rsidRPr="005B3666" w:rsidRDefault="005B3666" w:rsidP="005B3666">
      <w:pPr>
        <w:pStyle w:val="Bullet-list"/>
        <w:spacing w:after="0" w:line="240" w:lineRule="auto"/>
        <w:ind w:left="0" w:firstLine="0"/>
        <w:jc w:val="both"/>
        <w:rPr>
          <w:rFonts w:ascii="Times New Roman" w:hAnsi="Times New Roman"/>
          <w:sz w:val="24"/>
          <w:szCs w:val="24"/>
        </w:rPr>
      </w:pPr>
    </w:p>
    <w:p w14:paraId="7CA46317" w14:textId="3193D6AC" w:rsidR="007330A7" w:rsidRDefault="005B3666"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5B3666">
        <w:rPr>
          <w:rFonts w:ascii="Times New Roman" w:hAnsi="Times New Roman"/>
          <w:sz w:val="24"/>
          <w:szCs w:val="24"/>
        </w:rPr>
        <w:t xml:space="preserve">If countries apply the destination principle and also recognise that GST is a tax on consumers </w:t>
      </w:r>
      <w:r w:rsidR="00E2349B">
        <w:rPr>
          <w:rFonts w:ascii="Times New Roman" w:hAnsi="Times New Roman"/>
          <w:sz w:val="24"/>
          <w:szCs w:val="24"/>
        </w:rPr>
        <w:t xml:space="preserve">and </w:t>
      </w:r>
      <w:r w:rsidRPr="005B3666">
        <w:rPr>
          <w:rFonts w:ascii="Times New Roman" w:hAnsi="Times New Roman"/>
          <w:sz w:val="24"/>
          <w:szCs w:val="24"/>
        </w:rPr>
        <w:t>not businesses, double taxation and non-taxation in cross-border trade should largely be averted.</w:t>
      </w:r>
      <w:r>
        <w:rPr>
          <w:rFonts w:ascii="Times New Roman" w:hAnsi="Times New Roman"/>
          <w:sz w:val="24"/>
          <w:szCs w:val="24"/>
        </w:rPr>
        <w:t xml:space="preserve"> </w:t>
      </w:r>
      <w:r w:rsidR="00DF2054">
        <w:rPr>
          <w:rFonts w:ascii="Times New Roman" w:hAnsi="Times New Roman"/>
          <w:sz w:val="24"/>
          <w:szCs w:val="24"/>
        </w:rPr>
        <w:t>S</w:t>
      </w:r>
      <w:r>
        <w:rPr>
          <w:rFonts w:ascii="Times New Roman" w:hAnsi="Times New Roman"/>
          <w:sz w:val="24"/>
          <w:szCs w:val="24"/>
        </w:rPr>
        <w:t>ervice</w:t>
      </w:r>
      <w:r w:rsidR="00DF2054">
        <w:rPr>
          <w:rFonts w:ascii="Times New Roman" w:hAnsi="Times New Roman"/>
          <w:sz w:val="24"/>
          <w:szCs w:val="24"/>
        </w:rPr>
        <w:t>s and intangibles that are</w:t>
      </w:r>
      <w:r>
        <w:rPr>
          <w:rFonts w:ascii="Times New Roman" w:hAnsi="Times New Roman"/>
          <w:sz w:val="24"/>
          <w:szCs w:val="24"/>
        </w:rPr>
        <w:t xml:space="preserve"> exported are zero-rated in </w:t>
      </w:r>
      <w:r w:rsidR="00DF2054">
        <w:rPr>
          <w:rFonts w:ascii="Times New Roman" w:hAnsi="Times New Roman"/>
          <w:sz w:val="24"/>
          <w:szCs w:val="24"/>
        </w:rPr>
        <w:t>most jurisdictions so if jurisdictions do not tax incoming services and intangibles this can lead to double non-taxation. This result is inconsistent with New Zealand’s broad-based GST system which seeks to tax virtually all New Zealand based consumption.</w:t>
      </w:r>
    </w:p>
    <w:p w14:paraId="497A61FD" w14:textId="77777777" w:rsidR="007330A7" w:rsidRDefault="007330A7" w:rsidP="007330A7">
      <w:pPr>
        <w:pStyle w:val="Bullet-list"/>
        <w:spacing w:after="0" w:line="240" w:lineRule="auto"/>
        <w:ind w:left="0" w:firstLine="0"/>
        <w:jc w:val="both"/>
        <w:rPr>
          <w:rFonts w:ascii="Times New Roman" w:hAnsi="Times New Roman"/>
          <w:sz w:val="24"/>
          <w:szCs w:val="24"/>
        </w:rPr>
      </w:pPr>
    </w:p>
    <w:p w14:paraId="770E11D4" w14:textId="3F22DDF4" w:rsidR="007330A7" w:rsidRDefault="007330A7"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Therefore, the options discussed in this RIS seek to address the issue of the non-taxation of cross-border services consumed in New Zealand. As discussed above, </w:t>
      </w:r>
      <w:r w:rsidRPr="004244D5">
        <w:rPr>
          <w:rFonts w:ascii="Times New Roman" w:hAnsi="Times New Roman"/>
          <w:sz w:val="24"/>
          <w:szCs w:val="24"/>
        </w:rPr>
        <w:t>around $40 million of GST is forgone on cross-border se</w:t>
      </w:r>
      <w:r>
        <w:rPr>
          <w:rFonts w:ascii="Times New Roman" w:hAnsi="Times New Roman"/>
          <w:sz w:val="24"/>
          <w:szCs w:val="24"/>
        </w:rPr>
        <w:t>rvices and intangibles per year growing at a rate of 10 percent per year.</w:t>
      </w:r>
    </w:p>
    <w:p w14:paraId="71CEF9EF" w14:textId="77777777" w:rsidR="005B3666" w:rsidRDefault="005B3666" w:rsidP="007330A7">
      <w:pPr>
        <w:pStyle w:val="Bullet-list"/>
        <w:spacing w:after="0" w:line="240" w:lineRule="auto"/>
        <w:ind w:left="0" w:firstLine="0"/>
        <w:jc w:val="both"/>
        <w:rPr>
          <w:rFonts w:ascii="Times New Roman" w:hAnsi="Times New Roman"/>
          <w:sz w:val="24"/>
          <w:szCs w:val="24"/>
        </w:rPr>
      </w:pPr>
    </w:p>
    <w:p w14:paraId="2C5732D9" w14:textId="6FDA14A1" w:rsidR="007330A7" w:rsidRPr="007330A7" w:rsidRDefault="00D10709" w:rsidP="007330A7">
      <w:pPr>
        <w:pStyle w:val="Bullet-list"/>
        <w:spacing w:after="0" w:line="240" w:lineRule="auto"/>
        <w:ind w:left="0" w:firstLine="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007330A7" w:rsidRPr="007330A7">
        <w:rPr>
          <w:rFonts w:ascii="Times New Roman" w:hAnsi="Times New Roman"/>
          <w:b/>
          <w:sz w:val="24"/>
          <w:szCs w:val="24"/>
        </w:rPr>
        <w:t>Reduce competitive distortions</w:t>
      </w:r>
    </w:p>
    <w:p w14:paraId="28466D66" w14:textId="77777777" w:rsidR="005B3666" w:rsidRDefault="005B3666" w:rsidP="005B3666">
      <w:pPr>
        <w:pStyle w:val="Bullet-list"/>
        <w:spacing w:after="0" w:line="240" w:lineRule="auto"/>
        <w:ind w:left="0" w:firstLine="0"/>
        <w:jc w:val="both"/>
        <w:rPr>
          <w:rFonts w:ascii="Times New Roman" w:hAnsi="Times New Roman"/>
          <w:sz w:val="24"/>
          <w:szCs w:val="24"/>
        </w:rPr>
      </w:pPr>
    </w:p>
    <w:p w14:paraId="30DFAF3B" w14:textId="27CF5C9E" w:rsidR="005B3666" w:rsidRPr="007330A7" w:rsidRDefault="007330A7"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7330A7">
        <w:rPr>
          <w:rFonts w:ascii="Times New Roman" w:hAnsi="Times New Roman"/>
          <w:bCs/>
          <w:sz w:val="24"/>
          <w:szCs w:val="24"/>
          <w:lang w:val="en-NZ"/>
        </w:rPr>
        <w:t xml:space="preserve">In principle, GST should apply evenly to all consumption that occurs within New Zealand as this helps to ensure GST is fair, efficient and simple.  </w:t>
      </w:r>
      <w:r>
        <w:rPr>
          <w:rFonts w:ascii="Times New Roman" w:hAnsi="Times New Roman"/>
          <w:bCs/>
          <w:sz w:val="24"/>
          <w:szCs w:val="24"/>
          <w:lang w:val="en-NZ"/>
        </w:rPr>
        <w:t>When GST does not apply evenly it has the potential to distort consumer behaviour. Domestic businesses argue that the fact that no GST is charged on services purchased from offshore businesses but</w:t>
      </w:r>
      <w:r w:rsidR="00DF2054">
        <w:rPr>
          <w:rFonts w:ascii="Times New Roman" w:hAnsi="Times New Roman"/>
          <w:bCs/>
          <w:sz w:val="24"/>
          <w:szCs w:val="24"/>
          <w:lang w:val="en-NZ"/>
        </w:rPr>
        <w:t>,</w:t>
      </w:r>
      <w:r>
        <w:rPr>
          <w:rFonts w:ascii="Times New Roman" w:hAnsi="Times New Roman"/>
          <w:bCs/>
          <w:sz w:val="24"/>
          <w:szCs w:val="24"/>
          <w:lang w:val="en-NZ"/>
        </w:rPr>
        <w:t xml:space="preserve"> is charged when services are purchased from domestic businesses, is distorting consumers</w:t>
      </w:r>
      <w:r w:rsidR="00355774">
        <w:rPr>
          <w:rFonts w:ascii="Times New Roman" w:hAnsi="Times New Roman"/>
          <w:bCs/>
          <w:sz w:val="24"/>
          <w:szCs w:val="24"/>
          <w:lang w:val="en-NZ"/>
        </w:rPr>
        <w:t>’</w:t>
      </w:r>
      <w:r>
        <w:rPr>
          <w:rFonts w:ascii="Times New Roman" w:hAnsi="Times New Roman"/>
          <w:bCs/>
          <w:sz w:val="24"/>
          <w:szCs w:val="24"/>
          <w:lang w:val="en-NZ"/>
        </w:rPr>
        <w:t xml:space="preserve"> purchasing decisions in favour of offshore businesses.</w:t>
      </w:r>
    </w:p>
    <w:p w14:paraId="105247B9" w14:textId="77777777" w:rsidR="007330A7" w:rsidRPr="007330A7" w:rsidRDefault="007330A7" w:rsidP="007330A7">
      <w:pPr>
        <w:pStyle w:val="Bullet-list"/>
        <w:spacing w:after="0" w:line="240" w:lineRule="auto"/>
        <w:ind w:left="0" w:firstLine="0"/>
        <w:jc w:val="both"/>
        <w:rPr>
          <w:rFonts w:ascii="Times New Roman" w:hAnsi="Times New Roman"/>
          <w:sz w:val="24"/>
          <w:szCs w:val="24"/>
        </w:rPr>
      </w:pPr>
    </w:p>
    <w:p w14:paraId="3F963D27" w14:textId="46C06833" w:rsidR="007330A7" w:rsidRPr="005B3666" w:rsidRDefault="007330A7" w:rsidP="00BE1312">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bCs/>
          <w:sz w:val="24"/>
          <w:szCs w:val="24"/>
          <w:lang w:val="en-NZ"/>
        </w:rPr>
        <w:t>Therefore, the second objective is to reduce any distortive effects that GST may have on consumers</w:t>
      </w:r>
      <w:r w:rsidR="00DF2054">
        <w:rPr>
          <w:rFonts w:ascii="Times New Roman" w:hAnsi="Times New Roman"/>
          <w:bCs/>
          <w:sz w:val="24"/>
          <w:szCs w:val="24"/>
          <w:lang w:val="en-NZ"/>
        </w:rPr>
        <w:t>’</w:t>
      </w:r>
      <w:r>
        <w:rPr>
          <w:rFonts w:ascii="Times New Roman" w:hAnsi="Times New Roman"/>
          <w:bCs/>
          <w:sz w:val="24"/>
          <w:szCs w:val="24"/>
          <w:lang w:val="en-NZ"/>
        </w:rPr>
        <w:t xml:space="preserve"> purchasing decisions. </w:t>
      </w:r>
      <w:r w:rsidR="005B014E">
        <w:rPr>
          <w:rFonts w:ascii="Times New Roman" w:hAnsi="Times New Roman"/>
          <w:bCs/>
          <w:sz w:val="24"/>
          <w:szCs w:val="24"/>
          <w:lang w:val="en-NZ"/>
        </w:rPr>
        <w:t>However, any option discussed must also ensure that domestic businesses are not advantaged as compared to offshore businesses as a result of any proposal.</w:t>
      </w:r>
    </w:p>
    <w:p w14:paraId="01B4DCCF" w14:textId="77777777" w:rsidR="005B3666" w:rsidRDefault="005B3666" w:rsidP="005B3666">
      <w:pPr>
        <w:pStyle w:val="Bullet-list"/>
        <w:spacing w:after="0" w:line="240" w:lineRule="auto"/>
        <w:ind w:left="0" w:firstLine="0"/>
        <w:rPr>
          <w:rFonts w:ascii="Times New Roman" w:hAnsi="Times New Roman"/>
          <w:sz w:val="24"/>
          <w:szCs w:val="24"/>
        </w:rPr>
      </w:pPr>
    </w:p>
    <w:p w14:paraId="1287AA4C" w14:textId="77777777" w:rsidR="005B014E" w:rsidRPr="005B014E" w:rsidRDefault="005B014E" w:rsidP="005B3666">
      <w:pPr>
        <w:pStyle w:val="Bullet-list"/>
        <w:spacing w:after="0" w:line="240" w:lineRule="auto"/>
        <w:ind w:left="0" w:firstLine="0"/>
        <w:rPr>
          <w:rFonts w:ascii="Times New Roman" w:hAnsi="Times New Roman"/>
          <w:b/>
          <w:sz w:val="24"/>
          <w:szCs w:val="24"/>
        </w:rPr>
      </w:pPr>
      <w:r w:rsidRPr="005B014E">
        <w:rPr>
          <w:rFonts w:ascii="Times New Roman" w:hAnsi="Times New Roman"/>
          <w:b/>
          <w:sz w:val="24"/>
          <w:szCs w:val="24"/>
        </w:rPr>
        <w:t>Objectives against which the options are to be assessed</w:t>
      </w:r>
    </w:p>
    <w:p w14:paraId="799CE8D2" w14:textId="77777777" w:rsidR="005B3666" w:rsidRDefault="005B3666" w:rsidP="005B3666">
      <w:pPr>
        <w:pStyle w:val="Bullet-list"/>
        <w:spacing w:after="0" w:line="240" w:lineRule="auto"/>
        <w:ind w:left="0" w:firstLine="0"/>
        <w:rPr>
          <w:rFonts w:ascii="Times New Roman" w:hAnsi="Times New Roman"/>
          <w:sz w:val="24"/>
          <w:szCs w:val="24"/>
        </w:rPr>
      </w:pPr>
    </w:p>
    <w:p w14:paraId="139CAE83" w14:textId="592768C2" w:rsidR="005B014E" w:rsidRPr="008B0E14" w:rsidRDefault="005B014E" w:rsidP="00BE1312">
      <w:pPr>
        <w:pStyle w:val="Bullet-list"/>
        <w:numPr>
          <w:ilvl w:val="0"/>
          <w:numId w:val="3"/>
        </w:numPr>
        <w:tabs>
          <w:tab w:val="clear" w:pos="720"/>
          <w:tab w:val="num" w:pos="360"/>
          <w:tab w:val="num" w:pos="567"/>
          <w:tab w:val="num" w:pos="644"/>
        </w:tabs>
        <w:spacing w:after="0" w:line="240" w:lineRule="auto"/>
        <w:ind w:left="0" w:firstLine="0"/>
        <w:rPr>
          <w:rFonts w:ascii="Times New Roman" w:hAnsi="Times New Roman"/>
          <w:sz w:val="24"/>
          <w:szCs w:val="24"/>
        </w:rPr>
      </w:pPr>
      <w:r w:rsidRPr="008B0E14">
        <w:rPr>
          <w:rFonts w:ascii="Times New Roman" w:hAnsi="Times New Roman"/>
          <w:sz w:val="24"/>
          <w:szCs w:val="24"/>
        </w:rPr>
        <w:t>The objectives against which the options are to be assessed are:</w:t>
      </w:r>
    </w:p>
    <w:p w14:paraId="7CDF928E" w14:textId="77777777" w:rsidR="005B014E" w:rsidRPr="008B0E14" w:rsidRDefault="005B014E" w:rsidP="005B014E">
      <w:pPr>
        <w:pStyle w:val="Bullet-list"/>
        <w:tabs>
          <w:tab w:val="num" w:pos="644"/>
        </w:tabs>
        <w:spacing w:after="0" w:line="240" w:lineRule="auto"/>
        <w:ind w:left="0" w:firstLine="0"/>
        <w:rPr>
          <w:rFonts w:ascii="Times New Roman" w:hAnsi="Times New Roman"/>
          <w:sz w:val="24"/>
          <w:szCs w:val="24"/>
        </w:rPr>
      </w:pPr>
    </w:p>
    <w:p w14:paraId="28064FEB" w14:textId="77777777" w:rsidR="005B014E" w:rsidRDefault="005B014E" w:rsidP="00BE1312">
      <w:pPr>
        <w:pStyle w:val="Bullet-list"/>
        <w:numPr>
          <w:ilvl w:val="0"/>
          <w:numId w:val="7"/>
        </w:numPr>
        <w:spacing w:after="0" w:line="240" w:lineRule="auto"/>
        <w:jc w:val="both"/>
        <w:rPr>
          <w:rFonts w:ascii="Times New Roman" w:hAnsi="Times New Roman"/>
          <w:sz w:val="24"/>
          <w:szCs w:val="24"/>
        </w:rPr>
      </w:pPr>
      <w:r w:rsidRPr="005B014E">
        <w:rPr>
          <w:rFonts w:ascii="Times New Roman" w:hAnsi="Times New Roman"/>
          <w:b/>
          <w:sz w:val="24"/>
          <w:szCs w:val="24"/>
        </w:rPr>
        <w:t>Certainty and simplicity:</w:t>
      </w:r>
      <w:r w:rsidRPr="005B014E">
        <w:rPr>
          <w:rFonts w:ascii="Times New Roman" w:hAnsi="Times New Roman"/>
          <w:sz w:val="24"/>
          <w:szCs w:val="24"/>
        </w:rPr>
        <w:t xml:space="preserve"> The </w:t>
      </w:r>
      <w:r>
        <w:rPr>
          <w:rFonts w:ascii="Times New Roman" w:hAnsi="Times New Roman"/>
          <w:sz w:val="24"/>
          <w:szCs w:val="24"/>
        </w:rPr>
        <w:t>GST</w:t>
      </w:r>
      <w:r w:rsidRPr="005B014E">
        <w:rPr>
          <w:rFonts w:ascii="Times New Roman" w:hAnsi="Times New Roman"/>
          <w:sz w:val="24"/>
          <w:szCs w:val="24"/>
        </w:rPr>
        <w:t xml:space="preserve"> rules should be clear and simple to understand, so that taxpayers </w:t>
      </w:r>
      <w:r w:rsidR="00BB03E5">
        <w:rPr>
          <w:rFonts w:ascii="Times New Roman" w:hAnsi="Times New Roman"/>
          <w:sz w:val="24"/>
          <w:szCs w:val="24"/>
        </w:rPr>
        <w:t>are aware of the GST treatment of a particular supply and their GST obligations.</w:t>
      </w:r>
    </w:p>
    <w:p w14:paraId="1534A771" w14:textId="77777777" w:rsidR="005B014E" w:rsidRPr="008B0E14" w:rsidRDefault="005B014E" w:rsidP="005B014E">
      <w:pPr>
        <w:pStyle w:val="Bullet-list"/>
        <w:tabs>
          <w:tab w:val="num" w:pos="567"/>
        </w:tabs>
        <w:spacing w:after="0" w:line="240" w:lineRule="auto"/>
        <w:ind w:left="1134" w:hanging="1134"/>
        <w:jc w:val="both"/>
        <w:rPr>
          <w:rFonts w:ascii="Times New Roman" w:hAnsi="Times New Roman"/>
          <w:sz w:val="24"/>
          <w:szCs w:val="24"/>
        </w:rPr>
      </w:pPr>
    </w:p>
    <w:p w14:paraId="20084EF4" w14:textId="77777777" w:rsidR="005B014E" w:rsidRDefault="005B014E" w:rsidP="00BE1312">
      <w:pPr>
        <w:pStyle w:val="Bullet-list"/>
        <w:numPr>
          <w:ilvl w:val="0"/>
          <w:numId w:val="7"/>
        </w:numPr>
        <w:spacing w:after="0" w:line="240" w:lineRule="auto"/>
        <w:jc w:val="both"/>
        <w:rPr>
          <w:rFonts w:ascii="Times New Roman" w:hAnsi="Times New Roman"/>
          <w:sz w:val="24"/>
          <w:szCs w:val="24"/>
        </w:rPr>
      </w:pPr>
      <w:r w:rsidRPr="005B014E">
        <w:rPr>
          <w:rFonts w:ascii="Times New Roman" w:hAnsi="Times New Roman"/>
          <w:b/>
          <w:sz w:val="24"/>
          <w:szCs w:val="24"/>
          <w:lang w:val="en-GB"/>
        </w:rPr>
        <w:t>Efficiency of compliance and administration</w:t>
      </w:r>
      <w:r w:rsidRPr="005B014E">
        <w:rPr>
          <w:rFonts w:ascii="Times New Roman" w:hAnsi="Times New Roman"/>
          <w:sz w:val="24"/>
          <w:szCs w:val="24"/>
          <w:lang w:val="en-GB"/>
        </w:rPr>
        <w:t xml:space="preserve">: Compliance costs for taxpayers and administrative costs for </w:t>
      </w:r>
      <w:r>
        <w:rPr>
          <w:rFonts w:ascii="Times New Roman" w:hAnsi="Times New Roman"/>
          <w:sz w:val="24"/>
          <w:szCs w:val="24"/>
          <w:lang w:val="en-GB"/>
        </w:rPr>
        <w:t>Inland Revenue</w:t>
      </w:r>
      <w:r w:rsidRPr="005B014E">
        <w:rPr>
          <w:rFonts w:ascii="Times New Roman" w:hAnsi="Times New Roman"/>
          <w:sz w:val="24"/>
          <w:szCs w:val="24"/>
          <w:lang w:val="en-GB"/>
        </w:rPr>
        <w:t xml:space="preserve"> should be minimised as far as possible.</w:t>
      </w:r>
    </w:p>
    <w:p w14:paraId="79C9A341" w14:textId="77777777" w:rsidR="005B014E" w:rsidRPr="008B0E14" w:rsidRDefault="005B014E" w:rsidP="005B014E">
      <w:pPr>
        <w:pStyle w:val="Bullet-list"/>
        <w:tabs>
          <w:tab w:val="num" w:pos="567"/>
        </w:tabs>
        <w:spacing w:after="0" w:line="240" w:lineRule="auto"/>
        <w:ind w:left="1134" w:hanging="1134"/>
        <w:jc w:val="both"/>
        <w:rPr>
          <w:rFonts w:ascii="Times New Roman" w:hAnsi="Times New Roman"/>
          <w:sz w:val="24"/>
          <w:szCs w:val="24"/>
        </w:rPr>
      </w:pPr>
    </w:p>
    <w:p w14:paraId="4788F2CB" w14:textId="77777777" w:rsidR="005B014E" w:rsidRDefault="005B014E" w:rsidP="00BE1312">
      <w:pPr>
        <w:pStyle w:val="Bullet-list"/>
        <w:numPr>
          <w:ilvl w:val="0"/>
          <w:numId w:val="7"/>
        </w:numPr>
        <w:spacing w:after="0" w:line="240" w:lineRule="auto"/>
        <w:jc w:val="both"/>
        <w:rPr>
          <w:rFonts w:ascii="Times New Roman" w:hAnsi="Times New Roman"/>
          <w:sz w:val="24"/>
          <w:szCs w:val="24"/>
        </w:rPr>
      </w:pPr>
      <w:r w:rsidRPr="005B014E">
        <w:rPr>
          <w:rFonts w:ascii="Times New Roman" w:hAnsi="Times New Roman"/>
          <w:b/>
          <w:sz w:val="24"/>
          <w:szCs w:val="24"/>
        </w:rPr>
        <w:t>Neutrality:</w:t>
      </w:r>
      <w:r w:rsidRPr="005B014E">
        <w:rPr>
          <w:rFonts w:ascii="Times New Roman" w:hAnsi="Times New Roman"/>
          <w:sz w:val="24"/>
          <w:szCs w:val="24"/>
        </w:rPr>
        <w:t xml:space="preserve"> Taxpayers in similar situations carrying out similar transactions should be subject to similar levels of taxation.</w:t>
      </w:r>
    </w:p>
    <w:p w14:paraId="6BD72B16" w14:textId="77777777" w:rsidR="005B014E" w:rsidRDefault="005B014E" w:rsidP="005B014E">
      <w:pPr>
        <w:pStyle w:val="Bullet-list"/>
        <w:tabs>
          <w:tab w:val="num" w:pos="567"/>
        </w:tabs>
        <w:spacing w:after="0" w:line="240" w:lineRule="auto"/>
        <w:ind w:left="1134" w:hanging="1134"/>
        <w:jc w:val="both"/>
        <w:rPr>
          <w:rFonts w:ascii="Times New Roman" w:hAnsi="Times New Roman"/>
          <w:sz w:val="24"/>
          <w:szCs w:val="24"/>
        </w:rPr>
      </w:pPr>
    </w:p>
    <w:p w14:paraId="389CE6ED" w14:textId="22DC092D" w:rsidR="005B014E" w:rsidRDefault="005B014E" w:rsidP="00BE1312">
      <w:pPr>
        <w:pStyle w:val="Bullet-list"/>
        <w:numPr>
          <w:ilvl w:val="0"/>
          <w:numId w:val="7"/>
        </w:numPr>
        <w:spacing w:after="0" w:line="240" w:lineRule="auto"/>
        <w:jc w:val="both"/>
        <w:rPr>
          <w:rFonts w:ascii="Times New Roman" w:hAnsi="Times New Roman"/>
          <w:sz w:val="24"/>
          <w:szCs w:val="24"/>
          <w:lang w:val="en-GB"/>
        </w:rPr>
      </w:pPr>
      <w:r w:rsidRPr="005B014E">
        <w:rPr>
          <w:rFonts w:ascii="Times New Roman" w:hAnsi="Times New Roman"/>
          <w:b/>
          <w:sz w:val="24"/>
          <w:szCs w:val="24"/>
          <w:lang w:val="en-GB"/>
        </w:rPr>
        <w:t>Effectiveness</w:t>
      </w:r>
      <w:r w:rsidR="00BB03E5">
        <w:rPr>
          <w:rFonts w:ascii="Times New Roman" w:hAnsi="Times New Roman"/>
          <w:b/>
          <w:sz w:val="24"/>
          <w:szCs w:val="24"/>
          <w:lang w:val="en-GB"/>
        </w:rPr>
        <w:t xml:space="preserve"> and f</w:t>
      </w:r>
      <w:r w:rsidR="00BB03E5" w:rsidRPr="005B014E">
        <w:rPr>
          <w:rFonts w:ascii="Times New Roman" w:hAnsi="Times New Roman"/>
          <w:b/>
          <w:sz w:val="24"/>
          <w:szCs w:val="24"/>
          <w:lang w:val="en-GB"/>
        </w:rPr>
        <w:t>airness</w:t>
      </w:r>
      <w:r w:rsidRPr="005B014E">
        <w:rPr>
          <w:rFonts w:ascii="Times New Roman" w:hAnsi="Times New Roman"/>
          <w:sz w:val="24"/>
          <w:szCs w:val="24"/>
          <w:lang w:val="en-GB"/>
        </w:rPr>
        <w:t xml:space="preserve">: </w:t>
      </w:r>
      <w:r w:rsidR="00DF2054">
        <w:rPr>
          <w:rFonts w:ascii="Times New Roman" w:hAnsi="Times New Roman"/>
          <w:sz w:val="24"/>
          <w:szCs w:val="24"/>
          <w:lang w:val="en-GB"/>
        </w:rPr>
        <w:t>T</w:t>
      </w:r>
      <w:r w:rsidR="00BB03E5">
        <w:rPr>
          <w:rFonts w:ascii="Times New Roman" w:hAnsi="Times New Roman"/>
          <w:sz w:val="24"/>
          <w:szCs w:val="24"/>
          <w:lang w:val="en-GB"/>
        </w:rPr>
        <w:t xml:space="preserve">he option </w:t>
      </w:r>
      <w:r w:rsidR="00DF2054">
        <w:rPr>
          <w:rFonts w:ascii="Times New Roman" w:hAnsi="Times New Roman"/>
          <w:sz w:val="24"/>
          <w:szCs w:val="24"/>
          <w:lang w:val="en-GB"/>
        </w:rPr>
        <w:t xml:space="preserve">must have </w:t>
      </w:r>
      <w:r w:rsidR="00BB03E5">
        <w:rPr>
          <w:rFonts w:ascii="Times New Roman" w:hAnsi="Times New Roman"/>
          <w:sz w:val="24"/>
          <w:szCs w:val="24"/>
          <w:lang w:val="en-GB"/>
        </w:rPr>
        <w:t>the ability to meet the objective</w:t>
      </w:r>
      <w:r w:rsidR="00DF2054">
        <w:rPr>
          <w:rFonts w:ascii="Times New Roman" w:hAnsi="Times New Roman"/>
          <w:sz w:val="24"/>
          <w:szCs w:val="24"/>
          <w:lang w:val="en-GB"/>
        </w:rPr>
        <w:t>s of</w:t>
      </w:r>
      <w:r w:rsidR="00BB03E5">
        <w:rPr>
          <w:rFonts w:ascii="Times New Roman" w:hAnsi="Times New Roman"/>
          <w:sz w:val="24"/>
          <w:szCs w:val="24"/>
          <w:lang w:val="en-GB"/>
        </w:rPr>
        <w:t xml:space="preserve"> collects the forgone revenue and reduc</w:t>
      </w:r>
      <w:r w:rsidR="00DF2054">
        <w:rPr>
          <w:rFonts w:ascii="Times New Roman" w:hAnsi="Times New Roman"/>
          <w:sz w:val="24"/>
          <w:szCs w:val="24"/>
          <w:lang w:val="en-GB"/>
        </w:rPr>
        <w:t>ing</w:t>
      </w:r>
      <w:r w:rsidR="00BB03E5">
        <w:rPr>
          <w:rFonts w:ascii="Times New Roman" w:hAnsi="Times New Roman"/>
          <w:sz w:val="24"/>
          <w:szCs w:val="24"/>
          <w:lang w:val="en-GB"/>
        </w:rPr>
        <w:t xml:space="preserve"> the distortions the current treatment brings about.</w:t>
      </w:r>
    </w:p>
    <w:p w14:paraId="7653D65B" w14:textId="77777777" w:rsidR="005B014E" w:rsidRDefault="005B014E" w:rsidP="005B3666">
      <w:pPr>
        <w:pStyle w:val="Bullet-list"/>
        <w:spacing w:after="0" w:line="240" w:lineRule="auto"/>
        <w:ind w:left="0" w:firstLine="0"/>
        <w:rPr>
          <w:rFonts w:ascii="Times New Roman" w:hAnsi="Times New Roman"/>
          <w:sz w:val="24"/>
          <w:szCs w:val="24"/>
        </w:rPr>
      </w:pPr>
    </w:p>
    <w:p w14:paraId="09534D1C" w14:textId="77777777" w:rsidR="00320A3C" w:rsidRPr="004342F0" w:rsidRDefault="00D943DD" w:rsidP="004342F0">
      <w:pPr>
        <w:pStyle w:val="RISheading"/>
        <w:rPr>
          <w:spacing w:val="0"/>
          <w:w w:val="100"/>
        </w:rPr>
      </w:pPr>
      <w:bookmarkStart w:id="17" w:name="_Toc244580365"/>
      <w:bookmarkStart w:id="18" w:name="_Toc244587041"/>
      <w:bookmarkStart w:id="19" w:name="_Toc244857275"/>
      <w:bookmarkStart w:id="20" w:name="_Toc244912540"/>
      <w:bookmarkStart w:id="21" w:name="_Toc244916997"/>
      <w:r w:rsidRPr="004342F0">
        <w:rPr>
          <w:spacing w:val="0"/>
          <w:w w:val="100"/>
        </w:rPr>
        <w:t>REGULATORY IMPACT ANALYSIS</w:t>
      </w:r>
      <w:bookmarkEnd w:id="17"/>
      <w:bookmarkEnd w:id="18"/>
      <w:bookmarkEnd w:id="19"/>
      <w:bookmarkEnd w:id="20"/>
      <w:bookmarkEnd w:id="21"/>
      <w:r w:rsidRPr="004342F0">
        <w:rPr>
          <w:spacing w:val="0"/>
          <w:w w:val="100"/>
        </w:rPr>
        <w:t xml:space="preserve"> </w:t>
      </w:r>
    </w:p>
    <w:p w14:paraId="5BC1DBF3" w14:textId="77777777" w:rsidR="00BB03E5" w:rsidRPr="008B0E14" w:rsidRDefault="00BB03E5" w:rsidP="003A0DE0">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Three</w:t>
      </w:r>
      <w:r w:rsidRPr="008B0E14">
        <w:rPr>
          <w:rFonts w:ascii="Times New Roman" w:hAnsi="Times New Roman"/>
          <w:sz w:val="24"/>
          <w:szCs w:val="24"/>
        </w:rPr>
        <w:t xml:space="preserve"> policy options and the status quo were considered for addressing the policy problem and meeting the objectives. These were:</w:t>
      </w:r>
    </w:p>
    <w:p w14:paraId="371FDCA2" w14:textId="77777777" w:rsidR="00BB03E5" w:rsidRDefault="00BB03E5" w:rsidP="003A0DE0">
      <w:pPr>
        <w:pStyle w:val="Bullet-list"/>
        <w:spacing w:after="0" w:line="240" w:lineRule="auto"/>
        <w:ind w:left="0" w:firstLine="0"/>
        <w:jc w:val="both"/>
        <w:rPr>
          <w:rFonts w:ascii="Times New Roman" w:hAnsi="Times New Roman"/>
          <w:sz w:val="24"/>
          <w:szCs w:val="24"/>
        </w:rPr>
      </w:pPr>
    </w:p>
    <w:p w14:paraId="5C600725" w14:textId="77777777" w:rsidR="00BB03E5" w:rsidRDefault="00BB03E5" w:rsidP="003A0DE0">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tab/>
      </w:r>
      <w:r w:rsidRPr="00BB03E5">
        <w:rPr>
          <w:rFonts w:ascii="Times New Roman" w:hAnsi="Times New Roman"/>
          <w:b/>
          <w:sz w:val="24"/>
          <w:szCs w:val="24"/>
        </w:rPr>
        <w:t xml:space="preserve">Option </w:t>
      </w:r>
      <w:r w:rsidR="0082791A">
        <w:rPr>
          <w:rFonts w:ascii="Times New Roman" w:hAnsi="Times New Roman"/>
          <w:b/>
          <w:sz w:val="24"/>
          <w:szCs w:val="24"/>
        </w:rPr>
        <w:t>1</w:t>
      </w:r>
      <w:r w:rsidRPr="00BB03E5">
        <w:rPr>
          <w:rFonts w:ascii="Times New Roman" w:hAnsi="Times New Roman"/>
          <w:b/>
          <w:sz w:val="24"/>
          <w:szCs w:val="24"/>
        </w:rPr>
        <w:t>:</w:t>
      </w:r>
      <w:r>
        <w:rPr>
          <w:rFonts w:ascii="Times New Roman" w:hAnsi="Times New Roman"/>
          <w:sz w:val="24"/>
          <w:szCs w:val="24"/>
        </w:rPr>
        <w:t xml:space="preserve"> Require non-resident suppliers to register and return GST on services and intangibles supplied to New Zealand resident customers.</w:t>
      </w:r>
    </w:p>
    <w:p w14:paraId="6AFEFD8A" w14:textId="77777777" w:rsidR="00BB03E5" w:rsidRDefault="00BB03E5" w:rsidP="003A0DE0">
      <w:pPr>
        <w:pStyle w:val="Bullet-list"/>
        <w:spacing w:after="0" w:line="240" w:lineRule="auto"/>
        <w:ind w:left="567" w:hanging="567"/>
        <w:jc w:val="both"/>
        <w:rPr>
          <w:rFonts w:ascii="Times New Roman" w:hAnsi="Times New Roman"/>
          <w:sz w:val="24"/>
          <w:szCs w:val="24"/>
        </w:rPr>
      </w:pPr>
    </w:p>
    <w:p w14:paraId="535194F0" w14:textId="77777777" w:rsidR="00BB03E5" w:rsidRDefault="00BB03E5" w:rsidP="003A0DE0">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tab/>
      </w:r>
      <w:r w:rsidRPr="00BB03E5">
        <w:rPr>
          <w:rFonts w:ascii="Times New Roman" w:hAnsi="Times New Roman"/>
          <w:b/>
          <w:sz w:val="24"/>
          <w:szCs w:val="24"/>
        </w:rPr>
        <w:t xml:space="preserve">Option </w:t>
      </w:r>
      <w:r w:rsidR="0082791A">
        <w:rPr>
          <w:rFonts w:ascii="Times New Roman" w:hAnsi="Times New Roman"/>
          <w:b/>
          <w:sz w:val="24"/>
          <w:szCs w:val="24"/>
        </w:rPr>
        <w:t>2</w:t>
      </w:r>
      <w:r w:rsidRPr="00BB03E5">
        <w:rPr>
          <w:rFonts w:ascii="Times New Roman" w:hAnsi="Times New Roman"/>
          <w:b/>
          <w:sz w:val="24"/>
          <w:szCs w:val="24"/>
        </w:rPr>
        <w:t>:</w:t>
      </w:r>
      <w:r>
        <w:rPr>
          <w:rFonts w:ascii="Times New Roman" w:hAnsi="Times New Roman"/>
          <w:sz w:val="24"/>
          <w:szCs w:val="24"/>
        </w:rPr>
        <w:t xml:space="preserve"> Require the New Zealand resident customer to return the GST on services and intangibles supplied by non-residents (known as a reverse charge</w:t>
      </w:r>
      <w:r w:rsidR="00FB0EC0">
        <w:rPr>
          <w:rFonts w:ascii="Times New Roman" w:hAnsi="Times New Roman"/>
          <w:sz w:val="24"/>
          <w:szCs w:val="24"/>
        </w:rPr>
        <w:t xml:space="preserve"> mechanism</w:t>
      </w:r>
      <w:r>
        <w:rPr>
          <w:rFonts w:ascii="Times New Roman" w:hAnsi="Times New Roman"/>
          <w:sz w:val="24"/>
          <w:szCs w:val="24"/>
        </w:rPr>
        <w:t>).</w:t>
      </w:r>
    </w:p>
    <w:p w14:paraId="7BCB9420" w14:textId="77777777" w:rsidR="00BB03E5" w:rsidRDefault="00BB03E5" w:rsidP="003A0DE0">
      <w:pPr>
        <w:pStyle w:val="Bullet-list"/>
        <w:spacing w:after="0" w:line="240" w:lineRule="auto"/>
        <w:ind w:left="567" w:hanging="567"/>
        <w:jc w:val="both"/>
        <w:rPr>
          <w:rFonts w:ascii="Times New Roman" w:hAnsi="Times New Roman"/>
          <w:sz w:val="24"/>
          <w:szCs w:val="24"/>
        </w:rPr>
      </w:pPr>
    </w:p>
    <w:p w14:paraId="4BFE80C4" w14:textId="77777777" w:rsidR="00BB03E5" w:rsidRDefault="00BB03E5" w:rsidP="003A0DE0">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tab/>
      </w:r>
      <w:r w:rsidRPr="00BB03E5">
        <w:rPr>
          <w:rFonts w:ascii="Times New Roman" w:hAnsi="Times New Roman"/>
          <w:b/>
          <w:sz w:val="24"/>
          <w:szCs w:val="24"/>
        </w:rPr>
        <w:t xml:space="preserve">Option </w:t>
      </w:r>
      <w:r w:rsidR="0082791A">
        <w:rPr>
          <w:rFonts w:ascii="Times New Roman" w:hAnsi="Times New Roman"/>
          <w:b/>
          <w:sz w:val="24"/>
          <w:szCs w:val="24"/>
        </w:rPr>
        <w:t>3</w:t>
      </w:r>
      <w:r w:rsidRPr="00BB03E5">
        <w:rPr>
          <w:rFonts w:ascii="Times New Roman" w:hAnsi="Times New Roman"/>
          <w:b/>
          <w:sz w:val="24"/>
          <w:szCs w:val="24"/>
        </w:rPr>
        <w:t xml:space="preserve">: </w:t>
      </w:r>
      <w:r>
        <w:rPr>
          <w:rFonts w:ascii="Times New Roman" w:hAnsi="Times New Roman"/>
          <w:sz w:val="24"/>
          <w:szCs w:val="24"/>
        </w:rPr>
        <w:t>Require financial institutions to return the GST on credit/</w:t>
      </w:r>
      <w:r w:rsidR="000910A8">
        <w:rPr>
          <w:rFonts w:ascii="Times New Roman" w:hAnsi="Times New Roman"/>
          <w:sz w:val="24"/>
          <w:szCs w:val="24"/>
        </w:rPr>
        <w:t>debit</w:t>
      </w:r>
      <w:r>
        <w:rPr>
          <w:rFonts w:ascii="Times New Roman" w:hAnsi="Times New Roman"/>
          <w:sz w:val="24"/>
          <w:szCs w:val="24"/>
        </w:rPr>
        <w:t xml:space="preserve"> card transactions involving services and intangibles purchased from non-resident suppliers.</w:t>
      </w:r>
    </w:p>
    <w:p w14:paraId="7D9EC3D4" w14:textId="77777777" w:rsidR="00BB03E5" w:rsidRDefault="00BB03E5" w:rsidP="003A0DE0">
      <w:pPr>
        <w:pStyle w:val="Bullet-list"/>
        <w:spacing w:after="0" w:line="240" w:lineRule="auto"/>
        <w:ind w:left="567" w:hanging="567"/>
        <w:jc w:val="both"/>
        <w:rPr>
          <w:rFonts w:ascii="Times New Roman" w:hAnsi="Times New Roman"/>
          <w:sz w:val="24"/>
          <w:szCs w:val="24"/>
        </w:rPr>
      </w:pPr>
    </w:p>
    <w:p w14:paraId="4ECB9A0B" w14:textId="01C83244" w:rsidR="00BB03E5" w:rsidRDefault="00BB03E5" w:rsidP="003A0DE0">
      <w:pPr>
        <w:pStyle w:val="Bullet-list"/>
        <w:spacing w:after="0" w:line="240" w:lineRule="auto"/>
        <w:ind w:left="567" w:hanging="567"/>
        <w:jc w:val="both"/>
        <w:rPr>
          <w:rFonts w:ascii="Times New Roman" w:hAnsi="Times New Roman"/>
          <w:sz w:val="24"/>
          <w:szCs w:val="24"/>
        </w:rPr>
      </w:pPr>
      <w:r>
        <w:rPr>
          <w:rFonts w:ascii="Times New Roman" w:hAnsi="Times New Roman"/>
          <w:sz w:val="24"/>
          <w:szCs w:val="24"/>
        </w:rPr>
        <w:tab/>
      </w:r>
      <w:r w:rsidRPr="007B04A7">
        <w:rPr>
          <w:rFonts w:ascii="Times New Roman" w:hAnsi="Times New Roman"/>
          <w:b/>
          <w:sz w:val="24"/>
          <w:szCs w:val="24"/>
        </w:rPr>
        <w:t xml:space="preserve">Option </w:t>
      </w:r>
      <w:r w:rsidR="0082791A">
        <w:rPr>
          <w:rFonts w:ascii="Times New Roman" w:hAnsi="Times New Roman"/>
          <w:b/>
          <w:sz w:val="24"/>
          <w:szCs w:val="24"/>
        </w:rPr>
        <w:t>4</w:t>
      </w:r>
      <w:r w:rsidRPr="007B04A7">
        <w:rPr>
          <w:rFonts w:ascii="Times New Roman" w:hAnsi="Times New Roman"/>
          <w:b/>
          <w:sz w:val="24"/>
          <w:szCs w:val="24"/>
        </w:rPr>
        <w:t>:</w:t>
      </w:r>
      <w:r>
        <w:rPr>
          <w:rFonts w:ascii="Times New Roman" w:hAnsi="Times New Roman"/>
          <w:sz w:val="24"/>
          <w:szCs w:val="24"/>
        </w:rPr>
        <w:t xml:space="preserve"> </w:t>
      </w:r>
      <w:r w:rsidR="007B04A7">
        <w:rPr>
          <w:rFonts w:ascii="Times New Roman" w:hAnsi="Times New Roman"/>
          <w:sz w:val="24"/>
          <w:szCs w:val="24"/>
        </w:rPr>
        <w:t>Retain the current GST treatment where no GST is collected on services and intangibles supplied by non-residents</w:t>
      </w:r>
      <w:r w:rsidR="00B27AE0">
        <w:rPr>
          <w:rFonts w:ascii="Times New Roman" w:hAnsi="Times New Roman"/>
          <w:sz w:val="24"/>
          <w:szCs w:val="24"/>
        </w:rPr>
        <w:t>.</w:t>
      </w:r>
      <w:r w:rsidR="00853DD4">
        <w:rPr>
          <w:rFonts w:ascii="Times New Roman" w:hAnsi="Times New Roman"/>
          <w:sz w:val="24"/>
          <w:szCs w:val="24"/>
        </w:rPr>
        <w:t xml:space="preserve"> </w:t>
      </w:r>
      <w:r w:rsidR="00B27AE0">
        <w:rPr>
          <w:rFonts w:ascii="Times New Roman" w:hAnsi="Times New Roman"/>
          <w:sz w:val="24"/>
          <w:szCs w:val="24"/>
        </w:rPr>
        <w:t>T</w:t>
      </w:r>
      <w:r w:rsidR="00853DD4">
        <w:rPr>
          <w:rFonts w:ascii="Times New Roman" w:hAnsi="Times New Roman"/>
          <w:sz w:val="24"/>
          <w:szCs w:val="24"/>
        </w:rPr>
        <w:t xml:space="preserve">his </w:t>
      </w:r>
      <w:r w:rsidR="00A56614">
        <w:rPr>
          <w:rFonts w:ascii="Times New Roman" w:hAnsi="Times New Roman"/>
          <w:sz w:val="24"/>
          <w:szCs w:val="24"/>
        </w:rPr>
        <w:t xml:space="preserve">is the status quo </w:t>
      </w:r>
      <w:r w:rsidR="004F71FB">
        <w:rPr>
          <w:rFonts w:ascii="Times New Roman" w:hAnsi="Times New Roman"/>
          <w:sz w:val="24"/>
          <w:szCs w:val="24"/>
        </w:rPr>
        <w:t>option</w:t>
      </w:r>
      <w:r w:rsidR="00853DD4">
        <w:rPr>
          <w:rFonts w:ascii="Times New Roman" w:hAnsi="Times New Roman"/>
          <w:sz w:val="24"/>
          <w:szCs w:val="24"/>
        </w:rPr>
        <w:t xml:space="preserve"> to which the other option</w:t>
      </w:r>
      <w:r w:rsidR="004F71FB">
        <w:rPr>
          <w:rFonts w:ascii="Times New Roman" w:hAnsi="Times New Roman"/>
          <w:sz w:val="24"/>
          <w:szCs w:val="24"/>
        </w:rPr>
        <w:t>s</w:t>
      </w:r>
      <w:r w:rsidR="00853DD4">
        <w:rPr>
          <w:rFonts w:ascii="Times New Roman" w:hAnsi="Times New Roman"/>
          <w:sz w:val="24"/>
          <w:szCs w:val="24"/>
        </w:rPr>
        <w:t xml:space="preserve"> are being </w:t>
      </w:r>
      <w:r w:rsidR="004F71FB">
        <w:rPr>
          <w:rFonts w:ascii="Times New Roman" w:hAnsi="Times New Roman"/>
          <w:sz w:val="24"/>
          <w:szCs w:val="24"/>
        </w:rPr>
        <w:t>assessed</w:t>
      </w:r>
      <w:r w:rsidR="00853DD4">
        <w:rPr>
          <w:rFonts w:ascii="Times New Roman" w:hAnsi="Times New Roman"/>
          <w:sz w:val="24"/>
          <w:szCs w:val="24"/>
        </w:rPr>
        <w:t xml:space="preserve"> against</w:t>
      </w:r>
      <w:r w:rsidR="007B04A7">
        <w:rPr>
          <w:rFonts w:ascii="Times New Roman" w:hAnsi="Times New Roman"/>
          <w:sz w:val="24"/>
          <w:szCs w:val="24"/>
        </w:rPr>
        <w:t>.</w:t>
      </w:r>
    </w:p>
    <w:p w14:paraId="73E185EA" w14:textId="77777777" w:rsidR="00ED1C8D" w:rsidRDefault="00ED1C8D" w:rsidP="0082791A">
      <w:pPr>
        <w:pStyle w:val="Bullet-list"/>
        <w:spacing w:after="0" w:line="240" w:lineRule="auto"/>
        <w:ind w:left="0" w:firstLine="0"/>
        <w:jc w:val="both"/>
        <w:rPr>
          <w:rFonts w:ascii="Times New Roman" w:hAnsi="Times New Roman"/>
          <w:b/>
          <w:sz w:val="24"/>
          <w:szCs w:val="24"/>
        </w:rPr>
      </w:pPr>
    </w:p>
    <w:p w14:paraId="2B121980" w14:textId="77777777" w:rsidR="004F71FB" w:rsidRDefault="007C72DE"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0F15EF">
        <w:rPr>
          <w:rFonts w:ascii="Times New Roman" w:hAnsi="Times New Roman"/>
          <w:sz w:val="24"/>
          <w:szCs w:val="24"/>
        </w:rPr>
        <w:t xml:space="preserve">All of the options </w:t>
      </w:r>
      <w:r w:rsidR="00C7644E">
        <w:rPr>
          <w:rFonts w:ascii="Times New Roman" w:hAnsi="Times New Roman"/>
          <w:sz w:val="24"/>
          <w:szCs w:val="24"/>
        </w:rPr>
        <w:t xml:space="preserve">(apart from option 4) </w:t>
      </w:r>
      <w:r>
        <w:rPr>
          <w:rFonts w:ascii="Times New Roman" w:hAnsi="Times New Roman"/>
          <w:sz w:val="24"/>
          <w:szCs w:val="24"/>
        </w:rPr>
        <w:t>impact New Zealand resident consumers as they will likely bear the cost of the application of GST on purchases of services and intangibles received from offshore suppliers. The extent to which the resident consumer will bear the cost will depend on the effectiveness and rate of compliance of each option.</w:t>
      </w:r>
    </w:p>
    <w:p w14:paraId="087B281B" w14:textId="77777777" w:rsidR="004F71FB" w:rsidRDefault="004F71FB" w:rsidP="009C42BC">
      <w:pPr>
        <w:pStyle w:val="Bullet-list"/>
        <w:spacing w:after="0" w:line="240" w:lineRule="auto"/>
        <w:ind w:left="0" w:firstLine="0"/>
        <w:jc w:val="both"/>
        <w:rPr>
          <w:rFonts w:ascii="Times New Roman" w:hAnsi="Times New Roman"/>
          <w:sz w:val="24"/>
          <w:szCs w:val="24"/>
        </w:rPr>
      </w:pPr>
    </w:p>
    <w:p w14:paraId="441696D4" w14:textId="27E3EA38" w:rsidR="007C72DE" w:rsidRPr="000F15EF" w:rsidRDefault="004F71FB"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With regard to option 1, the extent to which </w:t>
      </w:r>
      <w:r w:rsidR="00355774">
        <w:rPr>
          <w:rFonts w:ascii="Times New Roman" w:hAnsi="Times New Roman"/>
          <w:sz w:val="24"/>
          <w:szCs w:val="24"/>
        </w:rPr>
        <w:t xml:space="preserve">New Zealand </w:t>
      </w:r>
      <w:r>
        <w:rPr>
          <w:rFonts w:ascii="Times New Roman" w:hAnsi="Times New Roman"/>
          <w:sz w:val="24"/>
          <w:szCs w:val="24"/>
        </w:rPr>
        <w:t>resident consumer</w:t>
      </w:r>
      <w:r w:rsidR="00355774">
        <w:rPr>
          <w:rFonts w:ascii="Times New Roman" w:hAnsi="Times New Roman"/>
          <w:sz w:val="24"/>
          <w:szCs w:val="24"/>
        </w:rPr>
        <w:t>s</w:t>
      </w:r>
      <w:r>
        <w:rPr>
          <w:rFonts w:ascii="Times New Roman" w:hAnsi="Times New Roman"/>
          <w:sz w:val="24"/>
          <w:szCs w:val="24"/>
        </w:rPr>
        <w:t xml:space="preserve"> will bear the GST will also depend on whether the offshore supplier passes the cost on to the consumer. This may be industry or firm specific and depend on factors such as business practices and the elasticity of demand for products. </w:t>
      </w:r>
    </w:p>
    <w:p w14:paraId="31A50F38" w14:textId="77777777" w:rsidR="007C72DE" w:rsidRDefault="007C72DE" w:rsidP="0082791A">
      <w:pPr>
        <w:pStyle w:val="Bullet-list"/>
        <w:spacing w:after="0" w:line="240" w:lineRule="auto"/>
        <w:ind w:left="0" w:firstLine="0"/>
        <w:jc w:val="both"/>
        <w:rPr>
          <w:rFonts w:ascii="Times New Roman" w:hAnsi="Times New Roman"/>
          <w:b/>
          <w:sz w:val="24"/>
          <w:szCs w:val="24"/>
        </w:rPr>
      </w:pPr>
    </w:p>
    <w:p w14:paraId="2DDB4DC2" w14:textId="77777777" w:rsidR="00AA0207" w:rsidRPr="00AA0207" w:rsidRDefault="0082791A" w:rsidP="003A0DE0">
      <w:pPr>
        <w:pStyle w:val="Bullet-list"/>
        <w:spacing w:after="0" w:line="240" w:lineRule="auto"/>
        <w:ind w:left="567" w:hanging="567"/>
        <w:jc w:val="both"/>
        <w:rPr>
          <w:rFonts w:ascii="Times New Roman" w:hAnsi="Times New Roman"/>
          <w:b/>
          <w:sz w:val="24"/>
          <w:szCs w:val="24"/>
        </w:rPr>
      </w:pPr>
      <w:r>
        <w:rPr>
          <w:rFonts w:ascii="Times New Roman" w:hAnsi="Times New Roman"/>
          <w:b/>
          <w:sz w:val="24"/>
          <w:szCs w:val="24"/>
        </w:rPr>
        <w:t>Option 1</w:t>
      </w:r>
      <w:r w:rsidR="00AA0207" w:rsidRPr="00AA0207">
        <w:rPr>
          <w:rFonts w:ascii="Times New Roman" w:hAnsi="Times New Roman"/>
          <w:b/>
          <w:sz w:val="24"/>
          <w:szCs w:val="24"/>
        </w:rPr>
        <w:t>: Offshore supplier registration</w:t>
      </w:r>
      <w:r>
        <w:rPr>
          <w:rFonts w:ascii="Times New Roman" w:hAnsi="Times New Roman"/>
          <w:b/>
          <w:sz w:val="24"/>
          <w:szCs w:val="24"/>
        </w:rPr>
        <w:t xml:space="preserve"> (officials’ preferred option)</w:t>
      </w:r>
    </w:p>
    <w:p w14:paraId="5142C6BE" w14:textId="77777777" w:rsidR="00AA0207" w:rsidRDefault="00AA0207" w:rsidP="003A0DE0">
      <w:pPr>
        <w:pStyle w:val="Bullet-list"/>
        <w:spacing w:after="0" w:line="240" w:lineRule="auto"/>
        <w:ind w:left="567" w:hanging="567"/>
        <w:jc w:val="both"/>
        <w:rPr>
          <w:rFonts w:ascii="Times New Roman" w:hAnsi="Times New Roman"/>
          <w:sz w:val="24"/>
          <w:szCs w:val="24"/>
        </w:rPr>
      </w:pPr>
    </w:p>
    <w:p w14:paraId="5B456EB9" w14:textId="55608982" w:rsidR="007C72DE" w:rsidRPr="007C72DE" w:rsidRDefault="00003BE4" w:rsidP="007C72DE">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w:t>
      </w:r>
      <w:r w:rsidR="00E57623">
        <w:rPr>
          <w:rFonts w:ascii="Times New Roman" w:hAnsi="Times New Roman"/>
          <w:sz w:val="24"/>
          <w:szCs w:val="24"/>
        </w:rPr>
        <w:t>ption</w:t>
      </w:r>
      <w:r>
        <w:rPr>
          <w:rFonts w:ascii="Times New Roman" w:hAnsi="Times New Roman"/>
          <w:sz w:val="24"/>
          <w:szCs w:val="24"/>
        </w:rPr>
        <w:t xml:space="preserve"> one</w:t>
      </w:r>
      <w:r w:rsidR="00E57623">
        <w:rPr>
          <w:rFonts w:ascii="Times New Roman" w:hAnsi="Times New Roman"/>
          <w:sz w:val="24"/>
          <w:szCs w:val="24"/>
        </w:rPr>
        <w:t xml:space="preserve"> involves </w:t>
      </w:r>
      <w:r>
        <w:rPr>
          <w:rFonts w:ascii="Times New Roman" w:hAnsi="Times New Roman"/>
          <w:sz w:val="24"/>
          <w:szCs w:val="24"/>
        </w:rPr>
        <w:t xml:space="preserve">offshore suppliers </w:t>
      </w:r>
      <w:r w:rsidR="009367AC">
        <w:rPr>
          <w:rFonts w:ascii="Times New Roman" w:hAnsi="Times New Roman"/>
          <w:sz w:val="24"/>
          <w:szCs w:val="24"/>
        </w:rPr>
        <w:t xml:space="preserve">or offshore electronic market places </w:t>
      </w:r>
      <w:r>
        <w:rPr>
          <w:rFonts w:ascii="Times New Roman" w:hAnsi="Times New Roman"/>
          <w:sz w:val="24"/>
          <w:szCs w:val="24"/>
        </w:rPr>
        <w:t>registering and returning GST on</w:t>
      </w:r>
      <w:r w:rsidRPr="00003BE4">
        <w:rPr>
          <w:rFonts w:ascii="Times New Roman" w:hAnsi="Times New Roman"/>
          <w:sz w:val="24"/>
          <w:szCs w:val="24"/>
        </w:rPr>
        <w:t xml:space="preserve"> </w:t>
      </w:r>
      <w:r>
        <w:rPr>
          <w:rFonts w:ascii="Times New Roman" w:hAnsi="Times New Roman"/>
          <w:sz w:val="24"/>
          <w:szCs w:val="24"/>
        </w:rPr>
        <w:t>services and intangibles consumed in New Zealand.</w:t>
      </w:r>
      <w:r w:rsidR="007C72DE" w:rsidRPr="007C72DE">
        <w:rPr>
          <w:rFonts w:ascii="Times New Roman" w:hAnsi="Times New Roman"/>
          <w:sz w:val="24"/>
          <w:szCs w:val="24"/>
        </w:rPr>
        <w:t xml:space="preserve"> </w:t>
      </w:r>
      <w:r w:rsidR="007C72DE">
        <w:rPr>
          <w:rFonts w:ascii="Times New Roman" w:hAnsi="Times New Roman"/>
          <w:sz w:val="24"/>
          <w:szCs w:val="24"/>
        </w:rPr>
        <w:t>This option therefore primarily impacts offshore suppliers and offshore electronic market places.</w:t>
      </w:r>
    </w:p>
    <w:p w14:paraId="7F31822E" w14:textId="77777777" w:rsidR="007C72DE" w:rsidRDefault="007C72DE" w:rsidP="000F15EF">
      <w:pPr>
        <w:pStyle w:val="Bullet-list"/>
        <w:spacing w:after="0" w:line="240" w:lineRule="auto"/>
        <w:ind w:left="0" w:firstLine="0"/>
        <w:jc w:val="both"/>
        <w:rPr>
          <w:rFonts w:ascii="Times New Roman" w:hAnsi="Times New Roman"/>
          <w:sz w:val="24"/>
          <w:szCs w:val="24"/>
        </w:rPr>
      </w:pPr>
    </w:p>
    <w:p w14:paraId="09CF5ADE" w14:textId="32D56593" w:rsidR="0023228B" w:rsidRPr="0023228B" w:rsidRDefault="00726D27" w:rsidP="0023228B">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C72DE">
        <w:rPr>
          <w:rFonts w:ascii="Times New Roman" w:hAnsi="Times New Roman"/>
          <w:sz w:val="24"/>
          <w:szCs w:val="24"/>
        </w:rPr>
        <w:t>Under this option o</w:t>
      </w:r>
      <w:r w:rsidRPr="00726D27">
        <w:rPr>
          <w:rFonts w:ascii="Times New Roman" w:hAnsi="Times New Roman"/>
          <w:sz w:val="24"/>
          <w:szCs w:val="24"/>
        </w:rPr>
        <w:t xml:space="preserve">ffshore suppliers </w:t>
      </w:r>
      <w:r w:rsidR="009367AC">
        <w:rPr>
          <w:rFonts w:ascii="Times New Roman" w:hAnsi="Times New Roman"/>
          <w:sz w:val="24"/>
          <w:szCs w:val="24"/>
        </w:rPr>
        <w:t xml:space="preserve">and marketplaces </w:t>
      </w:r>
      <w:r w:rsidRPr="00726D27">
        <w:rPr>
          <w:rFonts w:ascii="Times New Roman" w:hAnsi="Times New Roman"/>
          <w:sz w:val="24"/>
          <w:szCs w:val="24"/>
        </w:rPr>
        <w:t>w</w:t>
      </w:r>
      <w:r w:rsidR="00362F57">
        <w:rPr>
          <w:rFonts w:ascii="Times New Roman" w:hAnsi="Times New Roman"/>
          <w:sz w:val="24"/>
          <w:szCs w:val="24"/>
        </w:rPr>
        <w:t>ould</w:t>
      </w:r>
      <w:r w:rsidRPr="00726D27">
        <w:rPr>
          <w:rFonts w:ascii="Times New Roman" w:hAnsi="Times New Roman"/>
          <w:sz w:val="24"/>
          <w:szCs w:val="24"/>
        </w:rPr>
        <w:t xml:space="preserve"> be required to register and r</w:t>
      </w:r>
      <w:r w:rsidR="00362F57">
        <w:rPr>
          <w:rFonts w:ascii="Times New Roman" w:hAnsi="Times New Roman"/>
          <w:sz w:val="24"/>
          <w:szCs w:val="24"/>
        </w:rPr>
        <w:t>eturn GST if their supplies of s</w:t>
      </w:r>
      <w:r w:rsidRPr="00726D27">
        <w:rPr>
          <w:rFonts w:ascii="Times New Roman" w:hAnsi="Times New Roman"/>
          <w:sz w:val="24"/>
          <w:szCs w:val="24"/>
        </w:rPr>
        <w:t>ervices to New Zealand-resident customer</w:t>
      </w:r>
      <w:r w:rsidR="006B54E4">
        <w:rPr>
          <w:rFonts w:ascii="Times New Roman" w:hAnsi="Times New Roman"/>
          <w:sz w:val="24"/>
          <w:szCs w:val="24"/>
        </w:rPr>
        <w:t>s</w:t>
      </w:r>
      <w:r w:rsidRPr="00726D27">
        <w:rPr>
          <w:rFonts w:ascii="Times New Roman" w:hAnsi="Times New Roman"/>
          <w:sz w:val="24"/>
          <w:szCs w:val="24"/>
        </w:rPr>
        <w:t xml:space="preserve"> exceed</w:t>
      </w:r>
      <w:r w:rsidR="001E666D">
        <w:rPr>
          <w:rFonts w:ascii="Times New Roman" w:hAnsi="Times New Roman"/>
          <w:sz w:val="24"/>
          <w:szCs w:val="24"/>
        </w:rPr>
        <w:t xml:space="preserve"> a certain</w:t>
      </w:r>
      <w:r w:rsidR="00362F57">
        <w:rPr>
          <w:rFonts w:ascii="Times New Roman" w:hAnsi="Times New Roman"/>
          <w:sz w:val="24"/>
          <w:szCs w:val="24"/>
        </w:rPr>
        <w:t xml:space="preserve"> </w:t>
      </w:r>
      <w:r w:rsidR="0082791A">
        <w:rPr>
          <w:rFonts w:ascii="Times New Roman" w:hAnsi="Times New Roman"/>
          <w:sz w:val="24"/>
          <w:szCs w:val="24"/>
        </w:rPr>
        <w:t>registration threshold</w:t>
      </w:r>
      <w:r w:rsidRPr="00726D27">
        <w:rPr>
          <w:rFonts w:ascii="Times New Roman" w:hAnsi="Times New Roman"/>
          <w:sz w:val="24"/>
          <w:szCs w:val="24"/>
        </w:rPr>
        <w:t xml:space="preserve"> in a 12-month period.</w:t>
      </w:r>
      <w:r w:rsidR="00CC5AC2" w:rsidRPr="00CC5AC2">
        <w:rPr>
          <w:rFonts w:ascii="Times New Roman" w:hAnsi="Times New Roman"/>
          <w:color w:val="000000" w:themeColor="text1"/>
          <w:sz w:val="24"/>
          <w:szCs w:val="24"/>
        </w:rPr>
        <w:t xml:space="preserve"> </w:t>
      </w:r>
      <w:r w:rsidR="00CC5AC2">
        <w:rPr>
          <w:rFonts w:ascii="Times New Roman" w:hAnsi="Times New Roman"/>
          <w:color w:val="000000" w:themeColor="text1"/>
          <w:sz w:val="24"/>
          <w:szCs w:val="24"/>
        </w:rPr>
        <w:t xml:space="preserve">This option is consistent with </w:t>
      </w:r>
      <w:r w:rsidR="00CC5AC2">
        <w:rPr>
          <w:rFonts w:ascii="Times New Roman" w:hAnsi="Times New Roman"/>
          <w:sz w:val="24"/>
          <w:szCs w:val="24"/>
        </w:rPr>
        <w:t>how GST is collected on domestic supplies of goods and services.</w:t>
      </w:r>
    </w:p>
    <w:p w14:paraId="72DDA314" w14:textId="77777777" w:rsidR="00163730" w:rsidRPr="00163730" w:rsidRDefault="00163730" w:rsidP="00163730">
      <w:pPr>
        <w:pStyle w:val="Bullet-list"/>
        <w:spacing w:after="0" w:line="240" w:lineRule="auto"/>
        <w:ind w:left="0" w:firstLine="0"/>
        <w:jc w:val="both"/>
        <w:rPr>
          <w:rFonts w:ascii="Times New Roman" w:hAnsi="Times New Roman"/>
          <w:color w:val="000000" w:themeColor="text1"/>
          <w:sz w:val="24"/>
          <w:szCs w:val="24"/>
        </w:rPr>
      </w:pPr>
    </w:p>
    <w:p w14:paraId="3BC62B74" w14:textId="5E5F23A6" w:rsidR="00362F57" w:rsidRPr="00362F57" w:rsidRDefault="00362F57" w:rsidP="00362F57">
      <w:pPr>
        <w:pStyle w:val="Bullet-list"/>
        <w:numPr>
          <w:ilvl w:val="0"/>
          <w:numId w:val="3"/>
        </w:numPr>
        <w:tabs>
          <w:tab w:val="clear" w:pos="720"/>
          <w:tab w:val="num" w:pos="567"/>
        </w:tabs>
        <w:spacing w:after="0" w:line="240" w:lineRule="auto"/>
        <w:ind w:left="0" w:firstLine="0"/>
        <w:jc w:val="both"/>
        <w:rPr>
          <w:rFonts w:ascii="Times New Roman" w:hAnsi="Times New Roman"/>
          <w:color w:val="000000" w:themeColor="text1"/>
          <w:sz w:val="24"/>
          <w:szCs w:val="24"/>
        </w:rPr>
      </w:pPr>
      <w:r>
        <w:rPr>
          <w:rFonts w:ascii="Times New Roman" w:hAnsi="Times New Roman"/>
          <w:sz w:val="24"/>
          <w:szCs w:val="24"/>
        </w:rPr>
        <w:t xml:space="preserve">The offshore supplier registration model is endorsed by the </w:t>
      </w:r>
      <w:r w:rsidRPr="00163730">
        <w:rPr>
          <w:rFonts w:ascii="Times New Roman" w:hAnsi="Times New Roman"/>
          <w:color w:val="000000" w:themeColor="text1"/>
          <w:sz w:val="24"/>
          <w:szCs w:val="24"/>
        </w:rPr>
        <w:t xml:space="preserve">draft OECD guidelines – </w:t>
      </w:r>
      <w:r w:rsidRPr="00163730">
        <w:rPr>
          <w:rFonts w:ascii="Times New Roman" w:hAnsi="Times New Roman"/>
          <w:i/>
          <w:color w:val="000000" w:themeColor="text1"/>
          <w:sz w:val="24"/>
          <w:szCs w:val="24"/>
        </w:rPr>
        <w:t>Guidelines on place of taxation for business-to-consumer supplies of services and intangibles</w:t>
      </w:r>
      <w:r w:rsidRPr="00163730">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which were </w:t>
      </w:r>
      <w:r w:rsidRPr="00163730">
        <w:rPr>
          <w:rFonts w:ascii="Times New Roman" w:hAnsi="Times New Roman"/>
          <w:color w:val="000000" w:themeColor="text1"/>
          <w:sz w:val="24"/>
          <w:szCs w:val="24"/>
        </w:rPr>
        <w:t xml:space="preserve">released December 2014 and </w:t>
      </w:r>
      <w:r>
        <w:rPr>
          <w:rFonts w:ascii="Times New Roman" w:hAnsi="Times New Roman"/>
          <w:color w:val="000000" w:themeColor="text1"/>
          <w:sz w:val="24"/>
          <w:szCs w:val="24"/>
        </w:rPr>
        <w:t xml:space="preserve">are </w:t>
      </w:r>
      <w:r w:rsidRPr="00163730">
        <w:rPr>
          <w:rFonts w:ascii="Times New Roman" w:hAnsi="Times New Roman"/>
          <w:color w:val="000000" w:themeColor="text1"/>
          <w:sz w:val="24"/>
          <w:szCs w:val="24"/>
        </w:rPr>
        <w:t xml:space="preserve">expected </w:t>
      </w:r>
      <w:r>
        <w:rPr>
          <w:rFonts w:ascii="Times New Roman" w:hAnsi="Times New Roman"/>
          <w:color w:val="000000" w:themeColor="text1"/>
          <w:sz w:val="24"/>
          <w:szCs w:val="24"/>
        </w:rPr>
        <w:t>to be finalised later this year</w:t>
      </w:r>
      <w:r w:rsidR="00D20ED0">
        <w:rPr>
          <w:rFonts w:ascii="Times New Roman" w:hAnsi="Times New Roman"/>
          <w:color w:val="000000" w:themeColor="text1"/>
          <w:sz w:val="24"/>
          <w:szCs w:val="24"/>
        </w:rPr>
        <w:t xml:space="preserve">. </w:t>
      </w:r>
    </w:p>
    <w:p w14:paraId="3C7DDE47" w14:textId="77777777" w:rsidR="00163730" w:rsidRDefault="00163730" w:rsidP="00163730">
      <w:pPr>
        <w:pStyle w:val="Bullet-list"/>
        <w:spacing w:after="0" w:line="240" w:lineRule="auto"/>
        <w:ind w:left="0" w:firstLine="0"/>
        <w:jc w:val="both"/>
        <w:rPr>
          <w:rFonts w:ascii="Times New Roman" w:hAnsi="Times New Roman"/>
          <w:sz w:val="24"/>
          <w:szCs w:val="24"/>
          <w:highlight w:val="yellow"/>
        </w:rPr>
      </w:pPr>
    </w:p>
    <w:p w14:paraId="43C51B2A" w14:textId="77777777" w:rsidR="003A0DE0" w:rsidRDefault="00003BE4" w:rsidP="00726D27">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w:t>
      </w:r>
      <w:r w:rsidR="00362F57">
        <w:rPr>
          <w:rFonts w:ascii="Times New Roman" w:hAnsi="Times New Roman"/>
          <w:sz w:val="24"/>
          <w:szCs w:val="24"/>
        </w:rPr>
        <w:t>has been</w:t>
      </w:r>
      <w:r>
        <w:rPr>
          <w:rFonts w:ascii="Times New Roman" w:hAnsi="Times New Roman"/>
          <w:sz w:val="24"/>
          <w:szCs w:val="24"/>
        </w:rPr>
        <w:t xml:space="preserve"> adopted</w:t>
      </w:r>
      <w:r w:rsidR="003A0DE0">
        <w:rPr>
          <w:rFonts w:ascii="Times New Roman" w:hAnsi="Times New Roman"/>
          <w:sz w:val="24"/>
          <w:szCs w:val="24"/>
        </w:rPr>
        <w:t xml:space="preserve"> in other countries, for example members of the European Union, and other countries such as </w:t>
      </w:r>
      <w:r w:rsidR="003A0DE0" w:rsidRPr="003A0DE0">
        <w:rPr>
          <w:rFonts w:ascii="Times New Roman" w:hAnsi="Times New Roman"/>
          <w:sz w:val="24"/>
          <w:szCs w:val="24"/>
        </w:rPr>
        <w:t>Norway, South Korea, Switzerland</w:t>
      </w:r>
      <w:r w:rsidR="003A0DE0">
        <w:rPr>
          <w:rFonts w:ascii="Times New Roman" w:hAnsi="Times New Roman"/>
          <w:sz w:val="24"/>
          <w:szCs w:val="24"/>
        </w:rPr>
        <w:t xml:space="preserve">, Japan and South Africa have also recently adopted this option. </w:t>
      </w:r>
      <w:r w:rsidR="00362F57" w:rsidRPr="00163730">
        <w:rPr>
          <w:rFonts w:ascii="Times New Roman" w:hAnsi="Times New Roman"/>
          <w:sz w:val="24"/>
          <w:szCs w:val="24"/>
        </w:rPr>
        <w:t>A</w:t>
      </w:r>
      <w:r w:rsidR="00362F57">
        <w:rPr>
          <w:rFonts w:ascii="Times New Roman" w:hAnsi="Times New Roman"/>
          <w:sz w:val="24"/>
          <w:szCs w:val="24"/>
        </w:rPr>
        <w:t xml:space="preserve">ustralia has recently proposed </w:t>
      </w:r>
      <w:r w:rsidR="00362F57" w:rsidRPr="00163730">
        <w:rPr>
          <w:rFonts w:ascii="Times New Roman" w:hAnsi="Times New Roman"/>
          <w:sz w:val="24"/>
          <w:szCs w:val="24"/>
        </w:rPr>
        <w:t>to apply GST to cross-border services and intangible</w:t>
      </w:r>
      <w:r w:rsidR="00362F57">
        <w:rPr>
          <w:rFonts w:ascii="Times New Roman" w:hAnsi="Times New Roman"/>
          <w:sz w:val="24"/>
          <w:szCs w:val="24"/>
        </w:rPr>
        <w:t>s</w:t>
      </w:r>
      <w:r w:rsidR="00362F57" w:rsidRPr="00163730">
        <w:rPr>
          <w:rFonts w:ascii="Times New Roman" w:hAnsi="Times New Roman"/>
          <w:sz w:val="24"/>
          <w:szCs w:val="24"/>
        </w:rPr>
        <w:t xml:space="preserve"> from 1 July 2017 using </w:t>
      </w:r>
      <w:r w:rsidR="00362F57">
        <w:rPr>
          <w:rFonts w:ascii="Times New Roman" w:hAnsi="Times New Roman"/>
          <w:sz w:val="24"/>
          <w:szCs w:val="24"/>
        </w:rPr>
        <w:t xml:space="preserve">an offshore supplier registration system. </w:t>
      </w:r>
    </w:p>
    <w:p w14:paraId="63F4B198" w14:textId="77777777" w:rsidR="007C72DE" w:rsidRDefault="007C72DE" w:rsidP="000F15EF">
      <w:pPr>
        <w:pStyle w:val="Bullet-list"/>
        <w:spacing w:after="0" w:line="240" w:lineRule="auto"/>
        <w:ind w:left="0" w:firstLine="0"/>
        <w:jc w:val="both"/>
        <w:rPr>
          <w:rFonts w:ascii="Times New Roman" w:hAnsi="Times New Roman"/>
          <w:sz w:val="24"/>
          <w:szCs w:val="24"/>
        </w:rPr>
      </w:pPr>
    </w:p>
    <w:p w14:paraId="29B5636D" w14:textId="77777777" w:rsidR="00D13541" w:rsidRPr="00ED1C8D" w:rsidRDefault="00ED1C8D" w:rsidP="000F15EF">
      <w:pPr>
        <w:pStyle w:val="Bullet-list"/>
        <w:keepNext/>
        <w:spacing w:after="0" w:line="240" w:lineRule="auto"/>
        <w:jc w:val="both"/>
        <w:rPr>
          <w:rFonts w:ascii="Times New Roman" w:hAnsi="Times New Roman"/>
          <w:b/>
          <w:i/>
          <w:sz w:val="24"/>
          <w:szCs w:val="24"/>
        </w:rPr>
      </w:pPr>
      <w:r w:rsidRPr="00ED1C8D">
        <w:rPr>
          <w:rFonts w:ascii="Times New Roman" w:hAnsi="Times New Roman"/>
          <w:b/>
          <w:i/>
          <w:sz w:val="24"/>
          <w:szCs w:val="24"/>
        </w:rPr>
        <w:t>Certainty and simplicity</w:t>
      </w:r>
    </w:p>
    <w:p w14:paraId="2EB416DA" w14:textId="77777777" w:rsidR="00D13541" w:rsidRDefault="00D13541" w:rsidP="000F15EF">
      <w:pPr>
        <w:pStyle w:val="Bullet-list"/>
        <w:keepNext/>
        <w:spacing w:after="0" w:line="240" w:lineRule="auto"/>
        <w:jc w:val="both"/>
        <w:rPr>
          <w:rFonts w:ascii="Times New Roman" w:hAnsi="Times New Roman"/>
          <w:sz w:val="24"/>
          <w:szCs w:val="24"/>
        </w:rPr>
      </w:pPr>
    </w:p>
    <w:p w14:paraId="4DDD8342" w14:textId="78354A7E" w:rsidR="00B97A50" w:rsidRDefault="00ED1C8D" w:rsidP="000F15EF">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rPr>
      </w:pPr>
      <w:r w:rsidRPr="00726D27">
        <w:rPr>
          <w:rFonts w:ascii="Times New Roman" w:hAnsi="Times New Roman"/>
          <w:sz w:val="24"/>
          <w:szCs w:val="24"/>
        </w:rPr>
        <w:t xml:space="preserve">Adopting a system that is widely used internationally </w:t>
      </w:r>
      <w:r w:rsidR="00726D27" w:rsidRPr="00726D27">
        <w:rPr>
          <w:rFonts w:ascii="Times New Roman" w:hAnsi="Times New Roman"/>
          <w:sz w:val="24"/>
          <w:szCs w:val="24"/>
        </w:rPr>
        <w:t xml:space="preserve">and </w:t>
      </w:r>
      <w:r w:rsidR="00DF2054">
        <w:rPr>
          <w:rFonts w:ascii="Times New Roman" w:hAnsi="Times New Roman"/>
          <w:sz w:val="24"/>
          <w:szCs w:val="24"/>
        </w:rPr>
        <w:t>is</w:t>
      </w:r>
      <w:r w:rsidR="00257879">
        <w:rPr>
          <w:rFonts w:ascii="Times New Roman" w:hAnsi="Times New Roman"/>
          <w:sz w:val="24"/>
          <w:szCs w:val="24"/>
        </w:rPr>
        <w:t>,</w:t>
      </w:r>
      <w:r w:rsidR="00DF2054">
        <w:rPr>
          <w:rFonts w:ascii="Times New Roman" w:hAnsi="Times New Roman"/>
          <w:sz w:val="24"/>
          <w:szCs w:val="24"/>
        </w:rPr>
        <w:t xml:space="preserve"> </w:t>
      </w:r>
      <w:r w:rsidR="00726D27" w:rsidRPr="00726D27">
        <w:rPr>
          <w:rFonts w:ascii="Times New Roman" w:hAnsi="Times New Roman"/>
          <w:sz w:val="24"/>
          <w:szCs w:val="24"/>
        </w:rPr>
        <w:t>therefore</w:t>
      </w:r>
      <w:r w:rsidR="00726D27">
        <w:rPr>
          <w:rFonts w:ascii="Times New Roman" w:hAnsi="Times New Roman"/>
          <w:sz w:val="24"/>
          <w:szCs w:val="24"/>
        </w:rPr>
        <w:t>,</w:t>
      </w:r>
      <w:r w:rsidR="00726D27" w:rsidRPr="00726D27">
        <w:rPr>
          <w:rFonts w:ascii="Times New Roman" w:hAnsi="Times New Roman"/>
          <w:sz w:val="24"/>
          <w:szCs w:val="24"/>
        </w:rPr>
        <w:t xml:space="preserve"> familiar </w:t>
      </w:r>
      <w:r w:rsidR="00257879">
        <w:rPr>
          <w:rFonts w:ascii="Times New Roman" w:hAnsi="Times New Roman"/>
          <w:sz w:val="24"/>
          <w:szCs w:val="24"/>
        </w:rPr>
        <w:t>to</w:t>
      </w:r>
      <w:r w:rsidR="00257879" w:rsidRPr="00726D27">
        <w:rPr>
          <w:rFonts w:ascii="Times New Roman" w:hAnsi="Times New Roman"/>
          <w:sz w:val="24"/>
          <w:szCs w:val="24"/>
        </w:rPr>
        <w:t xml:space="preserve"> </w:t>
      </w:r>
      <w:r w:rsidR="00726D27" w:rsidRPr="00726D27">
        <w:rPr>
          <w:rFonts w:ascii="Times New Roman" w:hAnsi="Times New Roman"/>
          <w:sz w:val="24"/>
          <w:szCs w:val="24"/>
        </w:rPr>
        <w:t xml:space="preserve">international suppliers </w:t>
      </w:r>
      <w:r w:rsidR="00726D27">
        <w:rPr>
          <w:rFonts w:ascii="Times New Roman" w:hAnsi="Times New Roman"/>
          <w:sz w:val="24"/>
          <w:szCs w:val="24"/>
        </w:rPr>
        <w:t xml:space="preserve">should make </w:t>
      </w:r>
      <w:r w:rsidR="008022BE">
        <w:rPr>
          <w:rFonts w:ascii="Times New Roman" w:hAnsi="Times New Roman"/>
          <w:sz w:val="24"/>
          <w:szCs w:val="24"/>
        </w:rPr>
        <w:t>this option</w:t>
      </w:r>
      <w:r w:rsidR="00726D27">
        <w:rPr>
          <w:rFonts w:ascii="Times New Roman" w:hAnsi="Times New Roman"/>
          <w:sz w:val="24"/>
          <w:szCs w:val="24"/>
        </w:rPr>
        <w:t xml:space="preserve"> relatively simple to apply in practice. </w:t>
      </w:r>
      <w:r w:rsidR="008022BE">
        <w:rPr>
          <w:rFonts w:ascii="Times New Roman" w:hAnsi="Times New Roman"/>
          <w:sz w:val="24"/>
          <w:szCs w:val="24"/>
        </w:rPr>
        <w:t>For example, t</w:t>
      </w:r>
      <w:r w:rsidR="00726D27">
        <w:rPr>
          <w:rFonts w:ascii="Times New Roman" w:hAnsi="Times New Roman"/>
          <w:sz w:val="24"/>
          <w:szCs w:val="24"/>
        </w:rPr>
        <w:t>he European Union has collected VAT on services and intangibles using this option since 2003</w:t>
      </w:r>
      <w:r w:rsidR="00257879">
        <w:rPr>
          <w:rFonts w:ascii="Times New Roman" w:hAnsi="Times New Roman"/>
          <w:sz w:val="24"/>
          <w:szCs w:val="24"/>
        </w:rPr>
        <w:t>. G</w:t>
      </w:r>
      <w:r w:rsidR="00726D27">
        <w:rPr>
          <w:rFonts w:ascii="Times New Roman" w:hAnsi="Times New Roman"/>
          <w:sz w:val="24"/>
          <w:szCs w:val="24"/>
        </w:rPr>
        <w:t>iven the European Union is the largest VAT market</w:t>
      </w:r>
      <w:r w:rsidR="008022BE">
        <w:rPr>
          <w:rFonts w:ascii="Times New Roman" w:hAnsi="Times New Roman"/>
          <w:sz w:val="24"/>
          <w:szCs w:val="24"/>
        </w:rPr>
        <w:t>,</w:t>
      </w:r>
      <w:r w:rsidR="00726D27">
        <w:rPr>
          <w:rFonts w:ascii="Times New Roman" w:hAnsi="Times New Roman"/>
          <w:sz w:val="24"/>
          <w:szCs w:val="24"/>
        </w:rPr>
        <w:t xml:space="preserve"> many international suppliers will be familiar with this system and already be registered and return</w:t>
      </w:r>
      <w:r w:rsidR="004611E5">
        <w:rPr>
          <w:rFonts w:ascii="Times New Roman" w:hAnsi="Times New Roman"/>
          <w:sz w:val="24"/>
          <w:szCs w:val="24"/>
        </w:rPr>
        <w:t>ing</w:t>
      </w:r>
      <w:r w:rsidR="00726D27">
        <w:rPr>
          <w:rFonts w:ascii="Times New Roman" w:hAnsi="Times New Roman"/>
          <w:sz w:val="24"/>
          <w:szCs w:val="24"/>
        </w:rPr>
        <w:t xml:space="preserve"> VAT in Europe.</w:t>
      </w:r>
    </w:p>
    <w:p w14:paraId="4601618E" w14:textId="77777777" w:rsidR="00726D27" w:rsidRDefault="00726D27" w:rsidP="00726D27">
      <w:pPr>
        <w:pStyle w:val="Bullet-list"/>
        <w:spacing w:after="0" w:line="240" w:lineRule="auto"/>
        <w:ind w:left="0" w:firstLine="0"/>
        <w:jc w:val="both"/>
        <w:rPr>
          <w:rFonts w:ascii="Times New Roman" w:hAnsi="Times New Roman"/>
          <w:sz w:val="24"/>
          <w:szCs w:val="24"/>
        </w:rPr>
      </w:pPr>
    </w:p>
    <w:p w14:paraId="3E08519D" w14:textId="3E3EC170" w:rsidR="00726D27" w:rsidRPr="00362F57" w:rsidRDefault="004611E5" w:rsidP="00430492">
      <w:pPr>
        <w:pStyle w:val="Bullet-list"/>
        <w:numPr>
          <w:ilvl w:val="0"/>
          <w:numId w:val="3"/>
        </w:numPr>
        <w:tabs>
          <w:tab w:val="clear" w:pos="720"/>
          <w:tab w:val="num" w:pos="567"/>
        </w:tabs>
        <w:spacing w:after="0" w:line="240" w:lineRule="auto"/>
        <w:ind w:left="0" w:firstLine="0"/>
        <w:jc w:val="both"/>
        <w:rPr>
          <w:rFonts w:ascii="Times New Roman" w:hAnsi="Times New Roman"/>
          <w:b/>
          <w:sz w:val="24"/>
          <w:szCs w:val="24"/>
          <w:lang w:val="en-GB"/>
        </w:rPr>
      </w:pPr>
      <w:r w:rsidRPr="00362F57">
        <w:rPr>
          <w:rFonts w:ascii="Times New Roman" w:hAnsi="Times New Roman"/>
          <w:sz w:val="24"/>
          <w:szCs w:val="24"/>
        </w:rPr>
        <w:t>In addition, given New Zealand’s GST system is broad-based</w:t>
      </w:r>
      <w:r w:rsidR="008022BE" w:rsidRPr="00362F57">
        <w:rPr>
          <w:rFonts w:ascii="Times New Roman" w:hAnsi="Times New Roman"/>
          <w:sz w:val="24"/>
          <w:szCs w:val="24"/>
        </w:rPr>
        <w:t xml:space="preserve">, with </w:t>
      </w:r>
      <w:r w:rsidR="00257879">
        <w:rPr>
          <w:rFonts w:ascii="Times New Roman" w:hAnsi="Times New Roman"/>
          <w:sz w:val="24"/>
          <w:szCs w:val="24"/>
        </w:rPr>
        <w:t xml:space="preserve">a single rate and </w:t>
      </w:r>
      <w:r w:rsidR="008022BE" w:rsidRPr="00362F57">
        <w:rPr>
          <w:rFonts w:ascii="Times New Roman" w:hAnsi="Times New Roman"/>
          <w:sz w:val="24"/>
          <w:szCs w:val="24"/>
        </w:rPr>
        <w:t xml:space="preserve">few </w:t>
      </w:r>
      <w:proofErr w:type="gramStart"/>
      <w:r w:rsidR="008022BE" w:rsidRPr="00362F57">
        <w:rPr>
          <w:rFonts w:ascii="Times New Roman" w:hAnsi="Times New Roman"/>
          <w:sz w:val="24"/>
          <w:szCs w:val="24"/>
        </w:rPr>
        <w:t>exemptions,</w:t>
      </w:r>
      <w:proofErr w:type="gramEnd"/>
      <w:r w:rsidRPr="00362F57">
        <w:rPr>
          <w:rFonts w:ascii="Times New Roman" w:hAnsi="Times New Roman"/>
          <w:sz w:val="24"/>
          <w:szCs w:val="24"/>
        </w:rPr>
        <w:t xml:space="preserve"> it is expected to be relatively simple for offshore suppliers to comply with as compared to countries with multiple VAT/GST rates and exemptions.</w:t>
      </w:r>
      <w:r w:rsidR="008022BE" w:rsidRPr="00362F57">
        <w:rPr>
          <w:rFonts w:ascii="Times New Roman" w:hAnsi="Times New Roman"/>
          <w:sz w:val="24"/>
          <w:szCs w:val="24"/>
        </w:rPr>
        <w:t xml:space="preserve"> </w:t>
      </w:r>
    </w:p>
    <w:p w14:paraId="602FC362" w14:textId="77777777" w:rsidR="00362F57" w:rsidRPr="00362F57" w:rsidRDefault="00362F57" w:rsidP="00362F57">
      <w:pPr>
        <w:pStyle w:val="Bullet-list"/>
        <w:tabs>
          <w:tab w:val="num" w:pos="567"/>
        </w:tabs>
        <w:spacing w:after="0" w:line="240" w:lineRule="auto"/>
        <w:ind w:left="0" w:firstLine="0"/>
        <w:jc w:val="both"/>
        <w:rPr>
          <w:rFonts w:ascii="Times New Roman" w:hAnsi="Times New Roman"/>
          <w:b/>
          <w:sz w:val="24"/>
          <w:szCs w:val="24"/>
          <w:lang w:val="en-GB"/>
        </w:rPr>
      </w:pPr>
    </w:p>
    <w:p w14:paraId="23676E28" w14:textId="77777777" w:rsidR="00726D27" w:rsidRPr="00726D27" w:rsidRDefault="00726D27" w:rsidP="008022BE">
      <w:pPr>
        <w:pStyle w:val="Bullet-list"/>
        <w:keepNext/>
        <w:tabs>
          <w:tab w:val="num" w:pos="567"/>
        </w:tabs>
        <w:spacing w:after="0" w:line="240" w:lineRule="auto"/>
        <w:ind w:left="0" w:firstLine="0"/>
        <w:jc w:val="both"/>
        <w:rPr>
          <w:rFonts w:ascii="Times New Roman" w:hAnsi="Times New Roman"/>
          <w:b/>
          <w:i/>
          <w:sz w:val="24"/>
          <w:szCs w:val="24"/>
          <w:lang w:val="en-GB"/>
        </w:rPr>
      </w:pPr>
      <w:r w:rsidRPr="00726D27">
        <w:rPr>
          <w:rFonts w:ascii="Times New Roman" w:hAnsi="Times New Roman"/>
          <w:b/>
          <w:i/>
          <w:sz w:val="24"/>
          <w:szCs w:val="24"/>
          <w:lang w:val="en-GB"/>
        </w:rPr>
        <w:t>Efficiency of compliance and administration</w:t>
      </w:r>
    </w:p>
    <w:p w14:paraId="51F9A90E" w14:textId="77777777" w:rsidR="00726D27" w:rsidRDefault="00726D27" w:rsidP="008022BE">
      <w:pPr>
        <w:pStyle w:val="Bullet-list"/>
        <w:keepNext/>
        <w:tabs>
          <w:tab w:val="num" w:pos="567"/>
        </w:tabs>
        <w:spacing w:after="0" w:line="240" w:lineRule="auto"/>
        <w:ind w:left="0" w:firstLine="0"/>
        <w:jc w:val="both"/>
        <w:rPr>
          <w:rFonts w:ascii="Times New Roman" w:hAnsi="Times New Roman"/>
          <w:b/>
          <w:sz w:val="24"/>
          <w:szCs w:val="24"/>
          <w:lang w:val="en-GB"/>
        </w:rPr>
      </w:pPr>
    </w:p>
    <w:p w14:paraId="79802252" w14:textId="088FB291" w:rsidR="005E264D" w:rsidRDefault="004611E5" w:rsidP="005E264D">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DC1AD6">
        <w:rPr>
          <w:rFonts w:ascii="Times New Roman" w:hAnsi="Times New Roman"/>
          <w:sz w:val="24"/>
          <w:szCs w:val="24"/>
        </w:rPr>
        <w:t>This option is relatively efficient to admin</w:t>
      </w:r>
      <w:r w:rsidR="00220E1C" w:rsidRPr="00DC1AD6">
        <w:rPr>
          <w:rFonts w:ascii="Times New Roman" w:hAnsi="Times New Roman"/>
          <w:sz w:val="24"/>
          <w:szCs w:val="24"/>
        </w:rPr>
        <w:t>ister given systems are already in place to register domestic suppliers.</w:t>
      </w:r>
      <w:r w:rsidR="00A82A7C" w:rsidRPr="00DC1AD6">
        <w:rPr>
          <w:rFonts w:ascii="Times New Roman" w:hAnsi="Times New Roman"/>
          <w:sz w:val="24"/>
          <w:szCs w:val="24"/>
        </w:rPr>
        <w:t xml:space="preserve"> </w:t>
      </w:r>
      <w:r w:rsidR="00DC1AD6">
        <w:rPr>
          <w:rFonts w:ascii="Times New Roman" w:hAnsi="Times New Roman"/>
          <w:sz w:val="24"/>
          <w:szCs w:val="24"/>
        </w:rPr>
        <w:t>S</w:t>
      </w:r>
      <w:r w:rsidR="005B2A05" w:rsidRPr="00DC1AD6">
        <w:rPr>
          <w:rFonts w:ascii="Times New Roman" w:hAnsi="Times New Roman"/>
          <w:sz w:val="24"/>
          <w:szCs w:val="24"/>
        </w:rPr>
        <w:t xml:space="preserve">ince New Zealand’s GST system is relatively simple, compliance costs should be minimal and consistent with </w:t>
      </w:r>
      <w:r w:rsidR="00257879">
        <w:rPr>
          <w:rFonts w:ascii="Times New Roman" w:hAnsi="Times New Roman"/>
          <w:sz w:val="24"/>
          <w:szCs w:val="24"/>
        </w:rPr>
        <w:t xml:space="preserve">(if not lower than) </w:t>
      </w:r>
      <w:r w:rsidR="005B2A05" w:rsidRPr="00DC1AD6">
        <w:rPr>
          <w:rFonts w:ascii="Times New Roman" w:hAnsi="Times New Roman"/>
          <w:sz w:val="24"/>
          <w:szCs w:val="24"/>
        </w:rPr>
        <w:t>the compliance cost imposed on domestic businesses in registering and return</w:t>
      </w:r>
      <w:r w:rsidR="009367AC" w:rsidRPr="00DC1AD6">
        <w:rPr>
          <w:rFonts w:ascii="Times New Roman" w:hAnsi="Times New Roman"/>
          <w:sz w:val="24"/>
          <w:szCs w:val="24"/>
        </w:rPr>
        <w:t>ing</w:t>
      </w:r>
      <w:r w:rsidR="00CC5AC2">
        <w:rPr>
          <w:rFonts w:ascii="Times New Roman" w:hAnsi="Times New Roman"/>
          <w:sz w:val="24"/>
          <w:szCs w:val="24"/>
        </w:rPr>
        <w:t xml:space="preserve"> GST.</w:t>
      </w:r>
    </w:p>
    <w:p w14:paraId="0DC55D4A" w14:textId="77777777" w:rsidR="005E264D" w:rsidRDefault="005E264D" w:rsidP="000F15EF">
      <w:pPr>
        <w:pStyle w:val="Bullet-list"/>
        <w:spacing w:after="0" w:line="240" w:lineRule="auto"/>
        <w:ind w:left="0" w:firstLine="0"/>
        <w:jc w:val="both"/>
        <w:rPr>
          <w:rFonts w:ascii="Times New Roman" w:hAnsi="Times New Roman"/>
          <w:sz w:val="24"/>
          <w:szCs w:val="24"/>
        </w:rPr>
      </w:pPr>
    </w:p>
    <w:p w14:paraId="024F21C0" w14:textId="43B18EF0" w:rsidR="005E264D" w:rsidRPr="00CC5AC2" w:rsidRDefault="005E264D" w:rsidP="005E264D">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Implementing simplified registration processes that are tailored to offshore suppliers will assist in reducing the compliance costs associated with the new rules (see the implementation section for more information on the simplified registration system).</w:t>
      </w:r>
    </w:p>
    <w:p w14:paraId="6F3ABAE9" w14:textId="77777777" w:rsidR="00362F57" w:rsidRPr="00362F57" w:rsidRDefault="00362F57" w:rsidP="006F6154">
      <w:pPr>
        <w:pStyle w:val="Bullet-list"/>
        <w:keepNext/>
        <w:spacing w:after="0" w:line="240" w:lineRule="auto"/>
        <w:ind w:left="0" w:firstLine="0"/>
        <w:jc w:val="both"/>
        <w:rPr>
          <w:rFonts w:ascii="Times New Roman" w:hAnsi="Times New Roman"/>
          <w:sz w:val="24"/>
          <w:szCs w:val="24"/>
        </w:rPr>
      </w:pPr>
    </w:p>
    <w:p w14:paraId="3B21768E" w14:textId="21BD9790" w:rsidR="005B2A05" w:rsidRDefault="00257879" w:rsidP="005B2A05">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As a further</w:t>
      </w:r>
      <w:r w:rsidR="00DC1AD6">
        <w:rPr>
          <w:rFonts w:ascii="Times New Roman" w:hAnsi="Times New Roman"/>
          <w:sz w:val="24"/>
          <w:szCs w:val="24"/>
        </w:rPr>
        <w:t xml:space="preserve"> </w:t>
      </w:r>
      <w:r w:rsidR="005B2A05">
        <w:rPr>
          <w:rFonts w:ascii="Times New Roman" w:hAnsi="Times New Roman"/>
          <w:sz w:val="24"/>
          <w:szCs w:val="24"/>
        </w:rPr>
        <w:t xml:space="preserve">compliance </w:t>
      </w:r>
      <w:r>
        <w:rPr>
          <w:rFonts w:ascii="Times New Roman" w:hAnsi="Times New Roman"/>
          <w:sz w:val="24"/>
          <w:szCs w:val="24"/>
        </w:rPr>
        <w:t>cost reduction measure</w:t>
      </w:r>
      <w:r w:rsidR="00DC1AD6">
        <w:rPr>
          <w:rFonts w:ascii="Times New Roman" w:hAnsi="Times New Roman"/>
          <w:sz w:val="24"/>
          <w:szCs w:val="24"/>
        </w:rPr>
        <w:t xml:space="preserve">, </w:t>
      </w:r>
      <w:r w:rsidR="005B2A05">
        <w:rPr>
          <w:rFonts w:ascii="Times New Roman" w:hAnsi="Times New Roman"/>
          <w:sz w:val="24"/>
          <w:szCs w:val="24"/>
        </w:rPr>
        <w:t>offshore suppliers</w:t>
      </w:r>
      <w:r w:rsidR="00DC1AD6">
        <w:rPr>
          <w:rFonts w:ascii="Times New Roman" w:hAnsi="Times New Roman"/>
          <w:sz w:val="24"/>
          <w:szCs w:val="24"/>
        </w:rPr>
        <w:t xml:space="preserve"> </w:t>
      </w:r>
      <w:r w:rsidR="00453823">
        <w:rPr>
          <w:rFonts w:ascii="Times New Roman" w:hAnsi="Times New Roman"/>
          <w:sz w:val="24"/>
          <w:szCs w:val="24"/>
        </w:rPr>
        <w:t>would</w:t>
      </w:r>
      <w:r w:rsidR="005B2A05">
        <w:rPr>
          <w:rFonts w:ascii="Times New Roman" w:hAnsi="Times New Roman"/>
          <w:sz w:val="24"/>
          <w:szCs w:val="24"/>
        </w:rPr>
        <w:t xml:space="preserve"> not be required to register in New </w:t>
      </w:r>
      <w:r w:rsidR="005B2A05" w:rsidRPr="006F6154">
        <w:rPr>
          <w:rFonts w:ascii="Times New Roman" w:hAnsi="Times New Roman"/>
          <w:sz w:val="24"/>
          <w:szCs w:val="24"/>
        </w:rPr>
        <w:t>Zealand unless their supplies exceed</w:t>
      </w:r>
      <w:r>
        <w:rPr>
          <w:rFonts w:ascii="Times New Roman" w:hAnsi="Times New Roman"/>
          <w:sz w:val="24"/>
          <w:szCs w:val="24"/>
        </w:rPr>
        <w:t>ed</w:t>
      </w:r>
      <w:r w:rsidR="005B2A05" w:rsidRPr="006F6154">
        <w:rPr>
          <w:rFonts w:ascii="Times New Roman" w:hAnsi="Times New Roman"/>
          <w:sz w:val="24"/>
          <w:szCs w:val="24"/>
        </w:rPr>
        <w:t xml:space="preserve"> </w:t>
      </w:r>
      <w:r w:rsidR="001E666D">
        <w:rPr>
          <w:rFonts w:ascii="Times New Roman" w:hAnsi="Times New Roman"/>
          <w:sz w:val="24"/>
          <w:szCs w:val="24"/>
        </w:rPr>
        <w:t>a certain</w:t>
      </w:r>
      <w:r w:rsidR="00362F57" w:rsidRPr="006F6154">
        <w:rPr>
          <w:rFonts w:ascii="Times New Roman" w:hAnsi="Times New Roman"/>
          <w:sz w:val="24"/>
          <w:szCs w:val="24"/>
        </w:rPr>
        <w:t xml:space="preserve"> registration threshold</w:t>
      </w:r>
      <w:r w:rsidR="007B2885">
        <w:rPr>
          <w:rFonts w:ascii="Times New Roman" w:hAnsi="Times New Roman"/>
          <w:sz w:val="24"/>
          <w:szCs w:val="24"/>
        </w:rPr>
        <w:t>.</w:t>
      </w:r>
      <w:r w:rsidR="005B2A05" w:rsidRPr="006F6154">
        <w:rPr>
          <w:rFonts w:ascii="Times New Roman" w:hAnsi="Times New Roman"/>
          <w:sz w:val="24"/>
          <w:szCs w:val="24"/>
        </w:rPr>
        <w:t xml:space="preserve"> This means that offshore suppliers that </w:t>
      </w:r>
      <w:r w:rsidR="009764E3" w:rsidRPr="006F6154">
        <w:rPr>
          <w:rFonts w:ascii="Times New Roman" w:hAnsi="Times New Roman"/>
          <w:sz w:val="24"/>
          <w:szCs w:val="24"/>
        </w:rPr>
        <w:t xml:space="preserve">supply a minimal </w:t>
      </w:r>
      <w:r>
        <w:rPr>
          <w:rFonts w:ascii="Times New Roman" w:hAnsi="Times New Roman"/>
          <w:sz w:val="24"/>
          <w:szCs w:val="24"/>
        </w:rPr>
        <w:t>level</w:t>
      </w:r>
      <w:r w:rsidR="009764E3" w:rsidRPr="006F6154">
        <w:rPr>
          <w:rFonts w:ascii="Times New Roman" w:hAnsi="Times New Roman"/>
          <w:sz w:val="24"/>
          <w:szCs w:val="24"/>
        </w:rPr>
        <w:t xml:space="preserve"> of services to New Zealand</w:t>
      </w:r>
      <w:r w:rsidR="009764E3">
        <w:rPr>
          <w:rFonts w:ascii="Times New Roman" w:hAnsi="Times New Roman"/>
          <w:sz w:val="24"/>
          <w:szCs w:val="24"/>
        </w:rPr>
        <w:t xml:space="preserve"> residents </w:t>
      </w:r>
      <w:r>
        <w:rPr>
          <w:rFonts w:ascii="Times New Roman" w:hAnsi="Times New Roman"/>
          <w:sz w:val="24"/>
          <w:szCs w:val="24"/>
        </w:rPr>
        <w:t xml:space="preserve">would </w:t>
      </w:r>
      <w:r w:rsidR="009764E3">
        <w:rPr>
          <w:rFonts w:ascii="Times New Roman" w:hAnsi="Times New Roman"/>
          <w:sz w:val="24"/>
          <w:szCs w:val="24"/>
        </w:rPr>
        <w:t>not have to register.</w:t>
      </w:r>
    </w:p>
    <w:p w14:paraId="71B87F56" w14:textId="77777777" w:rsidR="006F6154" w:rsidRDefault="006F6154" w:rsidP="006F6154">
      <w:pPr>
        <w:pStyle w:val="Bullet-list"/>
        <w:spacing w:after="0" w:line="240" w:lineRule="auto"/>
        <w:ind w:left="0" w:firstLine="0"/>
        <w:jc w:val="both"/>
        <w:rPr>
          <w:rFonts w:ascii="Times New Roman" w:hAnsi="Times New Roman"/>
          <w:sz w:val="24"/>
          <w:szCs w:val="24"/>
        </w:rPr>
      </w:pPr>
    </w:p>
    <w:p w14:paraId="6D65C1A1" w14:textId="016C3DC4" w:rsidR="00CC5AC2" w:rsidRPr="00726D27" w:rsidRDefault="006F6154" w:rsidP="005F721A">
      <w:pPr>
        <w:pStyle w:val="Bullet-list"/>
        <w:tabs>
          <w:tab w:val="num" w:pos="567"/>
        </w:tabs>
        <w:spacing w:after="0" w:line="240" w:lineRule="auto"/>
        <w:ind w:left="0" w:firstLine="0"/>
        <w:jc w:val="both"/>
        <w:rPr>
          <w:rFonts w:ascii="Times New Roman" w:hAnsi="Times New Roman"/>
          <w:sz w:val="24"/>
          <w:szCs w:val="24"/>
        </w:rPr>
      </w:pPr>
      <w:r w:rsidRPr="001E666D">
        <w:rPr>
          <w:rFonts w:ascii="Times New Roman" w:hAnsi="Times New Roman"/>
          <w:sz w:val="24"/>
          <w:szCs w:val="24"/>
        </w:rPr>
        <w:t xml:space="preserve">The rules contain </w:t>
      </w:r>
      <w:r w:rsidR="00257879">
        <w:rPr>
          <w:rFonts w:ascii="Times New Roman" w:hAnsi="Times New Roman"/>
          <w:sz w:val="24"/>
          <w:szCs w:val="24"/>
        </w:rPr>
        <w:t>other</w:t>
      </w:r>
      <w:r w:rsidR="00257879" w:rsidRPr="001E666D">
        <w:rPr>
          <w:rFonts w:ascii="Times New Roman" w:hAnsi="Times New Roman"/>
          <w:sz w:val="24"/>
          <w:szCs w:val="24"/>
        </w:rPr>
        <w:t xml:space="preserve"> </w:t>
      </w:r>
      <w:r w:rsidRPr="001E666D">
        <w:rPr>
          <w:rFonts w:ascii="Times New Roman" w:hAnsi="Times New Roman"/>
          <w:sz w:val="24"/>
          <w:szCs w:val="24"/>
        </w:rPr>
        <w:t>features that are designed to reduce compliance costs for offshore suppliers</w:t>
      </w:r>
      <w:r w:rsidR="001E666D">
        <w:rPr>
          <w:rFonts w:ascii="Times New Roman" w:hAnsi="Times New Roman"/>
          <w:sz w:val="24"/>
          <w:szCs w:val="24"/>
        </w:rPr>
        <w:t>. A d</w:t>
      </w:r>
      <w:r w:rsidR="001E666D" w:rsidRPr="001E666D">
        <w:rPr>
          <w:rFonts w:ascii="Times New Roman" w:hAnsi="Times New Roman"/>
          <w:sz w:val="24"/>
          <w:szCs w:val="24"/>
        </w:rPr>
        <w:t xml:space="preserve">iscussion of these features is included </w:t>
      </w:r>
      <w:r w:rsidR="001E666D">
        <w:rPr>
          <w:rFonts w:ascii="Times New Roman" w:hAnsi="Times New Roman"/>
          <w:sz w:val="24"/>
          <w:szCs w:val="24"/>
        </w:rPr>
        <w:t>in f</w:t>
      </w:r>
      <w:r w:rsidR="001E666D" w:rsidRPr="001E666D">
        <w:rPr>
          <w:rFonts w:ascii="Times New Roman" w:hAnsi="Times New Roman"/>
          <w:sz w:val="24"/>
          <w:szCs w:val="24"/>
        </w:rPr>
        <w:t>urther analysis on option 1: Offshore supplier registration model</w:t>
      </w:r>
      <w:r w:rsidR="001E666D">
        <w:rPr>
          <w:rFonts w:ascii="Times New Roman" w:hAnsi="Times New Roman"/>
          <w:sz w:val="24"/>
          <w:szCs w:val="24"/>
        </w:rPr>
        <w:t>.</w:t>
      </w:r>
    </w:p>
    <w:p w14:paraId="0012DE87" w14:textId="77777777" w:rsidR="00257879" w:rsidRDefault="00257879" w:rsidP="005F721A">
      <w:pPr>
        <w:pStyle w:val="Bullet-list"/>
        <w:spacing w:after="0" w:line="240" w:lineRule="auto"/>
        <w:ind w:left="0" w:firstLine="0"/>
        <w:jc w:val="both"/>
        <w:rPr>
          <w:rFonts w:ascii="Times New Roman" w:hAnsi="Times New Roman"/>
          <w:b/>
          <w:i/>
          <w:sz w:val="24"/>
          <w:szCs w:val="24"/>
        </w:rPr>
      </w:pPr>
    </w:p>
    <w:p w14:paraId="711D4ED8" w14:textId="77777777" w:rsidR="00726D27" w:rsidRPr="00726D27" w:rsidRDefault="00726D27" w:rsidP="005F721A">
      <w:pPr>
        <w:pStyle w:val="Bullet-list"/>
        <w:spacing w:after="0" w:line="240" w:lineRule="auto"/>
        <w:ind w:left="0" w:firstLine="0"/>
        <w:jc w:val="both"/>
        <w:rPr>
          <w:rFonts w:ascii="Times New Roman" w:hAnsi="Times New Roman"/>
          <w:i/>
          <w:sz w:val="24"/>
          <w:szCs w:val="24"/>
        </w:rPr>
      </w:pPr>
      <w:r w:rsidRPr="00726D27">
        <w:rPr>
          <w:rFonts w:ascii="Times New Roman" w:hAnsi="Times New Roman"/>
          <w:b/>
          <w:i/>
          <w:sz w:val="24"/>
          <w:szCs w:val="24"/>
        </w:rPr>
        <w:t>Neutrality</w:t>
      </w:r>
    </w:p>
    <w:p w14:paraId="0C66B7F9" w14:textId="77777777" w:rsidR="00726D27" w:rsidRDefault="00726D27" w:rsidP="005F721A">
      <w:pPr>
        <w:pStyle w:val="Bullet-list"/>
        <w:tabs>
          <w:tab w:val="num" w:pos="567"/>
        </w:tabs>
        <w:spacing w:after="0" w:line="240" w:lineRule="auto"/>
        <w:ind w:left="0" w:hanging="1134"/>
        <w:jc w:val="both"/>
        <w:rPr>
          <w:rFonts w:ascii="Times New Roman" w:hAnsi="Times New Roman"/>
          <w:sz w:val="24"/>
          <w:szCs w:val="24"/>
        </w:rPr>
      </w:pPr>
    </w:p>
    <w:p w14:paraId="5BAC768A" w14:textId="5EADD59C" w:rsidR="00726D27" w:rsidRDefault="009764E3"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is </w:t>
      </w:r>
      <w:r w:rsidR="00257879">
        <w:rPr>
          <w:rFonts w:ascii="Times New Roman" w:hAnsi="Times New Roman"/>
          <w:sz w:val="24"/>
          <w:szCs w:val="24"/>
        </w:rPr>
        <w:t>neutral</w:t>
      </w:r>
      <w:r>
        <w:rPr>
          <w:rFonts w:ascii="Times New Roman" w:hAnsi="Times New Roman"/>
          <w:sz w:val="24"/>
          <w:szCs w:val="24"/>
        </w:rPr>
        <w:t xml:space="preserve"> because </w:t>
      </w:r>
      <w:r w:rsidR="000851EA">
        <w:rPr>
          <w:rFonts w:ascii="Times New Roman" w:hAnsi="Times New Roman"/>
          <w:sz w:val="24"/>
          <w:szCs w:val="24"/>
        </w:rPr>
        <w:t xml:space="preserve">offshore suppliers will be subject to the </w:t>
      </w:r>
      <w:r>
        <w:rPr>
          <w:rFonts w:ascii="Times New Roman" w:hAnsi="Times New Roman"/>
          <w:sz w:val="24"/>
          <w:szCs w:val="24"/>
        </w:rPr>
        <w:t xml:space="preserve">same rules </w:t>
      </w:r>
      <w:r w:rsidR="00257879">
        <w:rPr>
          <w:rFonts w:ascii="Times New Roman" w:hAnsi="Times New Roman"/>
          <w:sz w:val="24"/>
          <w:szCs w:val="24"/>
        </w:rPr>
        <w:t>as those applying</w:t>
      </w:r>
      <w:r>
        <w:rPr>
          <w:rFonts w:ascii="Times New Roman" w:hAnsi="Times New Roman"/>
          <w:sz w:val="24"/>
          <w:szCs w:val="24"/>
        </w:rPr>
        <w:t xml:space="preserve"> to domestic businesses</w:t>
      </w:r>
      <w:r w:rsidR="000851EA">
        <w:rPr>
          <w:rFonts w:ascii="Times New Roman" w:hAnsi="Times New Roman"/>
          <w:sz w:val="24"/>
          <w:szCs w:val="24"/>
        </w:rPr>
        <w:t>. Consequently, for tax purposes consumers should be indifferent as to whether they purchase a remote service from a domestic or offshore supplier</w:t>
      </w:r>
      <w:r w:rsidR="00257879">
        <w:rPr>
          <w:rFonts w:ascii="Times New Roman" w:hAnsi="Times New Roman"/>
          <w:sz w:val="24"/>
          <w:szCs w:val="24"/>
        </w:rPr>
        <w:t xml:space="preserve"> as</w:t>
      </w:r>
      <w:r w:rsidR="000851EA">
        <w:rPr>
          <w:rFonts w:ascii="Times New Roman" w:hAnsi="Times New Roman"/>
          <w:sz w:val="24"/>
          <w:szCs w:val="24"/>
        </w:rPr>
        <w:t xml:space="preserve"> both suppliers </w:t>
      </w:r>
      <w:r w:rsidR="00257879">
        <w:rPr>
          <w:rFonts w:ascii="Times New Roman" w:hAnsi="Times New Roman"/>
          <w:sz w:val="24"/>
          <w:szCs w:val="24"/>
        </w:rPr>
        <w:t xml:space="preserve">would </w:t>
      </w:r>
      <w:r w:rsidR="000851EA">
        <w:rPr>
          <w:rFonts w:ascii="Times New Roman" w:hAnsi="Times New Roman"/>
          <w:sz w:val="24"/>
          <w:szCs w:val="24"/>
        </w:rPr>
        <w:t>be required to return GST on that service.</w:t>
      </w:r>
    </w:p>
    <w:p w14:paraId="024C76FC" w14:textId="77777777" w:rsidR="00726D27" w:rsidRDefault="00726D27" w:rsidP="005F721A">
      <w:pPr>
        <w:pStyle w:val="Bullet-list"/>
        <w:tabs>
          <w:tab w:val="num" w:pos="567"/>
        </w:tabs>
        <w:spacing w:after="0" w:line="240" w:lineRule="auto"/>
        <w:ind w:left="0" w:hanging="1134"/>
        <w:jc w:val="both"/>
        <w:rPr>
          <w:rFonts w:ascii="Times New Roman" w:hAnsi="Times New Roman"/>
          <w:sz w:val="24"/>
          <w:szCs w:val="24"/>
        </w:rPr>
      </w:pPr>
    </w:p>
    <w:p w14:paraId="4A7D55C6" w14:textId="77777777" w:rsidR="00726D27" w:rsidRPr="00726D27" w:rsidRDefault="00726D27" w:rsidP="005F721A">
      <w:pPr>
        <w:pStyle w:val="Bullet-list"/>
        <w:spacing w:after="0" w:line="240" w:lineRule="auto"/>
        <w:ind w:left="0" w:firstLine="0"/>
        <w:jc w:val="both"/>
        <w:rPr>
          <w:rFonts w:ascii="Times New Roman" w:hAnsi="Times New Roman"/>
          <w:i/>
          <w:sz w:val="24"/>
          <w:szCs w:val="24"/>
          <w:lang w:val="en-GB"/>
        </w:rPr>
      </w:pPr>
      <w:r w:rsidRPr="00726D27">
        <w:rPr>
          <w:rFonts w:ascii="Times New Roman" w:hAnsi="Times New Roman"/>
          <w:b/>
          <w:i/>
          <w:sz w:val="24"/>
          <w:szCs w:val="24"/>
          <w:lang w:val="en-GB"/>
        </w:rPr>
        <w:t>Effectiveness and fairness</w:t>
      </w:r>
    </w:p>
    <w:p w14:paraId="45505790" w14:textId="77777777" w:rsidR="00B97A50" w:rsidRDefault="00B97A50" w:rsidP="005F721A">
      <w:pPr>
        <w:pStyle w:val="Bullet-list"/>
        <w:spacing w:after="0" w:line="240" w:lineRule="auto"/>
        <w:ind w:left="567" w:firstLine="0"/>
        <w:jc w:val="both"/>
        <w:rPr>
          <w:rFonts w:ascii="Times New Roman" w:hAnsi="Times New Roman"/>
          <w:sz w:val="24"/>
          <w:szCs w:val="24"/>
        </w:rPr>
      </w:pPr>
    </w:p>
    <w:p w14:paraId="363BF67F" w14:textId="4DE8A660" w:rsidR="009764E3" w:rsidRPr="000851EA" w:rsidRDefault="000851EA"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0851EA">
        <w:rPr>
          <w:rFonts w:ascii="Times New Roman" w:hAnsi="Times New Roman"/>
          <w:sz w:val="24"/>
          <w:szCs w:val="24"/>
        </w:rPr>
        <w:t>The effectiveness and fairness of this option may depend on the extent to which liable offshore suppliers comply with the rules.</w:t>
      </w:r>
      <w:r>
        <w:rPr>
          <w:rFonts w:ascii="Times New Roman" w:hAnsi="Times New Roman"/>
          <w:sz w:val="24"/>
          <w:szCs w:val="24"/>
        </w:rPr>
        <w:t xml:space="preserve"> </w:t>
      </w:r>
      <w:r w:rsidR="00492326">
        <w:rPr>
          <w:rFonts w:ascii="Times New Roman" w:hAnsi="Times New Roman"/>
          <w:sz w:val="24"/>
          <w:szCs w:val="24"/>
        </w:rPr>
        <w:t xml:space="preserve">Since </w:t>
      </w:r>
      <w:r w:rsidR="009764E3" w:rsidRPr="000851EA">
        <w:rPr>
          <w:rFonts w:ascii="Times New Roman" w:hAnsi="Times New Roman"/>
          <w:sz w:val="24"/>
          <w:szCs w:val="24"/>
        </w:rPr>
        <w:t xml:space="preserve">New Zealand’s tax system </w:t>
      </w:r>
      <w:r w:rsidR="00492326">
        <w:rPr>
          <w:rFonts w:ascii="Times New Roman" w:hAnsi="Times New Roman"/>
          <w:sz w:val="24"/>
          <w:szCs w:val="24"/>
        </w:rPr>
        <w:t xml:space="preserve">is based on voluntary compliance, the system relies </w:t>
      </w:r>
      <w:r w:rsidR="009764E3" w:rsidRPr="000851EA">
        <w:rPr>
          <w:rFonts w:ascii="Times New Roman" w:hAnsi="Times New Roman"/>
          <w:sz w:val="24"/>
          <w:szCs w:val="24"/>
        </w:rPr>
        <w:t xml:space="preserve">on the </w:t>
      </w:r>
      <w:r w:rsidR="00492326">
        <w:rPr>
          <w:rFonts w:ascii="Times New Roman" w:hAnsi="Times New Roman"/>
          <w:sz w:val="24"/>
          <w:szCs w:val="24"/>
        </w:rPr>
        <w:t>fact</w:t>
      </w:r>
      <w:r w:rsidR="009764E3" w:rsidRPr="000851EA">
        <w:rPr>
          <w:rFonts w:ascii="Times New Roman" w:hAnsi="Times New Roman"/>
          <w:sz w:val="24"/>
          <w:szCs w:val="24"/>
        </w:rPr>
        <w:t xml:space="preserve"> that the vast majority of people do the right thing and comply with their tax obligations.  This is largely because our tax system is fair and coherent.  It is expected that most offshore suppliers would comply with our rules for the same reasons</w:t>
      </w:r>
      <w:r w:rsidR="00257879">
        <w:rPr>
          <w:rFonts w:ascii="Times New Roman" w:hAnsi="Times New Roman"/>
          <w:sz w:val="24"/>
          <w:szCs w:val="24"/>
        </w:rPr>
        <w:t>, albeit there will be some differences in the enforcement mechanisms adopted.</w:t>
      </w:r>
    </w:p>
    <w:p w14:paraId="356C2F0B" w14:textId="77777777" w:rsidR="009764E3" w:rsidRPr="009764E3" w:rsidRDefault="009764E3" w:rsidP="005F721A">
      <w:pPr>
        <w:pStyle w:val="Bullet-list"/>
        <w:spacing w:after="0" w:line="240" w:lineRule="auto"/>
        <w:ind w:left="0" w:firstLine="0"/>
        <w:jc w:val="both"/>
        <w:rPr>
          <w:rFonts w:ascii="Times New Roman" w:hAnsi="Times New Roman"/>
          <w:sz w:val="24"/>
          <w:szCs w:val="24"/>
        </w:rPr>
      </w:pPr>
    </w:p>
    <w:p w14:paraId="125588B9" w14:textId="324FD318" w:rsidR="009764E3" w:rsidRDefault="009764E3"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9764E3">
        <w:rPr>
          <w:rFonts w:ascii="Times New Roman" w:hAnsi="Times New Roman"/>
          <w:sz w:val="24"/>
          <w:szCs w:val="24"/>
        </w:rPr>
        <w:t>When similar rules to those proposed in this document have been applied in other countries, offshore suppliers, particularly large international suppliers that account for the majority of cross-border services and intangibles, have demonstrated a willingness to comply.</w:t>
      </w:r>
      <w:r w:rsidR="00492326">
        <w:rPr>
          <w:rFonts w:ascii="Times New Roman" w:hAnsi="Times New Roman"/>
          <w:sz w:val="24"/>
          <w:szCs w:val="24"/>
        </w:rPr>
        <w:t xml:space="preserve"> </w:t>
      </w:r>
      <w:r w:rsidR="00BD28E6" w:rsidRPr="00E33D64">
        <w:rPr>
          <w:rFonts w:ascii="Times New Roman" w:hAnsi="Times New Roman"/>
          <w:sz w:val="24"/>
          <w:szCs w:val="24"/>
        </w:rPr>
        <w:t xml:space="preserve">For many of these </w:t>
      </w:r>
      <w:r w:rsidR="00BD28E6">
        <w:rPr>
          <w:rFonts w:ascii="Times New Roman" w:hAnsi="Times New Roman"/>
          <w:sz w:val="24"/>
          <w:szCs w:val="24"/>
        </w:rPr>
        <w:t>suppliers</w:t>
      </w:r>
      <w:r w:rsidR="00BD28E6" w:rsidRPr="00E33D64">
        <w:rPr>
          <w:rFonts w:ascii="Times New Roman" w:hAnsi="Times New Roman"/>
          <w:sz w:val="24"/>
          <w:szCs w:val="24"/>
        </w:rPr>
        <w:t xml:space="preserve">, failure to comply with their obligations would pose a significant risk to their reputation. </w:t>
      </w:r>
      <w:r w:rsidR="00BD28E6">
        <w:rPr>
          <w:rFonts w:ascii="Times New Roman" w:hAnsi="Times New Roman"/>
          <w:sz w:val="24"/>
          <w:szCs w:val="24"/>
        </w:rPr>
        <w:t>Furthermore, t</w:t>
      </w:r>
      <w:r w:rsidRPr="00492326">
        <w:rPr>
          <w:rFonts w:ascii="Times New Roman" w:hAnsi="Times New Roman"/>
          <w:sz w:val="24"/>
          <w:szCs w:val="24"/>
        </w:rPr>
        <w:t xml:space="preserve">o generate a </w:t>
      </w:r>
      <w:r w:rsidR="00362F57">
        <w:rPr>
          <w:rFonts w:ascii="Times New Roman" w:hAnsi="Times New Roman"/>
          <w:sz w:val="24"/>
          <w:szCs w:val="24"/>
        </w:rPr>
        <w:t xml:space="preserve">similar level of compliance for </w:t>
      </w:r>
      <w:r w:rsidRPr="00492326">
        <w:rPr>
          <w:rFonts w:ascii="Times New Roman" w:hAnsi="Times New Roman"/>
          <w:sz w:val="24"/>
          <w:szCs w:val="24"/>
        </w:rPr>
        <w:t>New Zealand</w:t>
      </w:r>
      <w:r w:rsidR="00362F57">
        <w:rPr>
          <w:rFonts w:ascii="Times New Roman" w:hAnsi="Times New Roman"/>
          <w:sz w:val="24"/>
          <w:szCs w:val="24"/>
        </w:rPr>
        <w:t>,</w:t>
      </w:r>
      <w:r w:rsidRPr="00492326">
        <w:rPr>
          <w:rFonts w:ascii="Times New Roman" w:hAnsi="Times New Roman"/>
          <w:sz w:val="24"/>
          <w:szCs w:val="24"/>
        </w:rPr>
        <w:t xml:space="preserve"> </w:t>
      </w:r>
      <w:r w:rsidR="00492326">
        <w:rPr>
          <w:rFonts w:ascii="Times New Roman" w:hAnsi="Times New Roman"/>
          <w:sz w:val="24"/>
          <w:szCs w:val="24"/>
        </w:rPr>
        <w:t>the option</w:t>
      </w:r>
      <w:r w:rsidRPr="00492326">
        <w:rPr>
          <w:rFonts w:ascii="Times New Roman" w:hAnsi="Times New Roman"/>
          <w:sz w:val="24"/>
          <w:szCs w:val="24"/>
        </w:rPr>
        <w:t xml:space="preserve"> adopt</w:t>
      </w:r>
      <w:r w:rsidR="00492326">
        <w:rPr>
          <w:rFonts w:ascii="Times New Roman" w:hAnsi="Times New Roman"/>
          <w:sz w:val="24"/>
          <w:szCs w:val="24"/>
        </w:rPr>
        <w:t>s</w:t>
      </w:r>
      <w:r w:rsidRPr="00492326">
        <w:rPr>
          <w:rFonts w:ascii="Times New Roman" w:hAnsi="Times New Roman"/>
          <w:sz w:val="24"/>
          <w:szCs w:val="24"/>
        </w:rPr>
        <w:t xml:space="preserve"> similar and consistent rules with the rules that apply in </w:t>
      </w:r>
      <w:r w:rsidR="00257879">
        <w:rPr>
          <w:rFonts w:ascii="Times New Roman" w:hAnsi="Times New Roman"/>
          <w:sz w:val="24"/>
          <w:szCs w:val="24"/>
        </w:rPr>
        <w:t xml:space="preserve">those </w:t>
      </w:r>
      <w:r w:rsidRPr="00492326">
        <w:rPr>
          <w:rFonts w:ascii="Times New Roman" w:hAnsi="Times New Roman"/>
          <w:sz w:val="24"/>
          <w:szCs w:val="24"/>
        </w:rPr>
        <w:t>other countries.</w:t>
      </w:r>
    </w:p>
    <w:p w14:paraId="766ADEDF" w14:textId="77777777" w:rsidR="0082791A" w:rsidRDefault="0082791A" w:rsidP="0082791A">
      <w:pPr>
        <w:pStyle w:val="Bullet-list"/>
        <w:spacing w:after="0" w:line="240" w:lineRule="auto"/>
        <w:ind w:left="0" w:firstLine="0"/>
        <w:jc w:val="both"/>
        <w:rPr>
          <w:rFonts w:ascii="Times New Roman" w:hAnsi="Times New Roman"/>
          <w:sz w:val="24"/>
          <w:szCs w:val="24"/>
        </w:rPr>
      </w:pPr>
    </w:p>
    <w:p w14:paraId="7CF4FDA8" w14:textId="77777777" w:rsidR="0082791A" w:rsidRPr="00362F57" w:rsidRDefault="0082791A" w:rsidP="00362F57">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There are a number of detailed design issues with this option. These design issues have a significant impact on the degree to which </w:t>
      </w:r>
      <w:r w:rsidR="00362F57">
        <w:rPr>
          <w:rFonts w:ascii="Times New Roman" w:hAnsi="Times New Roman"/>
          <w:sz w:val="24"/>
          <w:szCs w:val="24"/>
        </w:rPr>
        <w:t>this option meets</w:t>
      </w:r>
      <w:r>
        <w:rPr>
          <w:rFonts w:ascii="Times New Roman" w:hAnsi="Times New Roman"/>
          <w:sz w:val="24"/>
          <w:szCs w:val="24"/>
        </w:rPr>
        <w:t xml:space="preserve"> the objectives.</w:t>
      </w:r>
      <w:r w:rsidR="00362F57">
        <w:rPr>
          <w:rFonts w:ascii="Times New Roman" w:hAnsi="Times New Roman"/>
          <w:sz w:val="24"/>
          <w:szCs w:val="24"/>
        </w:rPr>
        <w:t xml:space="preserve"> </w:t>
      </w:r>
      <w:r w:rsidRPr="00362F57">
        <w:rPr>
          <w:rFonts w:ascii="Times New Roman" w:hAnsi="Times New Roman"/>
          <w:sz w:val="24"/>
          <w:szCs w:val="24"/>
        </w:rPr>
        <w:t xml:space="preserve">These detailed design issues are considered in the section “further analysis of option 1”. </w:t>
      </w:r>
    </w:p>
    <w:p w14:paraId="5DB3FE8E" w14:textId="77777777" w:rsidR="00AA0207" w:rsidRDefault="00AA0207" w:rsidP="005F721A">
      <w:pPr>
        <w:pStyle w:val="Bullet-list"/>
        <w:spacing w:after="0" w:line="240" w:lineRule="auto"/>
        <w:ind w:left="567" w:hanging="567"/>
        <w:jc w:val="both"/>
        <w:rPr>
          <w:rFonts w:ascii="Times New Roman" w:hAnsi="Times New Roman"/>
          <w:sz w:val="24"/>
          <w:szCs w:val="24"/>
        </w:rPr>
      </w:pPr>
    </w:p>
    <w:p w14:paraId="5D397669" w14:textId="77777777" w:rsidR="00AA0207" w:rsidRPr="00AA0207" w:rsidRDefault="00AA0207" w:rsidP="005F721A">
      <w:pPr>
        <w:pStyle w:val="Bullet-list"/>
        <w:spacing w:after="0" w:line="240" w:lineRule="auto"/>
        <w:ind w:left="567" w:hanging="567"/>
        <w:jc w:val="both"/>
        <w:rPr>
          <w:rFonts w:ascii="Times New Roman" w:hAnsi="Times New Roman"/>
          <w:b/>
          <w:sz w:val="24"/>
          <w:szCs w:val="24"/>
        </w:rPr>
      </w:pPr>
      <w:r w:rsidRPr="00AA0207">
        <w:rPr>
          <w:rFonts w:ascii="Times New Roman" w:hAnsi="Times New Roman"/>
          <w:b/>
          <w:sz w:val="24"/>
          <w:szCs w:val="24"/>
        </w:rPr>
        <w:t xml:space="preserve">Option </w:t>
      </w:r>
      <w:r w:rsidR="0082791A">
        <w:rPr>
          <w:rFonts w:ascii="Times New Roman" w:hAnsi="Times New Roman"/>
          <w:b/>
          <w:sz w:val="24"/>
          <w:szCs w:val="24"/>
        </w:rPr>
        <w:t>2</w:t>
      </w:r>
      <w:r w:rsidRPr="00AA0207">
        <w:rPr>
          <w:rFonts w:ascii="Times New Roman" w:hAnsi="Times New Roman"/>
          <w:b/>
          <w:sz w:val="24"/>
          <w:szCs w:val="24"/>
        </w:rPr>
        <w:t>: Reverse charge</w:t>
      </w:r>
    </w:p>
    <w:p w14:paraId="00807869" w14:textId="77777777" w:rsidR="00AA0207" w:rsidRDefault="00AA0207" w:rsidP="005F721A">
      <w:pPr>
        <w:pStyle w:val="Bullet-list"/>
        <w:spacing w:after="0" w:line="240" w:lineRule="auto"/>
        <w:ind w:left="567" w:hanging="567"/>
        <w:jc w:val="both"/>
        <w:rPr>
          <w:rFonts w:ascii="Times New Roman" w:hAnsi="Times New Roman"/>
          <w:sz w:val="24"/>
          <w:szCs w:val="24"/>
        </w:rPr>
      </w:pPr>
    </w:p>
    <w:p w14:paraId="5B97F496" w14:textId="71438F82" w:rsidR="00AA0207" w:rsidRPr="00A970CF" w:rsidRDefault="00A970CF"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A970CF">
        <w:rPr>
          <w:rFonts w:ascii="Times New Roman" w:hAnsi="Times New Roman"/>
          <w:sz w:val="24"/>
          <w:szCs w:val="24"/>
          <w:lang w:val="en-NZ"/>
        </w:rPr>
        <w:t>Under this option</w:t>
      </w:r>
      <w:r w:rsidR="00622496">
        <w:rPr>
          <w:rFonts w:ascii="Times New Roman" w:hAnsi="Times New Roman"/>
          <w:sz w:val="24"/>
          <w:szCs w:val="24"/>
          <w:lang w:val="en-NZ"/>
        </w:rPr>
        <w:t>,</w:t>
      </w:r>
      <w:r w:rsidRPr="00A970CF">
        <w:rPr>
          <w:rFonts w:ascii="Times New Roman" w:hAnsi="Times New Roman"/>
          <w:sz w:val="24"/>
          <w:szCs w:val="24"/>
          <w:lang w:val="en-NZ"/>
        </w:rPr>
        <w:t xml:space="preserve"> when a New Zealand consumer purchases services </w:t>
      </w:r>
      <w:r>
        <w:rPr>
          <w:rFonts w:ascii="Times New Roman" w:hAnsi="Times New Roman"/>
          <w:sz w:val="24"/>
          <w:szCs w:val="24"/>
          <w:lang w:val="en-NZ"/>
        </w:rPr>
        <w:t xml:space="preserve">or intangibles </w:t>
      </w:r>
      <w:r w:rsidRPr="00A970CF">
        <w:rPr>
          <w:rFonts w:ascii="Times New Roman" w:hAnsi="Times New Roman"/>
          <w:sz w:val="24"/>
          <w:szCs w:val="24"/>
          <w:lang w:val="en-NZ"/>
        </w:rPr>
        <w:t>from an offshore supplier, they would be required to return GST by m</w:t>
      </w:r>
      <w:r>
        <w:rPr>
          <w:rFonts w:ascii="Times New Roman" w:hAnsi="Times New Roman"/>
          <w:sz w:val="24"/>
          <w:szCs w:val="24"/>
          <w:lang w:val="en-NZ"/>
        </w:rPr>
        <w:t>aking a separate payment to Inland Revenue</w:t>
      </w:r>
      <w:r w:rsidR="005F721A">
        <w:rPr>
          <w:rFonts w:ascii="Times New Roman" w:hAnsi="Times New Roman"/>
          <w:sz w:val="24"/>
          <w:szCs w:val="24"/>
          <w:lang w:val="en-NZ"/>
        </w:rPr>
        <w:t xml:space="preserve"> or </w:t>
      </w:r>
      <w:r w:rsidR="009367AC">
        <w:rPr>
          <w:rFonts w:ascii="Times New Roman" w:hAnsi="Times New Roman"/>
          <w:sz w:val="24"/>
          <w:szCs w:val="24"/>
          <w:lang w:val="en-NZ"/>
        </w:rPr>
        <w:t xml:space="preserve">pay the GST as part of </w:t>
      </w:r>
      <w:proofErr w:type="spellStart"/>
      <w:r w:rsidR="005F721A">
        <w:rPr>
          <w:rFonts w:ascii="Times New Roman" w:hAnsi="Times New Roman"/>
          <w:sz w:val="24"/>
          <w:szCs w:val="24"/>
          <w:lang w:val="en-NZ"/>
        </w:rPr>
        <w:t>a</w:t>
      </w:r>
      <w:proofErr w:type="spellEnd"/>
      <w:r w:rsidR="005F721A">
        <w:rPr>
          <w:rFonts w:ascii="Times New Roman" w:hAnsi="Times New Roman"/>
          <w:sz w:val="24"/>
          <w:szCs w:val="24"/>
          <w:lang w:val="en-NZ"/>
        </w:rPr>
        <w:t xml:space="preserve"> end of year tax return</w:t>
      </w:r>
      <w:r>
        <w:rPr>
          <w:rFonts w:ascii="Times New Roman" w:hAnsi="Times New Roman"/>
          <w:sz w:val="24"/>
          <w:szCs w:val="24"/>
          <w:lang w:val="en-NZ"/>
        </w:rPr>
        <w:t xml:space="preserve"> </w:t>
      </w:r>
      <w:r w:rsidRPr="00A970CF">
        <w:rPr>
          <w:rFonts w:ascii="Times New Roman" w:hAnsi="Times New Roman"/>
          <w:sz w:val="24"/>
          <w:szCs w:val="24"/>
          <w:lang w:val="en-NZ"/>
        </w:rPr>
        <w:t>(as opposed to the GST being included in the price paid). This is known as a ‘reverse charge’.</w:t>
      </w:r>
      <w:r w:rsidR="006F4450" w:rsidRPr="006F4450">
        <w:rPr>
          <w:rFonts w:ascii="Times New Roman" w:hAnsi="Times New Roman"/>
          <w:sz w:val="24"/>
          <w:szCs w:val="24"/>
        </w:rPr>
        <w:t xml:space="preserve"> </w:t>
      </w:r>
      <w:r w:rsidR="006F4450">
        <w:rPr>
          <w:rFonts w:ascii="Times New Roman" w:hAnsi="Times New Roman"/>
          <w:sz w:val="24"/>
          <w:szCs w:val="24"/>
        </w:rPr>
        <w:t>This option therefore primarily impacts New Zealand resident consumers that purchases services and intangibles from offshore suppliers.</w:t>
      </w:r>
    </w:p>
    <w:p w14:paraId="6F8F1148" w14:textId="77777777" w:rsidR="00A970CF" w:rsidRPr="00A970CF" w:rsidRDefault="00A970CF" w:rsidP="005F721A">
      <w:pPr>
        <w:pStyle w:val="Bullet-list"/>
        <w:spacing w:after="0" w:line="240" w:lineRule="auto"/>
        <w:ind w:left="0" w:firstLine="0"/>
        <w:jc w:val="both"/>
        <w:rPr>
          <w:rFonts w:ascii="Times New Roman" w:hAnsi="Times New Roman"/>
          <w:sz w:val="24"/>
          <w:szCs w:val="24"/>
        </w:rPr>
      </w:pPr>
    </w:p>
    <w:p w14:paraId="5E96E6F3" w14:textId="2BB47E70" w:rsidR="001E6EB6" w:rsidRPr="001E6EB6" w:rsidRDefault="00A970CF"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A970CF">
        <w:rPr>
          <w:rFonts w:ascii="Times New Roman" w:hAnsi="Times New Roman"/>
          <w:sz w:val="24"/>
          <w:szCs w:val="24"/>
          <w:lang w:val="en-NZ"/>
        </w:rPr>
        <w:t xml:space="preserve">New Zealand already has a </w:t>
      </w:r>
      <w:r>
        <w:rPr>
          <w:rFonts w:ascii="Times New Roman" w:hAnsi="Times New Roman"/>
          <w:sz w:val="24"/>
          <w:szCs w:val="24"/>
          <w:lang w:val="en-NZ"/>
        </w:rPr>
        <w:t xml:space="preserve">limited </w:t>
      </w:r>
      <w:r w:rsidRPr="00A970CF">
        <w:rPr>
          <w:rFonts w:ascii="Times New Roman" w:hAnsi="Times New Roman"/>
          <w:sz w:val="24"/>
          <w:szCs w:val="24"/>
          <w:lang w:val="en-NZ"/>
        </w:rPr>
        <w:t xml:space="preserve">reverse charge rule </w:t>
      </w:r>
      <w:r w:rsidR="00257879">
        <w:rPr>
          <w:rFonts w:ascii="Times New Roman" w:hAnsi="Times New Roman"/>
          <w:sz w:val="24"/>
          <w:szCs w:val="24"/>
          <w:lang w:val="en-NZ"/>
        </w:rPr>
        <w:t>for</w:t>
      </w:r>
      <w:r w:rsidRPr="00A970CF">
        <w:rPr>
          <w:rFonts w:ascii="Times New Roman" w:hAnsi="Times New Roman"/>
          <w:sz w:val="24"/>
          <w:szCs w:val="24"/>
          <w:lang w:val="en-NZ"/>
        </w:rPr>
        <w:t xml:space="preserve"> services</w:t>
      </w:r>
      <w:r>
        <w:rPr>
          <w:rFonts w:ascii="Times New Roman" w:hAnsi="Times New Roman"/>
          <w:sz w:val="24"/>
          <w:szCs w:val="24"/>
          <w:lang w:val="en-NZ"/>
        </w:rPr>
        <w:t xml:space="preserve"> </w:t>
      </w:r>
      <w:r w:rsidR="001E6EB6">
        <w:rPr>
          <w:rFonts w:ascii="Times New Roman" w:hAnsi="Times New Roman"/>
          <w:sz w:val="24"/>
          <w:szCs w:val="24"/>
          <w:lang w:val="en-NZ"/>
        </w:rPr>
        <w:t xml:space="preserve">purchased </w:t>
      </w:r>
      <w:r>
        <w:rPr>
          <w:rFonts w:ascii="Times New Roman" w:hAnsi="Times New Roman"/>
          <w:sz w:val="24"/>
          <w:szCs w:val="24"/>
          <w:lang w:val="en-NZ"/>
        </w:rPr>
        <w:t xml:space="preserve">by </w:t>
      </w:r>
      <w:r w:rsidR="009367AC">
        <w:rPr>
          <w:rFonts w:ascii="Times New Roman" w:hAnsi="Times New Roman"/>
          <w:sz w:val="24"/>
          <w:szCs w:val="24"/>
          <w:lang w:val="en-NZ"/>
        </w:rPr>
        <w:t xml:space="preserve">New Zealand </w:t>
      </w:r>
      <w:r>
        <w:rPr>
          <w:rFonts w:ascii="Times New Roman" w:hAnsi="Times New Roman"/>
          <w:sz w:val="24"/>
          <w:szCs w:val="24"/>
          <w:lang w:val="en-NZ"/>
        </w:rPr>
        <w:t xml:space="preserve">businesses </w:t>
      </w:r>
      <w:r w:rsidR="001E6EB6">
        <w:rPr>
          <w:rFonts w:ascii="Times New Roman" w:hAnsi="Times New Roman"/>
          <w:sz w:val="24"/>
          <w:szCs w:val="24"/>
          <w:lang w:val="en-NZ"/>
        </w:rPr>
        <w:t>from non-residents</w:t>
      </w:r>
      <w:r w:rsidR="00257879">
        <w:rPr>
          <w:rFonts w:ascii="Times New Roman" w:hAnsi="Times New Roman"/>
          <w:sz w:val="24"/>
          <w:szCs w:val="24"/>
          <w:lang w:val="en-NZ"/>
        </w:rPr>
        <w:t xml:space="preserve">. It </w:t>
      </w:r>
      <w:r>
        <w:rPr>
          <w:rFonts w:ascii="Times New Roman" w:hAnsi="Times New Roman"/>
          <w:sz w:val="24"/>
          <w:szCs w:val="24"/>
          <w:lang w:val="en-NZ"/>
        </w:rPr>
        <w:t xml:space="preserve">applies </w:t>
      </w:r>
      <w:r w:rsidRPr="00A970CF">
        <w:rPr>
          <w:rFonts w:ascii="Times New Roman" w:hAnsi="Times New Roman"/>
          <w:sz w:val="24"/>
          <w:szCs w:val="24"/>
          <w:lang w:val="en-NZ"/>
        </w:rPr>
        <w:t>to the extent the services relate to</w:t>
      </w:r>
      <w:r>
        <w:rPr>
          <w:rFonts w:ascii="Times New Roman" w:hAnsi="Times New Roman"/>
          <w:sz w:val="24"/>
          <w:szCs w:val="24"/>
          <w:lang w:val="en-NZ"/>
        </w:rPr>
        <w:t xml:space="preserve"> 5% or more </w:t>
      </w:r>
      <w:r w:rsidR="00257879">
        <w:rPr>
          <w:rFonts w:ascii="Times New Roman" w:hAnsi="Times New Roman"/>
          <w:sz w:val="24"/>
          <w:szCs w:val="24"/>
          <w:lang w:val="en-NZ"/>
        </w:rPr>
        <w:t xml:space="preserve">to </w:t>
      </w:r>
      <w:r w:rsidRPr="00A970CF">
        <w:rPr>
          <w:rFonts w:ascii="Times New Roman" w:hAnsi="Times New Roman"/>
          <w:sz w:val="24"/>
          <w:szCs w:val="24"/>
          <w:lang w:val="en-NZ"/>
        </w:rPr>
        <w:t xml:space="preserve">non-taxable activities, such as </w:t>
      </w:r>
      <w:r w:rsidR="00B845E8">
        <w:rPr>
          <w:rFonts w:ascii="Times New Roman" w:hAnsi="Times New Roman"/>
          <w:sz w:val="24"/>
          <w:szCs w:val="24"/>
          <w:lang w:val="en-NZ"/>
        </w:rPr>
        <w:t>those of a financial institution</w:t>
      </w:r>
      <w:r>
        <w:rPr>
          <w:rFonts w:ascii="Times New Roman" w:hAnsi="Times New Roman"/>
          <w:sz w:val="24"/>
          <w:szCs w:val="24"/>
          <w:lang w:val="en-NZ"/>
        </w:rPr>
        <w:t>.</w:t>
      </w:r>
    </w:p>
    <w:p w14:paraId="5E26D26A" w14:textId="77777777" w:rsidR="001E6EB6" w:rsidRPr="001E6EB6" w:rsidRDefault="001E6EB6" w:rsidP="005F721A">
      <w:pPr>
        <w:pStyle w:val="Bullet-list"/>
        <w:spacing w:after="0" w:line="240" w:lineRule="auto"/>
        <w:ind w:left="0" w:firstLine="0"/>
        <w:jc w:val="both"/>
        <w:rPr>
          <w:rFonts w:ascii="Times New Roman" w:hAnsi="Times New Roman"/>
          <w:sz w:val="24"/>
          <w:szCs w:val="24"/>
        </w:rPr>
      </w:pPr>
    </w:p>
    <w:p w14:paraId="12631A0E" w14:textId="77777777" w:rsidR="00A970CF" w:rsidRDefault="001E6EB6"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lang w:val="en-NZ"/>
        </w:rPr>
        <w:t>Under this option the existing reverse charge would be expanded to apply to individual consumers that purchase services and intangibles from offshore suppliers.</w:t>
      </w:r>
    </w:p>
    <w:p w14:paraId="7EEB53FD" w14:textId="77777777" w:rsidR="00A970CF" w:rsidRDefault="00A970CF" w:rsidP="005F721A">
      <w:pPr>
        <w:pStyle w:val="Bullet-list"/>
        <w:spacing w:after="0" w:line="240" w:lineRule="auto"/>
        <w:jc w:val="both"/>
        <w:rPr>
          <w:rFonts w:ascii="Times New Roman" w:hAnsi="Times New Roman"/>
          <w:sz w:val="24"/>
          <w:szCs w:val="24"/>
        </w:rPr>
      </w:pPr>
    </w:p>
    <w:p w14:paraId="25020700" w14:textId="77777777" w:rsidR="00A970CF" w:rsidRDefault="001E6EB6"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1E6EB6">
        <w:rPr>
          <w:rFonts w:ascii="Times New Roman" w:hAnsi="Times New Roman"/>
          <w:sz w:val="24"/>
          <w:szCs w:val="24"/>
          <w:lang w:val="en-NZ"/>
        </w:rPr>
        <w:t>Like New Zealand, other countries (particularly in the EU) a</w:t>
      </w:r>
      <w:r w:rsidR="00A970CF" w:rsidRPr="001E6EB6">
        <w:rPr>
          <w:rFonts w:ascii="Times New Roman" w:hAnsi="Times New Roman"/>
          <w:sz w:val="24"/>
          <w:szCs w:val="24"/>
          <w:lang w:val="en-NZ"/>
        </w:rPr>
        <w:t>ppl</w:t>
      </w:r>
      <w:r w:rsidRPr="001E6EB6">
        <w:rPr>
          <w:rFonts w:ascii="Times New Roman" w:hAnsi="Times New Roman"/>
          <w:sz w:val="24"/>
          <w:szCs w:val="24"/>
          <w:lang w:val="en-NZ"/>
        </w:rPr>
        <w:t>y</w:t>
      </w:r>
      <w:r w:rsidR="00A970CF" w:rsidRPr="001E6EB6">
        <w:rPr>
          <w:rFonts w:ascii="Times New Roman" w:hAnsi="Times New Roman"/>
          <w:sz w:val="24"/>
          <w:szCs w:val="24"/>
          <w:lang w:val="en-NZ"/>
        </w:rPr>
        <w:t xml:space="preserve"> reverse </w:t>
      </w:r>
      <w:r w:rsidRPr="001E6EB6">
        <w:rPr>
          <w:rFonts w:ascii="Times New Roman" w:hAnsi="Times New Roman"/>
          <w:sz w:val="24"/>
          <w:szCs w:val="24"/>
          <w:lang w:val="en-NZ"/>
        </w:rPr>
        <w:t xml:space="preserve">charges </w:t>
      </w:r>
      <w:r w:rsidR="00A970CF" w:rsidRPr="001E6EB6">
        <w:rPr>
          <w:rFonts w:ascii="Times New Roman" w:hAnsi="Times New Roman"/>
          <w:sz w:val="24"/>
          <w:szCs w:val="24"/>
          <w:lang w:val="en-NZ"/>
        </w:rPr>
        <w:t xml:space="preserve">as the primary collection method in relation to business-to-business offshore supplies of services and digital goods. </w:t>
      </w:r>
      <w:r w:rsidRPr="001E6EB6">
        <w:rPr>
          <w:rFonts w:ascii="Times New Roman" w:hAnsi="Times New Roman"/>
          <w:sz w:val="24"/>
          <w:szCs w:val="24"/>
          <w:lang w:val="en-NZ"/>
        </w:rPr>
        <w:t xml:space="preserve"> </w:t>
      </w:r>
      <w:r w:rsidR="00A970CF" w:rsidRPr="001E6EB6">
        <w:rPr>
          <w:rFonts w:ascii="Times New Roman" w:hAnsi="Times New Roman"/>
          <w:sz w:val="24"/>
          <w:szCs w:val="24"/>
          <w:lang w:val="en-NZ"/>
        </w:rPr>
        <w:t>Canada also uses this approach to collect GST on offshore supplies of services to non-registered individuals. The tax is due by the end of the month following the calendar month in which the amount for the services was paid or became payable.</w:t>
      </w:r>
    </w:p>
    <w:p w14:paraId="59D348AA" w14:textId="77777777" w:rsidR="00AA0207" w:rsidRDefault="00AA0207" w:rsidP="00BB03E5">
      <w:pPr>
        <w:pStyle w:val="Bullet-list"/>
        <w:spacing w:after="0" w:line="240" w:lineRule="auto"/>
        <w:ind w:left="567" w:hanging="567"/>
        <w:rPr>
          <w:rFonts w:ascii="Times New Roman" w:hAnsi="Times New Roman"/>
          <w:sz w:val="24"/>
          <w:szCs w:val="24"/>
        </w:rPr>
      </w:pPr>
    </w:p>
    <w:p w14:paraId="19978E68" w14:textId="77777777" w:rsidR="005F721A" w:rsidRPr="00ED1C8D" w:rsidRDefault="005F721A" w:rsidP="005F721A">
      <w:pPr>
        <w:pStyle w:val="Bullet-list"/>
        <w:spacing w:after="0" w:line="240" w:lineRule="auto"/>
        <w:jc w:val="both"/>
        <w:rPr>
          <w:rFonts w:ascii="Times New Roman" w:hAnsi="Times New Roman"/>
          <w:b/>
          <w:i/>
          <w:sz w:val="24"/>
          <w:szCs w:val="24"/>
        </w:rPr>
      </w:pPr>
      <w:r w:rsidRPr="00ED1C8D">
        <w:rPr>
          <w:rFonts w:ascii="Times New Roman" w:hAnsi="Times New Roman"/>
          <w:b/>
          <w:i/>
          <w:sz w:val="24"/>
          <w:szCs w:val="24"/>
        </w:rPr>
        <w:t>Certainty and simplicity</w:t>
      </w:r>
    </w:p>
    <w:p w14:paraId="663EEDCB" w14:textId="77777777" w:rsidR="005F721A" w:rsidRDefault="005F721A" w:rsidP="00BB03E5">
      <w:pPr>
        <w:pStyle w:val="Bullet-list"/>
        <w:spacing w:after="0" w:line="240" w:lineRule="auto"/>
        <w:ind w:left="567" w:hanging="567"/>
        <w:rPr>
          <w:rFonts w:ascii="Times New Roman" w:hAnsi="Times New Roman"/>
          <w:sz w:val="24"/>
          <w:szCs w:val="24"/>
        </w:rPr>
      </w:pPr>
    </w:p>
    <w:p w14:paraId="17355F90" w14:textId="77777777" w:rsidR="001101B8" w:rsidRDefault="001101B8" w:rsidP="001101B8">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5F721A">
        <w:rPr>
          <w:rFonts w:ascii="Times New Roman" w:hAnsi="Times New Roman"/>
          <w:sz w:val="24"/>
          <w:szCs w:val="24"/>
          <w:lang w:val="en-NZ"/>
        </w:rPr>
        <w:t xml:space="preserve">The main disadvantage </w:t>
      </w:r>
      <w:r>
        <w:rPr>
          <w:rFonts w:ascii="Times New Roman" w:hAnsi="Times New Roman"/>
          <w:sz w:val="24"/>
          <w:szCs w:val="24"/>
          <w:lang w:val="en-NZ"/>
        </w:rPr>
        <w:t>with</w:t>
      </w:r>
      <w:r w:rsidRPr="005F721A">
        <w:rPr>
          <w:rFonts w:ascii="Times New Roman" w:hAnsi="Times New Roman"/>
          <w:sz w:val="24"/>
          <w:szCs w:val="24"/>
          <w:lang w:val="en-NZ"/>
        </w:rPr>
        <w:t xml:space="preserve"> this option is that a large number of </w:t>
      </w:r>
      <w:r>
        <w:rPr>
          <w:rFonts w:ascii="Times New Roman" w:hAnsi="Times New Roman"/>
          <w:sz w:val="24"/>
          <w:szCs w:val="24"/>
          <w:lang w:val="en-NZ"/>
        </w:rPr>
        <w:t>taxpayers</w:t>
      </w:r>
      <w:r w:rsidRPr="005F721A">
        <w:rPr>
          <w:rFonts w:ascii="Times New Roman" w:hAnsi="Times New Roman"/>
          <w:sz w:val="24"/>
          <w:szCs w:val="24"/>
          <w:lang w:val="en-NZ"/>
        </w:rPr>
        <w:t xml:space="preserve"> will be required to return GST</w:t>
      </w:r>
      <w:r>
        <w:rPr>
          <w:rFonts w:ascii="Times New Roman" w:hAnsi="Times New Roman"/>
          <w:sz w:val="24"/>
          <w:szCs w:val="24"/>
          <w:lang w:val="en-NZ"/>
        </w:rPr>
        <w:t>, as compared to options 1 and 3 where a comparably small number of offshore suppliers or financial institutions would be required to return the GST.</w:t>
      </w:r>
      <w:r w:rsidR="007F6C6F">
        <w:rPr>
          <w:rFonts w:ascii="Times New Roman" w:hAnsi="Times New Roman"/>
          <w:sz w:val="24"/>
          <w:szCs w:val="24"/>
          <w:lang w:val="en-NZ"/>
        </w:rPr>
        <w:t xml:space="preserve"> The amount of GST paid by each consumer is likely to be relatively small.</w:t>
      </w:r>
    </w:p>
    <w:p w14:paraId="759FD07B" w14:textId="77777777" w:rsidR="001101B8" w:rsidRDefault="001101B8" w:rsidP="001101B8">
      <w:pPr>
        <w:pStyle w:val="Bullet-list"/>
        <w:spacing w:after="0" w:line="240" w:lineRule="auto"/>
        <w:ind w:left="0" w:firstLine="0"/>
        <w:jc w:val="both"/>
        <w:rPr>
          <w:rFonts w:ascii="Times New Roman" w:hAnsi="Times New Roman"/>
          <w:sz w:val="24"/>
          <w:szCs w:val="24"/>
          <w:lang w:val="en-NZ"/>
        </w:rPr>
      </w:pPr>
    </w:p>
    <w:p w14:paraId="0F0DEF3B" w14:textId="46634E00" w:rsidR="005F721A" w:rsidRPr="001101B8" w:rsidRDefault="001101B8" w:rsidP="001101B8">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1101B8">
        <w:rPr>
          <w:rFonts w:ascii="Times New Roman" w:hAnsi="Times New Roman"/>
          <w:sz w:val="24"/>
          <w:szCs w:val="24"/>
          <w:lang w:val="en-NZ"/>
        </w:rPr>
        <w:t>Given this option has the potential to impact a large number of consumers</w:t>
      </w:r>
      <w:r>
        <w:rPr>
          <w:rFonts w:ascii="Times New Roman" w:hAnsi="Times New Roman"/>
          <w:sz w:val="24"/>
          <w:szCs w:val="24"/>
          <w:lang w:val="en-NZ"/>
        </w:rPr>
        <w:t xml:space="preserve"> that are unfamiliar with return</w:t>
      </w:r>
      <w:r w:rsidR="009367AC">
        <w:rPr>
          <w:rFonts w:ascii="Times New Roman" w:hAnsi="Times New Roman"/>
          <w:sz w:val="24"/>
          <w:szCs w:val="24"/>
          <w:lang w:val="en-NZ"/>
        </w:rPr>
        <w:t>ing</w:t>
      </w:r>
      <w:r>
        <w:rPr>
          <w:rFonts w:ascii="Times New Roman" w:hAnsi="Times New Roman"/>
          <w:sz w:val="24"/>
          <w:szCs w:val="24"/>
          <w:lang w:val="en-NZ"/>
        </w:rPr>
        <w:t xml:space="preserve"> GST there is likely to be less certainty as to how the GST rules apply. </w:t>
      </w:r>
      <w:r w:rsidRPr="001101B8">
        <w:rPr>
          <w:rFonts w:ascii="Times New Roman" w:hAnsi="Times New Roman"/>
          <w:sz w:val="24"/>
          <w:szCs w:val="24"/>
          <w:lang w:val="en-NZ"/>
        </w:rPr>
        <w:t xml:space="preserve">Consumers would also be required to identify </w:t>
      </w:r>
      <w:r w:rsidR="00B845E8">
        <w:rPr>
          <w:rFonts w:ascii="Times New Roman" w:hAnsi="Times New Roman"/>
          <w:sz w:val="24"/>
          <w:szCs w:val="24"/>
          <w:lang w:val="en-NZ"/>
        </w:rPr>
        <w:t>whether or not</w:t>
      </w:r>
      <w:r w:rsidRPr="001101B8">
        <w:rPr>
          <w:rFonts w:ascii="Times New Roman" w:hAnsi="Times New Roman"/>
          <w:sz w:val="24"/>
          <w:szCs w:val="24"/>
          <w:lang w:val="en-NZ"/>
        </w:rPr>
        <w:t xml:space="preserve"> they are purchasing the service from</w:t>
      </w:r>
      <w:r w:rsidR="00B845E8">
        <w:rPr>
          <w:rFonts w:ascii="Times New Roman" w:hAnsi="Times New Roman"/>
          <w:sz w:val="24"/>
          <w:szCs w:val="24"/>
          <w:lang w:val="en-NZ"/>
        </w:rPr>
        <w:t xml:space="preserve"> a New Zealand resident supplier</w:t>
      </w:r>
      <w:r w:rsidRPr="001101B8">
        <w:rPr>
          <w:rFonts w:ascii="Times New Roman" w:hAnsi="Times New Roman"/>
          <w:sz w:val="24"/>
          <w:szCs w:val="24"/>
          <w:lang w:val="en-NZ"/>
        </w:rPr>
        <w:t xml:space="preserve"> and only return GST on services received by non-resident suppliers.</w:t>
      </w:r>
    </w:p>
    <w:p w14:paraId="249F5751" w14:textId="77777777" w:rsidR="005F721A" w:rsidRDefault="005F721A" w:rsidP="00BB03E5">
      <w:pPr>
        <w:pStyle w:val="Bullet-list"/>
        <w:spacing w:after="0" w:line="240" w:lineRule="auto"/>
        <w:ind w:left="567" w:hanging="567"/>
        <w:rPr>
          <w:rFonts w:ascii="Times New Roman" w:hAnsi="Times New Roman"/>
          <w:sz w:val="24"/>
          <w:szCs w:val="24"/>
        </w:rPr>
      </w:pPr>
    </w:p>
    <w:p w14:paraId="0FE590B3" w14:textId="77777777" w:rsidR="005F721A" w:rsidRPr="00726D27" w:rsidRDefault="005F721A" w:rsidP="000F15EF">
      <w:pPr>
        <w:pStyle w:val="Bullet-list"/>
        <w:keepNext/>
        <w:tabs>
          <w:tab w:val="num" w:pos="567"/>
        </w:tabs>
        <w:spacing w:after="0" w:line="240" w:lineRule="auto"/>
        <w:ind w:left="0" w:firstLine="0"/>
        <w:jc w:val="both"/>
        <w:rPr>
          <w:rFonts w:ascii="Times New Roman" w:hAnsi="Times New Roman"/>
          <w:b/>
          <w:i/>
          <w:sz w:val="24"/>
          <w:szCs w:val="24"/>
          <w:lang w:val="en-GB"/>
        </w:rPr>
      </w:pPr>
      <w:r w:rsidRPr="00726D27">
        <w:rPr>
          <w:rFonts w:ascii="Times New Roman" w:hAnsi="Times New Roman"/>
          <w:b/>
          <w:i/>
          <w:sz w:val="24"/>
          <w:szCs w:val="24"/>
          <w:lang w:val="en-GB"/>
        </w:rPr>
        <w:t>Efficiency of compliance and administration</w:t>
      </w:r>
    </w:p>
    <w:p w14:paraId="74ECE76F" w14:textId="77777777" w:rsidR="005F721A" w:rsidRDefault="005F721A" w:rsidP="000F15EF">
      <w:pPr>
        <w:pStyle w:val="Bullet-list"/>
        <w:keepNext/>
        <w:spacing w:after="0" w:line="240" w:lineRule="auto"/>
        <w:ind w:left="567" w:hanging="567"/>
        <w:rPr>
          <w:rFonts w:ascii="Times New Roman" w:hAnsi="Times New Roman"/>
          <w:sz w:val="24"/>
          <w:szCs w:val="24"/>
        </w:rPr>
      </w:pPr>
    </w:p>
    <w:p w14:paraId="3F77874F" w14:textId="4B85D675" w:rsidR="005F721A" w:rsidRPr="001101B8" w:rsidRDefault="001101B8" w:rsidP="000F15EF">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As discussed above, this option would impose</w:t>
      </w:r>
      <w:r w:rsidR="005F721A">
        <w:rPr>
          <w:rFonts w:ascii="Times New Roman" w:hAnsi="Times New Roman"/>
          <w:sz w:val="24"/>
          <w:szCs w:val="24"/>
          <w:lang w:val="en-NZ"/>
        </w:rPr>
        <w:t xml:space="preserve"> compliance costs on a relatively large group </w:t>
      </w:r>
      <w:r>
        <w:rPr>
          <w:rFonts w:ascii="Times New Roman" w:hAnsi="Times New Roman"/>
          <w:sz w:val="24"/>
          <w:szCs w:val="24"/>
          <w:lang w:val="en-NZ"/>
        </w:rPr>
        <w:t xml:space="preserve">of </w:t>
      </w:r>
      <w:r w:rsidR="005F721A">
        <w:rPr>
          <w:rFonts w:ascii="Times New Roman" w:hAnsi="Times New Roman"/>
          <w:sz w:val="24"/>
          <w:szCs w:val="24"/>
          <w:lang w:val="en-NZ"/>
        </w:rPr>
        <w:t>consumers that purchase se</w:t>
      </w:r>
      <w:r>
        <w:rPr>
          <w:rFonts w:ascii="Times New Roman" w:hAnsi="Times New Roman"/>
          <w:sz w:val="24"/>
          <w:szCs w:val="24"/>
          <w:lang w:val="en-NZ"/>
        </w:rPr>
        <w:t xml:space="preserve">rvices from offshore suppliers for relatively small amounts of GST. </w:t>
      </w:r>
      <w:r w:rsidR="005F721A" w:rsidRPr="001101B8">
        <w:rPr>
          <w:rFonts w:ascii="Times New Roman" w:hAnsi="Times New Roman"/>
          <w:sz w:val="24"/>
          <w:szCs w:val="24"/>
          <w:lang w:val="en-NZ"/>
        </w:rPr>
        <w:t>Given that a large proportion of individual taxpayers are currently not required to file tax returns this option has the potential to require a large number of taxpayers to file returns.</w:t>
      </w:r>
      <w:r w:rsidR="002E584F" w:rsidRPr="001101B8">
        <w:rPr>
          <w:rFonts w:ascii="Times New Roman" w:hAnsi="Times New Roman"/>
          <w:sz w:val="24"/>
          <w:szCs w:val="24"/>
          <w:lang w:val="en-NZ"/>
        </w:rPr>
        <w:t xml:space="preserve"> </w:t>
      </w:r>
    </w:p>
    <w:p w14:paraId="678EB072" w14:textId="77777777" w:rsidR="005F721A" w:rsidRDefault="005F721A" w:rsidP="005F721A">
      <w:pPr>
        <w:pStyle w:val="Bullet-list"/>
        <w:spacing w:after="0" w:line="240" w:lineRule="auto"/>
        <w:ind w:left="0" w:firstLine="0"/>
        <w:jc w:val="both"/>
        <w:rPr>
          <w:rFonts w:ascii="Times New Roman" w:hAnsi="Times New Roman"/>
          <w:sz w:val="24"/>
          <w:szCs w:val="24"/>
          <w:lang w:val="en-NZ"/>
        </w:rPr>
      </w:pPr>
    </w:p>
    <w:p w14:paraId="681401F1" w14:textId="642C4AB3" w:rsidR="005F721A" w:rsidRDefault="005F721A" w:rsidP="005F721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 Administrative costs are also likely</w:t>
      </w:r>
      <w:r w:rsidR="002E584F">
        <w:rPr>
          <w:rFonts w:ascii="Times New Roman" w:hAnsi="Times New Roman"/>
          <w:sz w:val="24"/>
          <w:szCs w:val="24"/>
          <w:lang w:val="en-NZ"/>
        </w:rPr>
        <w:t xml:space="preserve"> to be significant as this option would involve the development of a new system of receiving GST payments. Either a new tax form would need to be developed or existing end of year tax returns would need to be amended. Resources would also need to be allocated to ensuring consumers </w:t>
      </w:r>
      <w:r w:rsidR="00B845E8">
        <w:rPr>
          <w:rFonts w:ascii="Times New Roman" w:hAnsi="Times New Roman"/>
          <w:sz w:val="24"/>
          <w:szCs w:val="24"/>
          <w:lang w:val="en-NZ"/>
        </w:rPr>
        <w:t xml:space="preserve">complied </w:t>
      </w:r>
      <w:r w:rsidR="007F6C6F">
        <w:rPr>
          <w:rFonts w:ascii="Times New Roman" w:hAnsi="Times New Roman"/>
          <w:sz w:val="24"/>
          <w:szCs w:val="24"/>
          <w:lang w:val="en-NZ"/>
        </w:rPr>
        <w:t xml:space="preserve">with their tax obligations, </w:t>
      </w:r>
      <w:r w:rsidR="00B845E8">
        <w:rPr>
          <w:rFonts w:ascii="Times New Roman" w:hAnsi="Times New Roman"/>
          <w:sz w:val="24"/>
          <w:szCs w:val="24"/>
          <w:lang w:val="en-NZ"/>
        </w:rPr>
        <w:t>by</w:t>
      </w:r>
      <w:r w:rsidR="007F6C6F">
        <w:rPr>
          <w:rFonts w:ascii="Times New Roman" w:hAnsi="Times New Roman"/>
          <w:sz w:val="24"/>
          <w:szCs w:val="24"/>
          <w:lang w:val="en-NZ"/>
        </w:rPr>
        <w:t xml:space="preserve"> </w:t>
      </w:r>
      <w:r w:rsidR="007F6C6F" w:rsidRPr="007F6C6F">
        <w:rPr>
          <w:rFonts w:ascii="Times New Roman" w:hAnsi="Times New Roman"/>
          <w:sz w:val="24"/>
          <w:szCs w:val="24"/>
          <w:lang w:val="en-GB"/>
        </w:rPr>
        <w:t>promoting awareness, providing guidance materials and dealing with enquiries, errors and refunds.</w:t>
      </w:r>
    </w:p>
    <w:p w14:paraId="629B7668" w14:textId="77777777" w:rsidR="00C9640D" w:rsidRDefault="00C9640D" w:rsidP="005F721A">
      <w:pPr>
        <w:pStyle w:val="Bullet-list"/>
        <w:spacing w:after="0" w:line="240" w:lineRule="auto"/>
        <w:ind w:left="0" w:firstLine="0"/>
        <w:jc w:val="both"/>
        <w:rPr>
          <w:rFonts w:ascii="Times New Roman" w:hAnsi="Times New Roman"/>
          <w:b/>
          <w:i/>
          <w:sz w:val="24"/>
          <w:szCs w:val="24"/>
        </w:rPr>
      </w:pPr>
    </w:p>
    <w:p w14:paraId="011A574A" w14:textId="77777777" w:rsidR="005F721A" w:rsidRPr="00726D27" w:rsidRDefault="005F721A" w:rsidP="00C9640D">
      <w:pPr>
        <w:pStyle w:val="Bullet-list"/>
        <w:keepNext/>
        <w:spacing w:after="0" w:line="240" w:lineRule="auto"/>
        <w:ind w:left="0" w:firstLine="0"/>
        <w:jc w:val="both"/>
        <w:rPr>
          <w:rFonts w:ascii="Times New Roman" w:hAnsi="Times New Roman"/>
          <w:i/>
          <w:sz w:val="24"/>
          <w:szCs w:val="24"/>
        </w:rPr>
      </w:pPr>
      <w:r w:rsidRPr="00726D27">
        <w:rPr>
          <w:rFonts w:ascii="Times New Roman" w:hAnsi="Times New Roman"/>
          <w:b/>
          <w:i/>
          <w:sz w:val="24"/>
          <w:szCs w:val="24"/>
        </w:rPr>
        <w:t>Neutrality</w:t>
      </w:r>
    </w:p>
    <w:p w14:paraId="6A936DC0" w14:textId="77777777" w:rsidR="005F721A" w:rsidRDefault="005F721A" w:rsidP="00C9640D">
      <w:pPr>
        <w:pStyle w:val="Bullet-list"/>
        <w:keepNext/>
        <w:spacing w:after="0" w:line="240" w:lineRule="auto"/>
        <w:ind w:left="567" w:hanging="567"/>
        <w:rPr>
          <w:rFonts w:ascii="Times New Roman" w:hAnsi="Times New Roman"/>
          <w:sz w:val="24"/>
          <w:szCs w:val="24"/>
        </w:rPr>
      </w:pPr>
    </w:p>
    <w:p w14:paraId="34E63D9D" w14:textId="4954D4FD" w:rsidR="005F721A" w:rsidRPr="002E584F" w:rsidRDefault="002E584F" w:rsidP="00C9640D">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2E584F">
        <w:rPr>
          <w:rFonts w:ascii="Times New Roman" w:hAnsi="Times New Roman"/>
          <w:sz w:val="24"/>
          <w:szCs w:val="24"/>
          <w:lang w:val="en-NZ"/>
        </w:rPr>
        <w:t xml:space="preserve">If applied consistently and successfully, GST would be returned on both services provided domestically </w:t>
      </w:r>
      <w:r>
        <w:rPr>
          <w:rFonts w:ascii="Times New Roman" w:hAnsi="Times New Roman"/>
          <w:sz w:val="24"/>
          <w:szCs w:val="24"/>
          <w:lang w:val="en-NZ"/>
        </w:rPr>
        <w:t>and</w:t>
      </w:r>
      <w:r w:rsidRPr="002E584F">
        <w:rPr>
          <w:rFonts w:ascii="Times New Roman" w:hAnsi="Times New Roman"/>
          <w:sz w:val="24"/>
          <w:szCs w:val="24"/>
          <w:lang w:val="en-NZ"/>
        </w:rPr>
        <w:t xml:space="preserve"> from offshore. However, </w:t>
      </w:r>
      <w:r>
        <w:rPr>
          <w:rFonts w:ascii="Times New Roman" w:hAnsi="Times New Roman"/>
          <w:sz w:val="24"/>
          <w:szCs w:val="24"/>
          <w:lang w:val="en-NZ"/>
        </w:rPr>
        <w:t xml:space="preserve">the method of collection would </w:t>
      </w:r>
      <w:r w:rsidR="001101B8">
        <w:rPr>
          <w:rFonts w:ascii="Times New Roman" w:hAnsi="Times New Roman"/>
          <w:sz w:val="24"/>
          <w:szCs w:val="24"/>
          <w:lang w:val="en-NZ"/>
        </w:rPr>
        <w:t>differ</w:t>
      </w:r>
      <w:r>
        <w:rPr>
          <w:rFonts w:ascii="Times New Roman" w:hAnsi="Times New Roman"/>
          <w:sz w:val="24"/>
          <w:szCs w:val="24"/>
          <w:lang w:val="en-NZ"/>
        </w:rPr>
        <w:t xml:space="preserve"> </w:t>
      </w:r>
      <w:r w:rsidR="00B845E8">
        <w:rPr>
          <w:rFonts w:ascii="Times New Roman" w:hAnsi="Times New Roman"/>
          <w:sz w:val="24"/>
          <w:szCs w:val="24"/>
          <w:lang w:val="en-NZ"/>
        </w:rPr>
        <w:t xml:space="preserve">significantly </w:t>
      </w:r>
      <w:r>
        <w:rPr>
          <w:rFonts w:ascii="Times New Roman" w:hAnsi="Times New Roman"/>
          <w:sz w:val="24"/>
          <w:szCs w:val="24"/>
          <w:lang w:val="en-NZ"/>
        </w:rPr>
        <w:t xml:space="preserve">depending upon </w:t>
      </w:r>
      <w:r w:rsidR="007F6C6F">
        <w:rPr>
          <w:rFonts w:ascii="Times New Roman" w:hAnsi="Times New Roman"/>
          <w:sz w:val="24"/>
          <w:szCs w:val="24"/>
          <w:lang w:val="en-NZ"/>
        </w:rPr>
        <w:t xml:space="preserve">whether </w:t>
      </w:r>
      <w:r>
        <w:rPr>
          <w:rFonts w:ascii="Times New Roman" w:hAnsi="Times New Roman"/>
          <w:sz w:val="24"/>
          <w:szCs w:val="24"/>
          <w:lang w:val="en-NZ"/>
        </w:rPr>
        <w:t>the supplier</w:t>
      </w:r>
      <w:r w:rsidR="007F6C6F">
        <w:rPr>
          <w:rFonts w:ascii="Times New Roman" w:hAnsi="Times New Roman"/>
          <w:sz w:val="24"/>
          <w:szCs w:val="24"/>
          <w:lang w:val="en-NZ"/>
        </w:rPr>
        <w:t xml:space="preserve"> was offshore or onshore</w:t>
      </w:r>
      <w:r>
        <w:rPr>
          <w:rFonts w:ascii="Times New Roman" w:hAnsi="Times New Roman"/>
          <w:sz w:val="24"/>
          <w:szCs w:val="24"/>
          <w:lang w:val="en-NZ"/>
        </w:rPr>
        <w:t>.</w:t>
      </w:r>
    </w:p>
    <w:p w14:paraId="7FD66D53" w14:textId="77777777" w:rsidR="005F721A" w:rsidRDefault="005F721A" w:rsidP="00BB03E5">
      <w:pPr>
        <w:pStyle w:val="Bullet-list"/>
        <w:spacing w:after="0" w:line="240" w:lineRule="auto"/>
        <w:ind w:left="567" w:hanging="567"/>
        <w:rPr>
          <w:rFonts w:ascii="Times New Roman" w:hAnsi="Times New Roman"/>
          <w:sz w:val="24"/>
          <w:szCs w:val="24"/>
        </w:rPr>
      </w:pPr>
    </w:p>
    <w:p w14:paraId="602CF952" w14:textId="77777777" w:rsidR="005F721A" w:rsidRPr="00726D27" w:rsidRDefault="005F721A" w:rsidP="005F721A">
      <w:pPr>
        <w:pStyle w:val="Bullet-list"/>
        <w:spacing w:after="0" w:line="240" w:lineRule="auto"/>
        <w:ind w:left="0" w:firstLine="0"/>
        <w:jc w:val="both"/>
        <w:rPr>
          <w:rFonts w:ascii="Times New Roman" w:hAnsi="Times New Roman"/>
          <w:i/>
          <w:sz w:val="24"/>
          <w:szCs w:val="24"/>
          <w:lang w:val="en-GB"/>
        </w:rPr>
      </w:pPr>
      <w:r w:rsidRPr="00726D27">
        <w:rPr>
          <w:rFonts w:ascii="Times New Roman" w:hAnsi="Times New Roman"/>
          <w:b/>
          <w:i/>
          <w:sz w:val="24"/>
          <w:szCs w:val="24"/>
          <w:lang w:val="en-GB"/>
        </w:rPr>
        <w:t>Effectiveness and fairness</w:t>
      </w:r>
    </w:p>
    <w:p w14:paraId="3865957B" w14:textId="77777777" w:rsidR="005F721A" w:rsidRDefault="005F721A" w:rsidP="00BB03E5">
      <w:pPr>
        <w:pStyle w:val="Bullet-list"/>
        <w:spacing w:after="0" w:line="240" w:lineRule="auto"/>
        <w:ind w:left="567" w:hanging="567"/>
        <w:rPr>
          <w:rFonts w:ascii="Times New Roman" w:hAnsi="Times New Roman"/>
          <w:sz w:val="24"/>
          <w:szCs w:val="24"/>
        </w:rPr>
      </w:pPr>
    </w:p>
    <w:p w14:paraId="2C246F98" w14:textId="49187A5F" w:rsidR="007F6C6F" w:rsidRDefault="002E584F" w:rsidP="007F6C6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7F6C6F">
        <w:rPr>
          <w:rFonts w:ascii="Times New Roman" w:hAnsi="Times New Roman"/>
          <w:sz w:val="24"/>
          <w:szCs w:val="24"/>
          <w:lang w:val="en-NZ"/>
        </w:rPr>
        <w:t>When this option has been applied in other jurisdictions its success has been limited</w:t>
      </w:r>
      <w:r w:rsidR="00622496">
        <w:rPr>
          <w:rFonts w:ascii="Times New Roman" w:hAnsi="Times New Roman"/>
          <w:sz w:val="24"/>
          <w:szCs w:val="24"/>
          <w:lang w:val="en-NZ"/>
        </w:rPr>
        <w:t>. This is</w:t>
      </w:r>
      <w:r w:rsidR="00B845E8">
        <w:rPr>
          <w:rFonts w:ascii="Times New Roman" w:hAnsi="Times New Roman"/>
          <w:sz w:val="24"/>
          <w:szCs w:val="24"/>
          <w:lang w:val="en-NZ"/>
        </w:rPr>
        <w:t xml:space="preserve"> </w:t>
      </w:r>
      <w:r w:rsidR="00C61B61" w:rsidRPr="007F6C6F">
        <w:rPr>
          <w:rFonts w:ascii="Times New Roman" w:hAnsi="Times New Roman"/>
          <w:sz w:val="24"/>
          <w:szCs w:val="24"/>
          <w:lang w:val="en-NZ"/>
        </w:rPr>
        <w:t xml:space="preserve">likely </w:t>
      </w:r>
      <w:r w:rsidR="00622496">
        <w:rPr>
          <w:rFonts w:ascii="Times New Roman" w:hAnsi="Times New Roman"/>
          <w:sz w:val="24"/>
          <w:szCs w:val="24"/>
          <w:lang w:val="en-NZ"/>
        </w:rPr>
        <w:t xml:space="preserve">due </w:t>
      </w:r>
      <w:r w:rsidR="00C61B61" w:rsidRPr="007F6C6F">
        <w:rPr>
          <w:rFonts w:ascii="Times New Roman" w:hAnsi="Times New Roman"/>
          <w:sz w:val="24"/>
          <w:szCs w:val="24"/>
          <w:lang w:val="en-NZ"/>
        </w:rPr>
        <w:t xml:space="preserve">to a number of factors </w:t>
      </w:r>
      <w:r w:rsidR="007F6C6F" w:rsidRPr="007F6C6F">
        <w:rPr>
          <w:rFonts w:ascii="Times New Roman" w:hAnsi="Times New Roman"/>
          <w:sz w:val="24"/>
          <w:szCs w:val="24"/>
          <w:lang w:val="en-NZ"/>
        </w:rPr>
        <w:t xml:space="preserve">such as lack of awareness of the requirement to return GST </w:t>
      </w:r>
      <w:r w:rsidR="00B845E8">
        <w:rPr>
          <w:rFonts w:ascii="Times New Roman" w:hAnsi="Times New Roman"/>
          <w:sz w:val="24"/>
          <w:szCs w:val="24"/>
          <w:lang w:val="en-NZ"/>
        </w:rPr>
        <w:t>given that</w:t>
      </w:r>
      <w:r w:rsidR="00B845E8" w:rsidRPr="007F6C6F">
        <w:rPr>
          <w:rFonts w:ascii="Times New Roman" w:hAnsi="Times New Roman"/>
          <w:sz w:val="24"/>
          <w:szCs w:val="24"/>
          <w:lang w:val="en-NZ"/>
        </w:rPr>
        <w:t xml:space="preserve"> </w:t>
      </w:r>
      <w:r w:rsidR="007F6C6F" w:rsidRPr="007F6C6F">
        <w:rPr>
          <w:rFonts w:ascii="Times New Roman" w:hAnsi="Times New Roman"/>
          <w:sz w:val="24"/>
          <w:szCs w:val="24"/>
          <w:lang w:val="en-NZ"/>
        </w:rPr>
        <w:t>consumers are accustomed to GST being included in the purchase price</w:t>
      </w:r>
      <w:r w:rsidR="005E264D">
        <w:rPr>
          <w:rFonts w:ascii="Times New Roman" w:hAnsi="Times New Roman"/>
          <w:sz w:val="24"/>
          <w:szCs w:val="24"/>
          <w:lang w:val="en-NZ"/>
        </w:rPr>
        <w:t>,</w:t>
      </w:r>
      <w:r w:rsidR="007F6C6F" w:rsidRPr="007F6C6F">
        <w:rPr>
          <w:rFonts w:ascii="Times New Roman" w:hAnsi="Times New Roman"/>
          <w:sz w:val="24"/>
          <w:szCs w:val="24"/>
          <w:lang w:val="en-NZ"/>
        </w:rPr>
        <w:t xml:space="preserve"> and the difficulty of enforcing a reverse charge on such a large taxpayer base.</w:t>
      </w:r>
    </w:p>
    <w:p w14:paraId="0CD9E0E1" w14:textId="77777777" w:rsidR="007F6C6F" w:rsidRPr="007F6C6F" w:rsidRDefault="007F6C6F" w:rsidP="007F6C6F">
      <w:pPr>
        <w:pStyle w:val="Bullet-list"/>
        <w:spacing w:after="0" w:line="240" w:lineRule="auto"/>
        <w:ind w:left="0" w:firstLine="0"/>
        <w:jc w:val="both"/>
        <w:rPr>
          <w:rFonts w:ascii="Times New Roman" w:hAnsi="Times New Roman"/>
          <w:sz w:val="24"/>
          <w:szCs w:val="24"/>
          <w:lang w:val="en-NZ"/>
        </w:rPr>
      </w:pPr>
    </w:p>
    <w:p w14:paraId="1D94D63B" w14:textId="3C615ACC" w:rsidR="00C61B61" w:rsidRPr="007F6C6F" w:rsidRDefault="00C61B61" w:rsidP="007F6C6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7F6C6F">
        <w:rPr>
          <w:rFonts w:ascii="Times New Roman" w:hAnsi="Times New Roman"/>
          <w:sz w:val="24"/>
          <w:szCs w:val="24"/>
          <w:lang w:val="en-NZ"/>
        </w:rPr>
        <w:t xml:space="preserve">In many cases, the New Zealand purchaser may not realise they are buying from </w:t>
      </w:r>
      <w:proofErr w:type="gramStart"/>
      <w:r w:rsidRPr="007F6C6F">
        <w:rPr>
          <w:rFonts w:ascii="Times New Roman" w:hAnsi="Times New Roman"/>
          <w:sz w:val="24"/>
          <w:szCs w:val="24"/>
          <w:lang w:val="en-NZ"/>
        </w:rPr>
        <w:t>an</w:t>
      </w:r>
      <w:proofErr w:type="gramEnd"/>
      <w:r w:rsidRPr="007F6C6F">
        <w:rPr>
          <w:rFonts w:ascii="Times New Roman" w:hAnsi="Times New Roman"/>
          <w:sz w:val="24"/>
          <w:szCs w:val="24"/>
          <w:lang w:val="en-NZ"/>
        </w:rPr>
        <w:t xml:space="preserve"> </w:t>
      </w:r>
      <w:r w:rsidR="005E264D">
        <w:rPr>
          <w:rFonts w:ascii="Times New Roman" w:hAnsi="Times New Roman"/>
          <w:sz w:val="24"/>
          <w:szCs w:val="24"/>
          <w:lang w:val="en-NZ"/>
        </w:rPr>
        <w:t>non-resident</w:t>
      </w:r>
      <w:r w:rsidR="005E264D" w:rsidRPr="007F6C6F">
        <w:rPr>
          <w:rFonts w:ascii="Times New Roman" w:hAnsi="Times New Roman"/>
          <w:sz w:val="24"/>
          <w:szCs w:val="24"/>
          <w:lang w:val="en-NZ"/>
        </w:rPr>
        <w:t xml:space="preserve"> </w:t>
      </w:r>
      <w:r w:rsidRPr="007F6C6F">
        <w:rPr>
          <w:rFonts w:ascii="Times New Roman" w:hAnsi="Times New Roman"/>
          <w:sz w:val="24"/>
          <w:szCs w:val="24"/>
          <w:lang w:val="en-NZ"/>
        </w:rPr>
        <w:t xml:space="preserve">supplier. For example, an offshore supplier could have a New Zealand domain name (.co.nz) or a separate chain of New Zealand retail stores. </w:t>
      </w:r>
    </w:p>
    <w:p w14:paraId="71EB5BA4" w14:textId="77777777" w:rsidR="00C61B61" w:rsidRDefault="00C61B61" w:rsidP="00BB03E5">
      <w:pPr>
        <w:pStyle w:val="Bullet-list"/>
        <w:spacing w:after="0" w:line="240" w:lineRule="auto"/>
        <w:ind w:left="567" w:hanging="567"/>
        <w:rPr>
          <w:rFonts w:ascii="Times New Roman" w:hAnsi="Times New Roman"/>
          <w:sz w:val="24"/>
          <w:szCs w:val="24"/>
        </w:rPr>
      </w:pPr>
    </w:p>
    <w:p w14:paraId="6D2783FC" w14:textId="6BD7C5B1" w:rsidR="00AA0207" w:rsidRPr="00AA0207" w:rsidRDefault="00AA0207" w:rsidP="00DC1AD6">
      <w:pPr>
        <w:pStyle w:val="Bullet-list"/>
        <w:keepNext/>
        <w:spacing w:after="0" w:line="240" w:lineRule="auto"/>
        <w:ind w:left="567" w:hanging="567"/>
        <w:rPr>
          <w:rFonts w:ascii="Times New Roman" w:hAnsi="Times New Roman"/>
          <w:b/>
          <w:sz w:val="24"/>
          <w:szCs w:val="24"/>
        </w:rPr>
      </w:pPr>
      <w:r w:rsidRPr="00AA0207">
        <w:rPr>
          <w:rFonts w:ascii="Times New Roman" w:hAnsi="Times New Roman"/>
          <w:b/>
          <w:sz w:val="24"/>
          <w:szCs w:val="24"/>
        </w:rPr>
        <w:t xml:space="preserve">Option </w:t>
      </w:r>
      <w:r w:rsidR="006F6154">
        <w:rPr>
          <w:rFonts w:ascii="Times New Roman" w:hAnsi="Times New Roman"/>
          <w:b/>
          <w:sz w:val="24"/>
          <w:szCs w:val="24"/>
        </w:rPr>
        <w:t>3:</w:t>
      </w:r>
      <w:r w:rsidRPr="00AA0207">
        <w:rPr>
          <w:rFonts w:ascii="Times New Roman" w:hAnsi="Times New Roman"/>
          <w:b/>
          <w:sz w:val="24"/>
          <w:szCs w:val="24"/>
        </w:rPr>
        <w:t xml:space="preserve"> Financial institutions</w:t>
      </w:r>
      <w:r w:rsidR="007C375B">
        <w:rPr>
          <w:rFonts w:ascii="Times New Roman" w:hAnsi="Times New Roman"/>
          <w:b/>
          <w:sz w:val="24"/>
          <w:szCs w:val="24"/>
        </w:rPr>
        <w:t xml:space="preserve"> return</w:t>
      </w:r>
      <w:r w:rsidR="00C7644E">
        <w:rPr>
          <w:rFonts w:ascii="Times New Roman" w:hAnsi="Times New Roman"/>
          <w:b/>
          <w:sz w:val="24"/>
          <w:szCs w:val="24"/>
        </w:rPr>
        <w:t xml:space="preserve"> </w:t>
      </w:r>
      <w:r w:rsidR="007C375B">
        <w:rPr>
          <w:rFonts w:ascii="Times New Roman" w:hAnsi="Times New Roman"/>
          <w:b/>
          <w:sz w:val="24"/>
          <w:szCs w:val="24"/>
        </w:rPr>
        <w:t>the GST</w:t>
      </w:r>
    </w:p>
    <w:p w14:paraId="1FFF397C" w14:textId="77777777" w:rsidR="00AA0207" w:rsidRDefault="00AA0207" w:rsidP="00DC1AD6">
      <w:pPr>
        <w:pStyle w:val="Bullet-list"/>
        <w:keepNext/>
        <w:spacing w:after="0" w:line="240" w:lineRule="auto"/>
        <w:ind w:left="567" w:hanging="567"/>
        <w:rPr>
          <w:rFonts w:ascii="Times New Roman" w:hAnsi="Times New Roman"/>
          <w:sz w:val="24"/>
          <w:szCs w:val="24"/>
        </w:rPr>
      </w:pPr>
    </w:p>
    <w:p w14:paraId="1D4D02EB" w14:textId="5AAC3A16" w:rsidR="00C61B61" w:rsidRPr="00C61B61" w:rsidRDefault="00C61B61" w:rsidP="00DC1AD6">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C61B61">
        <w:rPr>
          <w:rFonts w:ascii="Times New Roman" w:hAnsi="Times New Roman"/>
          <w:sz w:val="24"/>
          <w:szCs w:val="24"/>
          <w:lang w:val="en-NZ"/>
        </w:rPr>
        <w:t xml:space="preserve">Option </w:t>
      </w:r>
      <w:r w:rsidR="00A13FD9">
        <w:rPr>
          <w:rFonts w:ascii="Times New Roman" w:hAnsi="Times New Roman"/>
          <w:sz w:val="24"/>
          <w:szCs w:val="24"/>
          <w:lang w:val="en-NZ"/>
        </w:rPr>
        <w:t>3</w:t>
      </w:r>
      <w:r w:rsidRPr="00C61B61">
        <w:rPr>
          <w:rFonts w:ascii="Times New Roman" w:hAnsi="Times New Roman"/>
          <w:sz w:val="24"/>
          <w:szCs w:val="24"/>
          <w:lang w:val="en-NZ"/>
        </w:rPr>
        <w:t xml:space="preserve"> would </w:t>
      </w:r>
      <w:r w:rsidR="00C90ABE">
        <w:rPr>
          <w:rFonts w:ascii="Times New Roman" w:hAnsi="Times New Roman"/>
          <w:sz w:val="24"/>
          <w:szCs w:val="24"/>
          <w:lang w:val="en-NZ"/>
        </w:rPr>
        <w:t>impact</w:t>
      </w:r>
      <w:r w:rsidR="00C90ABE" w:rsidRPr="00C61B61">
        <w:rPr>
          <w:rFonts w:ascii="Times New Roman" w:hAnsi="Times New Roman"/>
          <w:sz w:val="24"/>
          <w:szCs w:val="24"/>
          <w:lang w:val="en-NZ"/>
        </w:rPr>
        <w:t xml:space="preserve"> </w:t>
      </w:r>
      <w:r w:rsidRPr="00C61B61">
        <w:rPr>
          <w:rFonts w:ascii="Times New Roman" w:hAnsi="Times New Roman"/>
          <w:sz w:val="24"/>
          <w:szCs w:val="24"/>
          <w:lang w:val="en-NZ"/>
        </w:rPr>
        <w:t xml:space="preserve">financial institutions (e.g. New Zealand banks) and other payment intermediaries </w:t>
      </w:r>
      <w:r w:rsidR="00C90ABE">
        <w:rPr>
          <w:rFonts w:ascii="Times New Roman" w:hAnsi="Times New Roman"/>
          <w:sz w:val="24"/>
          <w:szCs w:val="24"/>
          <w:lang w:val="en-NZ"/>
        </w:rPr>
        <w:t xml:space="preserve">that would be required to </w:t>
      </w:r>
      <w:r w:rsidRPr="00C61B61">
        <w:rPr>
          <w:rFonts w:ascii="Times New Roman" w:hAnsi="Times New Roman"/>
          <w:sz w:val="24"/>
          <w:szCs w:val="24"/>
          <w:lang w:val="en-NZ"/>
        </w:rPr>
        <w:t xml:space="preserve">add GST to New Zealand issued credit/debit cards at the time that services are purchased from an offshore supplier. </w:t>
      </w:r>
    </w:p>
    <w:p w14:paraId="2E75C60B" w14:textId="77777777" w:rsidR="00C61B61" w:rsidRPr="00C61B61" w:rsidRDefault="00C61B61" w:rsidP="00C61B61">
      <w:pPr>
        <w:pStyle w:val="Bullet-list"/>
        <w:spacing w:after="0" w:line="240" w:lineRule="auto"/>
        <w:ind w:left="0" w:firstLine="0"/>
        <w:jc w:val="both"/>
        <w:rPr>
          <w:rFonts w:ascii="Times New Roman" w:hAnsi="Times New Roman"/>
          <w:sz w:val="24"/>
          <w:szCs w:val="24"/>
          <w:lang w:val="en-NZ"/>
        </w:rPr>
      </w:pPr>
    </w:p>
    <w:p w14:paraId="773B5136" w14:textId="77777777" w:rsidR="00C61B61" w:rsidRDefault="00C61B61" w:rsidP="00C61B61">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C61B61">
        <w:rPr>
          <w:rFonts w:ascii="Times New Roman" w:hAnsi="Times New Roman"/>
          <w:sz w:val="24"/>
          <w:szCs w:val="24"/>
          <w:lang w:val="en-NZ"/>
        </w:rPr>
        <w:t>How this collection option would apply in practice would need to be determined through consultation with financial institutions. However, one possible approach would be for the financial institution to add GST to the consumers’ credit or debit card when the following conditions are met:</w:t>
      </w:r>
    </w:p>
    <w:p w14:paraId="59EE9234" w14:textId="77777777" w:rsidR="00702267" w:rsidRPr="00C61B61" w:rsidRDefault="00702267" w:rsidP="00702267">
      <w:pPr>
        <w:pStyle w:val="Bullet-list"/>
        <w:spacing w:after="0" w:line="240" w:lineRule="auto"/>
        <w:ind w:left="0" w:firstLine="0"/>
        <w:jc w:val="both"/>
        <w:rPr>
          <w:rFonts w:ascii="Times New Roman" w:hAnsi="Times New Roman"/>
          <w:sz w:val="24"/>
          <w:szCs w:val="24"/>
          <w:lang w:val="en-NZ"/>
        </w:rPr>
      </w:pPr>
    </w:p>
    <w:p w14:paraId="39A76DD1" w14:textId="77777777" w:rsidR="00C61B61" w:rsidRPr="00C61B61" w:rsidRDefault="00C61B61" w:rsidP="00C61B61">
      <w:pPr>
        <w:pStyle w:val="Bullet-list"/>
        <w:numPr>
          <w:ilvl w:val="0"/>
          <w:numId w:val="10"/>
        </w:numPr>
        <w:spacing w:after="0" w:line="240" w:lineRule="auto"/>
        <w:jc w:val="both"/>
        <w:rPr>
          <w:rFonts w:ascii="Times New Roman" w:hAnsi="Times New Roman"/>
          <w:sz w:val="24"/>
          <w:szCs w:val="24"/>
          <w:lang w:val="en-NZ"/>
        </w:rPr>
      </w:pPr>
      <w:r w:rsidRPr="00C61B61">
        <w:rPr>
          <w:rFonts w:ascii="Times New Roman" w:hAnsi="Times New Roman"/>
          <w:sz w:val="24"/>
          <w:szCs w:val="24"/>
          <w:lang w:val="en-NZ"/>
        </w:rPr>
        <w:t xml:space="preserve">The card is not physically present when the transaction occurs (e.g. instead of swiping the card, the customer supplies the credit card number). </w:t>
      </w:r>
    </w:p>
    <w:p w14:paraId="672CC5A9" w14:textId="77777777" w:rsidR="00C61B61" w:rsidRPr="00C61B61" w:rsidRDefault="00C61B61" w:rsidP="00C61B61">
      <w:pPr>
        <w:pStyle w:val="Bullet-list"/>
        <w:numPr>
          <w:ilvl w:val="0"/>
          <w:numId w:val="10"/>
        </w:numPr>
        <w:spacing w:after="0" w:line="240" w:lineRule="auto"/>
        <w:jc w:val="both"/>
        <w:rPr>
          <w:rFonts w:ascii="Times New Roman" w:hAnsi="Times New Roman"/>
          <w:sz w:val="24"/>
          <w:szCs w:val="24"/>
          <w:lang w:val="en-NZ"/>
        </w:rPr>
      </w:pPr>
      <w:r w:rsidRPr="00C61B61">
        <w:rPr>
          <w:rFonts w:ascii="Times New Roman" w:hAnsi="Times New Roman"/>
          <w:sz w:val="24"/>
          <w:szCs w:val="24"/>
          <w:lang w:val="en-NZ"/>
        </w:rPr>
        <w:t>The supplier of the service is not in New Zealand.</w:t>
      </w:r>
    </w:p>
    <w:p w14:paraId="3BA7E353" w14:textId="77777777" w:rsidR="00C61B61" w:rsidRPr="00C61B61" w:rsidRDefault="00C61B61" w:rsidP="00C61B61">
      <w:pPr>
        <w:pStyle w:val="Bullet-list"/>
        <w:numPr>
          <w:ilvl w:val="0"/>
          <w:numId w:val="10"/>
        </w:numPr>
        <w:spacing w:after="0" w:line="240" w:lineRule="auto"/>
        <w:jc w:val="both"/>
        <w:rPr>
          <w:rFonts w:ascii="Times New Roman" w:hAnsi="Times New Roman"/>
          <w:sz w:val="24"/>
          <w:szCs w:val="24"/>
          <w:lang w:val="en-NZ"/>
        </w:rPr>
      </w:pPr>
      <w:r w:rsidRPr="00C61B61">
        <w:rPr>
          <w:rFonts w:ascii="Times New Roman" w:hAnsi="Times New Roman"/>
          <w:sz w:val="24"/>
          <w:szCs w:val="24"/>
          <w:lang w:val="en-NZ"/>
        </w:rPr>
        <w:t>The billing address for the card is a New Zealand address.</w:t>
      </w:r>
    </w:p>
    <w:p w14:paraId="32C8B574" w14:textId="77777777" w:rsidR="00C61B61" w:rsidRPr="00C61B61" w:rsidRDefault="00C61B61" w:rsidP="00C61B61">
      <w:pPr>
        <w:pStyle w:val="Bullet-list"/>
        <w:spacing w:after="0" w:line="240" w:lineRule="auto"/>
        <w:ind w:left="720" w:firstLine="0"/>
        <w:jc w:val="both"/>
        <w:rPr>
          <w:rFonts w:ascii="Times New Roman" w:hAnsi="Times New Roman"/>
          <w:sz w:val="24"/>
          <w:szCs w:val="24"/>
          <w:lang w:val="en-NZ"/>
        </w:rPr>
      </w:pPr>
    </w:p>
    <w:p w14:paraId="58E5F5DC" w14:textId="77777777" w:rsidR="00AA0207" w:rsidRPr="00C61B61" w:rsidRDefault="00C61B61" w:rsidP="00BB03E5">
      <w:pPr>
        <w:pStyle w:val="Bullet-list"/>
        <w:spacing w:after="0" w:line="240" w:lineRule="auto"/>
        <w:ind w:left="567" w:hanging="567"/>
        <w:rPr>
          <w:rFonts w:ascii="Times New Roman" w:hAnsi="Times New Roman"/>
          <w:b/>
          <w:i/>
          <w:sz w:val="24"/>
          <w:szCs w:val="24"/>
        </w:rPr>
      </w:pPr>
      <w:r w:rsidRPr="00C61B61">
        <w:rPr>
          <w:rFonts w:ascii="Times New Roman" w:hAnsi="Times New Roman"/>
          <w:b/>
          <w:i/>
          <w:sz w:val="24"/>
          <w:szCs w:val="24"/>
        </w:rPr>
        <w:t>Certainty and simplicity</w:t>
      </w:r>
    </w:p>
    <w:p w14:paraId="0915E725" w14:textId="77777777" w:rsidR="00C61B61" w:rsidRDefault="00C61B61" w:rsidP="00BB03E5">
      <w:pPr>
        <w:pStyle w:val="Bullet-list"/>
        <w:spacing w:after="0" w:line="240" w:lineRule="auto"/>
        <w:ind w:left="567" w:hanging="567"/>
        <w:rPr>
          <w:rFonts w:ascii="Times New Roman" w:hAnsi="Times New Roman"/>
          <w:sz w:val="24"/>
          <w:szCs w:val="24"/>
        </w:rPr>
      </w:pPr>
    </w:p>
    <w:p w14:paraId="28513156" w14:textId="244EF0E1" w:rsidR="00C61B61" w:rsidRPr="00DE1543" w:rsidRDefault="009F09DB" w:rsidP="00DE15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DE1543">
        <w:rPr>
          <w:rFonts w:ascii="Times New Roman" w:hAnsi="Times New Roman"/>
          <w:sz w:val="24"/>
          <w:szCs w:val="24"/>
          <w:lang w:val="en-NZ"/>
        </w:rPr>
        <w:t xml:space="preserve">The development of an automated system to apply GST to purchases of remotely supplied services could be complex. The system would need to identify purchases </w:t>
      </w:r>
      <w:r w:rsidR="00B845E8">
        <w:rPr>
          <w:rFonts w:ascii="Times New Roman" w:hAnsi="Times New Roman"/>
          <w:sz w:val="24"/>
          <w:szCs w:val="24"/>
          <w:lang w:val="en-NZ"/>
        </w:rPr>
        <w:t>that</w:t>
      </w:r>
      <w:r w:rsidRPr="00DE1543">
        <w:rPr>
          <w:rFonts w:ascii="Times New Roman" w:hAnsi="Times New Roman"/>
          <w:sz w:val="24"/>
          <w:szCs w:val="24"/>
          <w:lang w:val="en-NZ"/>
        </w:rPr>
        <w:t xml:space="preserve"> would not be subject to GST</w:t>
      </w:r>
      <w:r w:rsidR="00B845E8">
        <w:rPr>
          <w:rFonts w:ascii="Times New Roman" w:hAnsi="Times New Roman"/>
          <w:sz w:val="24"/>
          <w:szCs w:val="24"/>
          <w:lang w:val="en-NZ"/>
        </w:rPr>
        <w:t>, such as ‘on-the-spot’ services consumed outside of New Zealand (for example, overseas accommodation)</w:t>
      </w:r>
      <w:r w:rsidRPr="00DE1543">
        <w:rPr>
          <w:rFonts w:ascii="Times New Roman" w:hAnsi="Times New Roman"/>
          <w:sz w:val="24"/>
          <w:szCs w:val="24"/>
          <w:lang w:val="en-NZ"/>
        </w:rPr>
        <w:t xml:space="preserve"> </w:t>
      </w:r>
      <w:r w:rsidR="00B845E8">
        <w:rPr>
          <w:rFonts w:ascii="Times New Roman" w:hAnsi="Times New Roman"/>
          <w:sz w:val="24"/>
          <w:szCs w:val="24"/>
          <w:lang w:val="en-NZ"/>
        </w:rPr>
        <w:t>and international travel</w:t>
      </w:r>
      <w:r w:rsidR="00B845E8" w:rsidRPr="0097279A">
        <w:rPr>
          <w:rStyle w:val="FootnoteReference"/>
          <w:rFonts w:ascii="Times New Roman" w:hAnsi="Times New Roman"/>
          <w:szCs w:val="24"/>
          <w:lang w:val="en-NZ"/>
        </w:rPr>
        <w:footnoteReference w:id="1"/>
      </w:r>
      <w:r w:rsidR="00B845E8">
        <w:rPr>
          <w:rFonts w:ascii="Times New Roman" w:hAnsi="Times New Roman"/>
          <w:sz w:val="24"/>
          <w:szCs w:val="24"/>
          <w:lang w:val="en-NZ"/>
        </w:rPr>
        <w:t xml:space="preserve">. </w:t>
      </w:r>
      <w:r w:rsidRPr="00DE1543">
        <w:rPr>
          <w:rFonts w:ascii="Times New Roman" w:hAnsi="Times New Roman"/>
          <w:sz w:val="24"/>
          <w:szCs w:val="24"/>
          <w:lang w:val="en-NZ"/>
        </w:rPr>
        <w:t xml:space="preserve">It is unclear as to whether financial institutions have </w:t>
      </w:r>
      <w:r w:rsidR="00C9640D">
        <w:rPr>
          <w:rFonts w:ascii="Times New Roman" w:hAnsi="Times New Roman"/>
          <w:sz w:val="24"/>
          <w:szCs w:val="24"/>
          <w:lang w:val="en-NZ"/>
        </w:rPr>
        <w:t>the necessary</w:t>
      </w:r>
      <w:r w:rsidRPr="00DE1543">
        <w:rPr>
          <w:rFonts w:ascii="Times New Roman" w:hAnsi="Times New Roman"/>
          <w:sz w:val="24"/>
          <w:szCs w:val="24"/>
          <w:lang w:val="en-NZ"/>
        </w:rPr>
        <w:t xml:space="preserve"> information and therefore there would be a risk that GST would be applied to services consumed outside of New Zealand. </w:t>
      </w:r>
    </w:p>
    <w:p w14:paraId="4DDE813D" w14:textId="77777777" w:rsidR="007F6C6F" w:rsidRDefault="007F6C6F" w:rsidP="00BB03E5">
      <w:pPr>
        <w:pStyle w:val="Bullet-list"/>
        <w:spacing w:after="0" w:line="240" w:lineRule="auto"/>
        <w:ind w:left="567" w:hanging="567"/>
        <w:rPr>
          <w:rFonts w:ascii="Times New Roman" w:hAnsi="Times New Roman"/>
          <w:sz w:val="24"/>
          <w:szCs w:val="24"/>
        </w:rPr>
      </w:pPr>
    </w:p>
    <w:p w14:paraId="6C10E88F" w14:textId="1C3D367C" w:rsidR="00DE1543" w:rsidRDefault="0001309F" w:rsidP="00DE15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DE1543">
        <w:rPr>
          <w:rFonts w:ascii="Times New Roman" w:hAnsi="Times New Roman"/>
          <w:sz w:val="24"/>
          <w:szCs w:val="24"/>
          <w:lang w:val="en-NZ"/>
        </w:rPr>
        <w:t>Consumers’</w:t>
      </w:r>
      <w:r w:rsidR="00DE1543" w:rsidRPr="00DE1543">
        <w:rPr>
          <w:rFonts w:ascii="Times New Roman" w:hAnsi="Times New Roman"/>
          <w:sz w:val="24"/>
          <w:szCs w:val="24"/>
          <w:lang w:val="en-NZ"/>
        </w:rPr>
        <w:t xml:space="preserve"> use of online intermediary payment systems would have to be considered. Although a credit/debit card is still used, from the perspective of the financial institution it may be difficult to determine who the ultimate supplier of the service is, and therefore, whether GST should be charged. For example, it would be difficult to exclude an industry type (such as overseas accommodation providers) if the payment was made through intermediary payment systems. One solution would be to require the intermediary payment provider (as opposed to the financial institution who issues the credit or debit card) to collect the GST in such cases. </w:t>
      </w:r>
    </w:p>
    <w:p w14:paraId="5FB6A943" w14:textId="77777777" w:rsidR="00C9640D" w:rsidRPr="00DE1543" w:rsidRDefault="00C9640D" w:rsidP="00C9640D">
      <w:pPr>
        <w:pStyle w:val="Bullet-list"/>
        <w:spacing w:after="0" w:line="240" w:lineRule="auto"/>
        <w:ind w:left="0" w:firstLine="0"/>
        <w:jc w:val="both"/>
        <w:rPr>
          <w:rFonts w:ascii="Times New Roman" w:hAnsi="Times New Roman"/>
          <w:sz w:val="24"/>
          <w:szCs w:val="24"/>
          <w:lang w:val="en-NZ"/>
        </w:rPr>
      </w:pPr>
    </w:p>
    <w:p w14:paraId="7D885E28" w14:textId="3082A718" w:rsidR="00DE1543" w:rsidRPr="00DE1543" w:rsidRDefault="00DE1543" w:rsidP="00DE15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A</w:t>
      </w:r>
      <w:r w:rsidR="00117150">
        <w:rPr>
          <w:rFonts w:ascii="Times New Roman" w:hAnsi="Times New Roman"/>
          <w:sz w:val="24"/>
          <w:szCs w:val="24"/>
          <w:lang w:val="en-NZ"/>
        </w:rPr>
        <w:t>nother</w:t>
      </w:r>
      <w:r w:rsidRPr="00DE1543">
        <w:rPr>
          <w:rFonts w:ascii="Times New Roman" w:hAnsi="Times New Roman"/>
          <w:sz w:val="24"/>
          <w:szCs w:val="24"/>
          <w:lang w:val="en-NZ"/>
        </w:rPr>
        <w:t xml:space="preserve"> disadvantage with this option is that it has not been implemented in any other country. There is no international experience on how well this option will work, what practical difficulties could arise and what comp</w:t>
      </w:r>
      <w:r>
        <w:rPr>
          <w:rFonts w:ascii="Times New Roman" w:hAnsi="Times New Roman"/>
          <w:sz w:val="24"/>
          <w:szCs w:val="24"/>
          <w:lang w:val="en-NZ"/>
        </w:rPr>
        <w:t>liance costs would be involved.</w:t>
      </w:r>
      <w:r w:rsidR="00B43612">
        <w:rPr>
          <w:rFonts w:ascii="Times New Roman" w:hAnsi="Times New Roman"/>
          <w:sz w:val="24"/>
          <w:szCs w:val="24"/>
          <w:lang w:val="en-NZ"/>
        </w:rPr>
        <w:t xml:space="preserve"> The success of this option would also depend on financial institutions agreeing to develop and implement a system.</w:t>
      </w:r>
    </w:p>
    <w:p w14:paraId="7391172B" w14:textId="77777777" w:rsidR="007F6C6F" w:rsidRPr="00DE1543" w:rsidRDefault="007F6C6F" w:rsidP="00DE1543">
      <w:pPr>
        <w:pStyle w:val="Bullet-list"/>
        <w:spacing w:after="0" w:line="240" w:lineRule="auto"/>
        <w:ind w:left="0" w:firstLine="0"/>
        <w:jc w:val="both"/>
        <w:rPr>
          <w:rFonts w:ascii="Times New Roman" w:hAnsi="Times New Roman"/>
          <w:sz w:val="24"/>
          <w:szCs w:val="24"/>
          <w:lang w:val="en-NZ"/>
        </w:rPr>
      </w:pPr>
    </w:p>
    <w:p w14:paraId="2032C987" w14:textId="77777777" w:rsidR="00C61B61" w:rsidRPr="00726D27" w:rsidRDefault="00C61B61" w:rsidP="00C61B61">
      <w:pPr>
        <w:pStyle w:val="Bullet-list"/>
        <w:tabs>
          <w:tab w:val="num" w:pos="567"/>
        </w:tabs>
        <w:spacing w:after="0" w:line="240" w:lineRule="auto"/>
        <w:ind w:left="0" w:firstLine="0"/>
        <w:jc w:val="both"/>
        <w:rPr>
          <w:rFonts w:ascii="Times New Roman" w:hAnsi="Times New Roman"/>
          <w:b/>
          <w:i/>
          <w:sz w:val="24"/>
          <w:szCs w:val="24"/>
          <w:lang w:val="en-GB"/>
        </w:rPr>
      </w:pPr>
      <w:r w:rsidRPr="00726D27">
        <w:rPr>
          <w:rFonts w:ascii="Times New Roman" w:hAnsi="Times New Roman"/>
          <w:b/>
          <w:i/>
          <w:sz w:val="24"/>
          <w:szCs w:val="24"/>
          <w:lang w:val="en-GB"/>
        </w:rPr>
        <w:t>Efficiency of compliance and administration</w:t>
      </w:r>
    </w:p>
    <w:p w14:paraId="576A1217" w14:textId="77777777" w:rsidR="00C61B61" w:rsidRDefault="00C61B61" w:rsidP="00BB03E5">
      <w:pPr>
        <w:pStyle w:val="Bullet-list"/>
        <w:spacing w:after="0" w:line="240" w:lineRule="auto"/>
        <w:ind w:left="567" w:hanging="567"/>
        <w:rPr>
          <w:rFonts w:ascii="Times New Roman" w:hAnsi="Times New Roman"/>
          <w:sz w:val="24"/>
          <w:szCs w:val="24"/>
        </w:rPr>
      </w:pPr>
    </w:p>
    <w:p w14:paraId="1B44D23A" w14:textId="25DB8970" w:rsidR="00C61B61" w:rsidRPr="009F09DB" w:rsidRDefault="00DC556E" w:rsidP="009F09DB">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9F09DB">
        <w:rPr>
          <w:rFonts w:ascii="Times New Roman" w:hAnsi="Times New Roman"/>
          <w:sz w:val="24"/>
          <w:szCs w:val="24"/>
          <w:lang w:val="en-NZ"/>
        </w:rPr>
        <w:t>While there would be some costs involved in setting</w:t>
      </w:r>
      <w:r w:rsidR="00B43612">
        <w:rPr>
          <w:rFonts w:ascii="Times New Roman" w:hAnsi="Times New Roman"/>
          <w:sz w:val="24"/>
          <w:szCs w:val="24"/>
          <w:lang w:val="en-NZ"/>
        </w:rPr>
        <w:t xml:space="preserve"> </w:t>
      </w:r>
      <w:r w:rsidRPr="009F09DB">
        <w:rPr>
          <w:rFonts w:ascii="Times New Roman" w:hAnsi="Times New Roman"/>
          <w:sz w:val="24"/>
          <w:szCs w:val="24"/>
          <w:lang w:val="en-NZ"/>
        </w:rPr>
        <w:t xml:space="preserve">up the collection system, the collection of GST from credit and debit cards would be an automated process. </w:t>
      </w:r>
      <w:r w:rsidR="00272321">
        <w:rPr>
          <w:rFonts w:ascii="Times New Roman" w:hAnsi="Times New Roman"/>
          <w:sz w:val="24"/>
          <w:szCs w:val="24"/>
          <w:lang w:val="en-NZ"/>
        </w:rPr>
        <w:t>Automated processes for collection</w:t>
      </w:r>
      <w:r w:rsidR="00272321" w:rsidRPr="009F09DB">
        <w:rPr>
          <w:rFonts w:ascii="Times New Roman" w:hAnsi="Times New Roman"/>
          <w:sz w:val="24"/>
          <w:szCs w:val="24"/>
          <w:lang w:val="en-NZ"/>
        </w:rPr>
        <w:t xml:space="preserve"> have</w:t>
      </w:r>
      <w:r w:rsidRPr="009F09DB">
        <w:rPr>
          <w:rFonts w:ascii="Times New Roman" w:hAnsi="Times New Roman"/>
          <w:sz w:val="24"/>
          <w:szCs w:val="24"/>
          <w:lang w:val="en-NZ"/>
        </w:rPr>
        <w:t xml:space="preserve"> the potential to significantly lower the cost of collection and the compliance costs.</w:t>
      </w:r>
    </w:p>
    <w:p w14:paraId="3A41B4B1" w14:textId="77777777" w:rsidR="00DC556E" w:rsidRPr="009F09DB" w:rsidRDefault="00DC556E" w:rsidP="009F09DB">
      <w:pPr>
        <w:pStyle w:val="Bullet-list"/>
        <w:spacing w:after="0" w:line="240" w:lineRule="auto"/>
        <w:ind w:left="0" w:firstLine="0"/>
        <w:jc w:val="both"/>
        <w:rPr>
          <w:rFonts w:ascii="Times New Roman" w:hAnsi="Times New Roman"/>
          <w:sz w:val="24"/>
          <w:szCs w:val="24"/>
          <w:lang w:val="en-NZ"/>
        </w:rPr>
      </w:pPr>
    </w:p>
    <w:p w14:paraId="05BDB7EE" w14:textId="77777777" w:rsidR="00DC556E" w:rsidRPr="009F09DB" w:rsidRDefault="00DC556E" w:rsidP="009F09DB">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9F09DB">
        <w:rPr>
          <w:rFonts w:ascii="Times New Roman" w:hAnsi="Times New Roman"/>
          <w:sz w:val="24"/>
          <w:szCs w:val="24"/>
          <w:lang w:val="en-NZ"/>
        </w:rPr>
        <w:t>There are only a relatively small number of New Zealand credit and debit card issuers. This should make it easier for the Government to work with those involved to develop practical and realistic processes to address any implementation issues which may arise.</w:t>
      </w:r>
    </w:p>
    <w:p w14:paraId="5A45DFD4" w14:textId="77777777" w:rsidR="00DC556E" w:rsidRDefault="00DC556E" w:rsidP="00BB03E5">
      <w:pPr>
        <w:pStyle w:val="Bullet-list"/>
        <w:spacing w:after="0" w:line="240" w:lineRule="auto"/>
        <w:ind w:left="567" w:hanging="567"/>
        <w:rPr>
          <w:rFonts w:ascii="Times New Roman" w:hAnsi="Times New Roman"/>
          <w:sz w:val="24"/>
          <w:szCs w:val="24"/>
        </w:rPr>
      </w:pPr>
    </w:p>
    <w:p w14:paraId="45A8B4F6" w14:textId="77777777" w:rsidR="00C61B61" w:rsidRPr="00726D27" w:rsidRDefault="00C61B61" w:rsidP="00C61B61">
      <w:pPr>
        <w:pStyle w:val="Bullet-list"/>
        <w:spacing w:after="0" w:line="240" w:lineRule="auto"/>
        <w:ind w:left="0" w:firstLine="0"/>
        <w:jc w:val="both"/>
        <w:rPr>
          <w:rFonts w:ascii="Times New Roman" w:hAnsi="Times New Roman"/>
          <w:i/>
          <w:sz w:val="24"/>
          <w:szCs w:val="24"/>
        </w:rPr>
      </w:pPr>
      <w:r w:rsidRPr="00726D27">
        <w:rPr>
          <w:rFonts w:ascii="Times New Roman" w:hAnsi="Times New Roman"/>
          <w:b/>
          <w:i/>
          <w:sz w:val="24"/>
          <w:szCs w:val="24"/>
        </w:rPr>
        <w:t>Neutrality</w:t>
      </w:r>
    </w:p>
    <w:p w14:paraId="74331F40" w14:textId="77777777" w:rsidR="00C61B61" w:rsidRDefault="00C61B61" w:rsidP="00BB03E5">
      <w:pPr>
        <w:pStyle w:val="Bullet-list"/>
        <w:spacing w:after="0" w:line="240" w:lineRule="auto"/>
        <w:ind w:left="567" w:hanging="567"/>
        <w:rPr>
          <w:rFonts w:ascii="Times New Roman" w:hAnsi="Times New Roman"/>
          <w:sz w:val="24"/>
          <w:szCs w:val="24"/>
        </w:rPr>
      </w:pPr>
    </w:p>
    <w:p w14:paraId="6842CAF1" w14:textId="77777777" w:rsidR="00DC556E" w:rsidRDefault="00DC556E" w:rsidP="00DE15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DE1543">
        <w:rPr>
          <w:rFonts w:ascii="Times New Roman" w:hAnsi="Times New Roman"/>
          <w:sz w:val="24"/>
          <w:szCs w:val="24"/>
          <w:lang w:val="en-NZ"/>
        </w:rPr>
        <w:t>This collection system would only collect GST on services purchased with a New Zealand issued credit or debit card. Consequently, payment by other means would not be captured</w:t>
      </w:r>
      <w:r w:rsidR="00DE1543" w:rsidRPr="00DE1543">
        <w:rPr>
          <w:rFonts w:ascii="Times New Roman" w:hAnsi="Times New Roman"/>
          <w:sz w:val="24"/>
          <w:szCs w:val="24"/>
          <w:lang w:val="en-NZ"/>
        </w:rPr>
        <w:t xml:space="preserve"> under this system. For example, </w:t>
      </w:r>
      <w:r w:rsidRPr="00DE1543">
        <w:rPr>
          <w:rFonts w:ascii="Times New Roman" w:hAnsi="Times New Roman"/>
          <w:sz w:val="24"/>
          <w:szCs w:val="24"/>
          <w:lang w:val="en-NZ"/>
        </w:rPr>
        <w:t>services paid for using overseas bank accounts including oversea</w:t>
      </w:r>
      <w:r w:rsidR="00DE1543" w:rsidRPr="00DE1543">
        <w:rPr>
          <w:rFonts w:ascii="Times New Roman" w:hAnsi="Times New Roman"/>
          <w:sz w:val="24"/>
          <w:szCs w:val="24"/>
          <w:lang w:val="en-NZ"/>
        </w:rPr>
        <w:t>s domiciled credit/debit cards and c</w:t>
      </w:r>
      <w:r w:rsidRPr="00DE1543">
        <w:rPr>
          <w:rFonts w:ascii="Times New Roman" w:hAnsi="Times New Roman"/>
          <w:sz w:val="24"/>
          <w:szCs w:val="24"/>
          <w:lang w:val="en-NZ"/>
        </w:rPr>
        <w:t xml:space="preserve">onsumers could also use online banking to make payments to overseas </w:t>
      </w:r>
      <w:r w:rsidR="00DE1543" w:rsidRPr="00DE1543">
        <w:rPr>
          <w:rFonts w:ascii="Times New Roman" w:hAnsi="Times New Roman"/>
          <w:sz w:val="24"/>
          <w:szCs w:val="24"/>
          <w:lang w:val="en-NZ"/>
        </w:rPr>
        <w:t>suppliers</w:t>
      </w:r>
      <w:r w:rsidR="00DE1543">
        <w:rPr>
          <w:rFonts w:ascii="Times New Roman" w:hAnsi="Times New Roman"/>
          <w:sz w:val="24"/>
          <w:szCs w:val="24"/>
          <w:lang w:val="en-NZ"/>
        </w:rPr>
        <w:t>.</w:t>
      </w:r>
    </w:p>
    <w:p w14:paraId="65706095" w14:textId="77777777" w:rsidR="00DE1543" w:rsidRPr="00DE1543" w:rsidRDefault="00DE1543" w:rsidP="00DE1543">
      <w:pPr>
        <w:pStyle w:val="Bullet-list"/>
        <w:spacing w:after="0" w:line="240" w:lineRule="auto"/>
        <w:ind w:left="0" w:firstLine="0"/>
        <w:jc w:val="both"/>
        <w:rPr>
          <w:rFonts w:ascii="Times New Roman" w:hAnsi="Times New Roman"/>
          <w:sz w:val="24"/>
          <w:szCs w:val="24"/>
          <w:lang w:val="en-NZ"/>
        </w:rPr>
      </w:pPr>
    </w:p>
    <w:p w14:paraId="23361696" w14:textId="77777777" w:rsidR="00C61B61" w:rsidRPr="00726D27" w:rsidRDefault="00C61B61" w:rsidP="00C61B61">
      <w:pPr>
        <w:pStyle w:val="Bullet-list"/>
        <w:spacing w:after="0" w:line="240" w:lineRule="auto"/>
        <w:ind w:left="0" w:firstLine="0"/>
        <w:jc w:val="both"/>
        <w:rPr>
          <w:rFonts w:ascii="Times New Roman" w:hAnsi="Times New Roman"/>
          <w:i/>
          <w:sz w:val="24"/>
          <w:szCs w:val="24"/>
          <w:lang w:val="en-GB"/>
        </w:rPr>
      </w:pPr>
      <w:r w:rsidRPr="00726D27">
        <w:rPr>
          <w:rFonts w:ascii="Times New Roman" w:hAnsi="Times New Roman"/>
          <w:b/>
          <w:i/>
          <w:sz w:val="24"/>
          <w:szCs w:val="24"/>
          <w:lang w:val="en-GB"/>
        </w:rPr>
        <w:t>Effectiveness and fairness</w:t>
      </w:r>
    </w:p>
    <w:p w14:paraId="6D0D45E4" w14:textId="77777777" w:rsidR="00C61B61" w:rsidRDefault="00C61B61" w:rsidP="00BB03E5">
      <w:pPr>
        <w:pStyle w:val="Bullet-list"/>
        <w:spacing w:after="0" w:line="240" w:lineRule="auto"/>
        <w:ind w:left="567" w:hanging="567"/>
        <w:rPr>
          <w:rFonts w:ascii="Times New Roman" w:hAnsi="Times New Roman"/>
          <w:sz w:val="24"/>
          <w:szCs w:val="24"/>
        </w:rPr>
      </w:pPr>
    </w:p>
    <w:p w14:paraId="313F2E05" w14:textId="77777777" w:rsidR="00C9640D" w:rsidRDefault="00DE1543" w:rsidP="00DE15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sidRPr="00DE1543">
        <w:rPr>
          <w:rFonts w:ascii="Times New Roman" w:hAnsi="Times New Roman"/>
          <w:sz w:val="24"/>
          <w:szCs w:val="24"/>
          <w:lang w:val="en-NZ"/>
        </w:rPr>
        <w:t>This option is limited to collecting GST on New Zealand issued credit and debit cards and therefore may not easily respond to future developments in the way consumers pay for services online. Therefore, the longevity of this system could be an issue.</w:t>
      </w:r>
    </w:p>
    <w:p w14:paraId="5FD548C3" w14:textId="77777777" w:rsidR="00C9640D" w:rsidRDefault="00C9640D" w:rsidP="00C9640D">
      <w:pPr>
        <w:pStyle w:val="Bullet-list"/>
        <w:spacing w:after="0" w:line="240" w:lineRule="auto"/>
        <w:ind w:left="0" w:firstLine="0"/>
        <w:jc w:val="both"/>
        <w:rPr>
          <w:rFonts w:ascii="Times New Roman" w:hAnsi="Times New Roman"/>
          <w:sz w:val="24"/>
          <w:szCs w:val="24"/>
          <w:lang w:val="en-NZ"/>
        </w:rPr>
      </w:pPr>
    </w:p>
    <w:p w14:paraId="14553D9B" w14:textId="2CA3682F" w:rsidR="00C61B61" w:rsidRPr="00DE1543" w:rsidRDefault="00C9640D" w:rsidP="00DE154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As discussed above, if the collection system cannot accurately distinguish between services consumed in New Zealand and services consumed outside of New Zealand, there is a risk that some services will be over taxed or subject to double tax as the overseas jurisdiction may also seek to apply GST/VAT to the services.</w:t>
      </w:r>
      <w:r w:rsidR="00117150">
        <w:rPr>
          <w:rFonts w:ascii="Times New Roman" w:hAnsi="Times New Roman"/>
          <w:sz w:val="24"/>
          <w:szCs w:val="24"/>
          <w:lang w:val="en-NZ"/>
        </w:rPr>
        <w:t xml:space="preserve"> This would negatively impact the fairness of this option.</w:t>
      </w:r>
    </w:p>
    <w:p w14:paraId="252911D7" w14:textId="77777777" w:rsidR="00C61B61" w:rsidRDefault="00C61B61" w:rsidP="00BB03E5">
      <w:pPr>
        <w:pStyle w:val="Bullet-list"/>
        <w:spacing w:after="0" w:line="240" w:lineRule="auto"/>
        <w:ind w:left="567" w:hanging="567"/>
        <w:rPr>
          <w:rFonts w:ascii="Times New Roman" w:hAnsi="Times New Roman"/>
          <w:sz w:val="24"/>
          <w:szCs w:val="24"/>
        </w:rPr>
      </w:pPr>
    </w:p>
    <w:p w14:paraId="339E373A" w14:textId="11EAF6E1" w:rsidR="00AA0207" w:rsidRPr="00AA0207" w:rsidRDefault="00AA0207" w:rsidP="000F15EF">
      <w:pPr>
        <w:pStyle w:val="Bullet-list"/>
        <w:keepNext/>
        <w:spacing w:after="0" w:line="240" w:lineRule="auto"/>
        <w:ind w:left="567" w:hanging="567"/>
        <w:rPr>
          <w:rFonts w:ascii="Times New Roman" w:hAnsi="Times New Roman"/>
          <w:b/>
          <w:sz w:val="24"/>
          <w:szCs w:val="24"/>
        </w:rPr>
      </w:pPr>
      <w:r w:rsidRPr="00AA0207">
        <w:rPr>
          <w:rFonts w:ascii="Times New Roman" w:hAnsi="Times New Roman"/>
          <w:b/>
          <w:sz w:val="24"/>
          <w:szCs w:val="24"/>
        </w:rPr>
        <w:t xml:space="preserve">Option </w:t>
      </w:r>
      <w:r w:rsidR="006F6154">
        <w:rPr>
          <w:rFonts w:ascii="Times New Roman" w:hAnsi="Times New Roman"/>
          <w:b/>
          <w:sz w:val="24"/>
          <w:szCs w:val="24"/>
        </w:rPr>
        <w:t>4</w:t>
      </w:r>
      <w:r w:rsidRPr="00AA0207">
        <w:rPr>
          <w:rFonts w:ascii="Times New Roman" w:hAnsi="Times New Roman"/>
          <w:b/>
          <w:sz w:val="24"/>
          <w:szCs w:val="24"/>
        </w:rPr>
        <w:t xml:space="preserve">: </w:t>
      </w:r>
      <w:r w:rsidR="0072470D">
        <w:rPr>
          <w:rFonts w:ascii="Times New Roman" w:hAnsi="Times New Roman"/>
          <w:b/>
          <w:sz w:val="24"/>
          <w:szCs w:val="24"/>
        </w:rPr>
        <w:t>S</w:t>
      </w:r>
      <w:r w:rsidRPr="00AA0207">
        <w:rPr>
          <w:rFonts w:ascii="Times New Roman" w:hAnsi="Times New Roman"/>
          <w:b/>
          <w:sz w:val="24"/>
          <w:szCs w:val="24"/>
        </w:rPr>
        <w:t>tatus quo</w:t>
      </w:r>
    </w:p>
    <w:p w14:paraId="6993EC78" w14:textId="77777777" w:rsidR="006F6154" w:rsidRDefault="006F6154" w:rsidP="00C90ABE">
      <w:pPr>
        <w:pStyle w:val="Bullet-list"/>
        <w:keepNext/>
        <w:spacing w:after="0" w:line="240" w:lineRule="auto"/>
        <w:ind w:left="0" w:firstLine="0"/>
        <w:rPr>
          <w:rFonts w:ascii="Times New Roman" w:hAnsi="Times New Roman"/>
          <w:sz w:val="24"/>
          <w:szCs w:val="24"/>
        </w:rPr>
      </w:pPr>
    </w:p>
    <w:p w14:paraId="1C301CF8" w14:textId="031C6822" w:rsidR="006A4272" w:rsidRPr="006A4272" w:rsidRDefault="00A13FD9" w:rsidP="000F15EF">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Under the status quo, GST </w:t>
      </w:r>
      <w:r w:rsidR="00272321">
        <w:rPr>
          <w:rFonts w:ascii="Times New Roman" w:hAnsi="Times New Roman"/>
          <w:sz w:val="24"/>
          <w:szCs w:val="24"/>
          <w:lang w:val="en-NZ"/>
        </w:rPr>
        <w:t xml:space="preserve">would </w:t>
      </w:r>
      <w:r>
        <w:rPr>
          <w:rFonts w:ascii="Times New Roman" w:hAnsi="Times New Roman"/>
          <w:sz w:val="24"/>
          <w:szCs w:val="24"/>
          <w:lang w:val="en-NZ"/>
        </w:rPr>
        <w:t>not</w:t>
      </w:r>
      <w:r w:rsidR="00C7644E">
        <w:rPr>
          <w:rFonts w:ascii="Times New Roman" w:hAnsi="Times New Roman"/>
          <w:sz w:val="24"/>
          <w:szCs w:val="24"/>
          <w:lang w:val="en-NZ"/>
        </w:rPr>
        <w:t xml:space="preserve"> be</w:t>
      </w:r>
      <w:r>
        <w:rPr>
          <w:rFonts w:ascii="Times New Roman" w:hAnsi="Times New Roman"/>
          <w:sz w:val="24"/>
          <w:szCs w:val="24"/>
          <w:lang w:val="en-NZ"/>
        </w:rPr>
        <w:t xml:space="preserve"> collected on supplies of cross-border remote services </w:t>
      </w:r>
      <w:r w:rsidR="00C7644E">
        <w:rPr>
          <w:rFonts w:ascii="Times New Roman" w:hAnsi="Times New Roman"/>
          <w:sz w:val="24"/>
          <w:szCs w:val="24"/>
          <w:lang w:val="en-NZ"/>
        </w:rPr>
        <w:t xml:space="preserve">and intangibles </w:t>
      </w:r>
      <w:r>
        <w:rPr>
          <w:rFonts w:ascii="Times New Roman" w:hAnsi="Times New Roman"/>
          <w:sz w:val="24"/>
          <w:szCs w:val="24"/>
          <w:lang w:val="en-NZ"/>
        </w:rPr>
        <w:t>rece</w:t>
      </w:r>
      <w:r w:rsidR="006A4272">
        <w:rPr>
          <w:rFonts w:ascii="Times New Roman" w:hAnsi="Times New Roman"/>
          <w:sz w:val="24"/>
          <w:szCs w:val="24"/>
          <w:lang w:val="en-NZ"/>
        </w:rPr>
        <w:t>ived by New Zealand residents.</w:t>
      </w:r>
      <w:r w:rsidR="00C7644E">
        <w:rPr>
          <w:rFonts w:ascii="Times New Roman" w:hAnsi="Times New Roman"/>
          <w:sz w:val="24"/>
          <w:szCs w:val="24"/>
          <w:lang w:val="en-NZ"/>
        </w:rPr>
        <w:t xml:space="preserve"> As a result the competitive distortions between domestic and offshore suppliers </w:t>
      </w:r>
      <w:r w:rsidR="00272321">
        <w:rPr>
          <w:rFonts w:ascii="Times New Roman" w:hAnsi="Times New Roman"/>
          <w:sz w:val="24"/>
          <w:szCs w:val="24"/>
          <w:lang w:val="en-NZ"/>
        </w:rPr>
        <w:t xml:space="preserve">would </w:t>
      </w:r>
      <w:r w:rsidR="00C7644E">
        <w:rPr>
          <w:rFonts w:ascii="Times New Roman" w:hAnsi="Times New Roman"/>
          <w:sz w:val="24"/>
          <w:szCs w:val="24"/>
          <w:lang w:val="en-NZ"/>
        </w:rPr>
        <w:t xml:space="preserve">continue and the Government </w:t>
      </w:r>
      <w:r w:rsidR="00272321">
        <w:rPr>
          <w:rFonts w:ascii="Times New Roman" w:hAnsi="Times New Roman"/>
          <w:sz w:val="24"/>
          <w:szCs w:val="24"/>
          <w:lang w:val="en-NZ"/>
        </w:rPr>
        <w:t xml:space="preserve">would </w:t>
      </w:r>
      <w:r w:rsidR="00C7644E">
        <w:rPr>
          <w:rFonts w:ascii="Times New Roman" w:hAnsi="Times New Roman"/>
          <w:sz w:val="24"/>
          <w:szCs w:val="24"/>
          <w:lang w:val="en-NZ"/>
        </w:rPr>
        <w:t xml:space="preserve">not collect $40 million on services and intangibles that are consumed in New Zealand. </w:t>
      </w:r>
      <w:r w:rsidR="006A4272">
        <w:rPr>
          <w:rFonts w:ascii="Times New Roman" w:hAnsi="Times New Roman"/>
          <w:sz w:val="24"/>
          <w:szCs w:val="24"/>
          <w:lang w:val="en-NZ"/>
        </w:rPr>
        <w:t xml:space="preserve"> </w:t>
      </w:r>
    </w:p>
    <w:p w14:paraId="40C48A5C" w14:textId="77777777" w:rsidR="006F6154" w:rsidRPr="00C61B61" w:rsidRDefault="006F6154" w:rsidP="006F6154">
      <w:pPr>
        <w:pStyle w:val="Bullet-list"/>
        <w:spacing w:after="0" w:line="240" w:lineRule="auto"/>
        <w:ind w:left="720" w:firstLine="0"/>
        <w:jc w:val="both"/>
        <w:rPr>
          <w:rFonts w:ascii="Times New Roman" w:hAnsi="Times New Roman"/>
          <w:sz w:val="24"/>
          <w:szCs w:val="24"/>
          <w:lang w:val="en-NZ"/>
        </w:rPr>
      </w:pPr>
    </w:p>
    <w:p w14:paraId="4EFCC170" w14:textId="77777777" w:rsidR="006F6154" w:rsidRPr="00C61B61" w:rsidRDefault="006F6154" w:rsidP="006F6154">
      <w:pPr>
        <w:pStyle w:val="Bullet-list"/>
        <w:spacing w:after="0" w:line="240" w:lineRule="auto"/>
        <w:ind w:left="567" w:hanging="567"/>
        <w:rPr>
          <w:rFonts w:ascii="Times New Roman" w:hAnsi="Times New Roman"/>
          <w:b/>
          <w:i/>
          <w:sz w:val="24"/>
          <w:szCs w:val="24"/>
        </w:rPr>
      </w:pPr>
      <w:r w:rsidRPr="00C61B61">
        <w:rPr>
          <w:rFonts w:ascii="Times New Roman" w:hAnsi="Times New Roman"/>
          <w:b/>
          <w:i/>
          <w:sz w:val="24"/>
          <w:szCs w:val="24"/>
        </w:rPr>
        <w:t>Certainty and simplicity</w:t>
      </w:r>
    </w:p>
    <w:p w14:paraId="5195D39B" w14:textId="77777777" w:rsidR="006F6154" w:rsidRDefault="006F6154" w:rsidP="006F6154">
      <w:pPr>
        <w:pStyle w:val="Bullet-list"/>
        <w:spacing w:after="0" w:line="240" w:lineRule="auto"/>
        <w:ind w:left="567" w:hanging="567"/>
        <w:rPr>
          <w:rFonts w:ascii="Times New Roman" w:hAnsi="Times New Roman"/>
          <w:sz w:val="24"/>
          <w:szCs w:val="24"/>
        </w:rPr>
      </w:pPr>
    </w:p>
    <w:p w14:paraId="7BE3CD0D" w14:textId="31B22056" w:rsidR="006F6154" w:rsidRPr="00DE1543" w:rsidRDefault="0072470D" w:rsidP="006F615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As GST is not collected on cross-border supplies of services and intangibles, this option </w:t>
      </w:r>
      <w:r w:rsidR="009803F7">
        <w:rPr>
          <w:rFonts w:ascii="Times New Roman" w:hAnsi="Times New Roman"/>
          <w:sz w:val="24"/>
          <w:szCs w:val="24"/>
          <w:lang w:val="en-NZ"/>
        </w:rPr>
        <w:t>is</w:t>
      </w:r>
      <w:r>
        <w:rPr>
          <w:rFonts w:ascii="Times New Roman" w:hAnsi="Times New Roman"/>
          <w:sz w:val="24"/>
          <w:szCs w:val="24"/>
          <w:lang w:val="en-NZ"/>
        </w:rPr>
        <w:t xml:space="preserve"> associated with greater certainty and simplicity when compared to the other options. </w:t>
      </w:r>
    </w:p>
    <w:p w14:paraId="2F7F4FEB" w14:textId="77777777" w:rsidR="006F6154" w:rsidRPr="00DE1543" w:rsidRDefault="006F6154" w:rsidP="006F6154">
      <w:pPr>
        <w:pStyle w:val="Bullet-list"/>
        <w:spacing w:after="0" w:line="240" w:lineRule="auto"/>
        <w:ind w:left="0" w:firstLine="0"/>
        <w:jc w:val="both"/>
        <w:rPr>
          <w:rFonts w:ascii="Times New Roman" w:hAnsi="Times New Roman"/>
          <w:sz w:val="24"/>
          <w:szCs w:val="24"/>
          <w:lang w:val="en-NZ"/>
        </w:rPr>
      </w:pPr>
    </w:p>
    <w:p w14:paraId="4229BB72" w14:textId="77777777" w:rsidR="006F6154" w:rsidRPr="00726D27" w:rsidRDefault="006F6154" w:rsidP="006F6154">
      <w:pPr>
        <w:pStyle w:val="Bullet-list"/>
        <w:tabs>
          <w:tab w:val="num" w:pos="567"/>
        </w:tabs>
        <w:spacing w:after="0" w:line="240" w:lineRule="auto"/>
        <w:ind w:left="0" w:firstLine="0"/>
        <w:jc w:val="both"/>
        <w:rPr>
          <w:rFonts w:ascii="Times New Roman" w:hAnsi="Times New Roman"/>
          <w:b/>
          <w:i/>
          <w:sz w:val="24"/>
          <w:szCs w:val="24"/>
          <w:lang w:val="en-GB"/>
        </w:rPr>
      </w:pPr>
      <w:r w:rsidRPr="00726D27">
        <w:rPr>
          <w:rFonts w:ascii="Times New Roman" w:hAnsi="Times New Roman"/>
          <w:b/>
          <w:i/>
          <w:sz w:val="24"/>
          <w:szCs w:val="24"/>
          <w:lang w:val="en-GB"/>
        </w:rPr>
        <w:t>Efficiency of compliance and administration</w:t>
      </w:r>
    </w:p>
    <w:p w14:paraId="5608CC6B" w14:textId="77777777" w:rsidR="006F6154" w:rsidRDefault="006F6154" w:rsidP="006F6154">
      <w:pPr>
        <w:pStyle w:val="Bullet-list"/>
        <w:spacing w:after="0" w:line="240" w:lineRule="auto"/>
        <w:ind w:left="567" w:hanging="567"/>
        <w:rPr>
          <w:rFonts w:ascii="Times New Roman" w:hAnsi="Times New Roman"/>
          <w:sz w:val="24"/>
          <w:szCs w:val="24"/>
        </w:rPr>
      </w:pPr>
    </w:p>
    <w:p w14:paraId="2A971411" w14:textId="06D6DD44" w:rsidR="006F6154" w:rsidRPr="009F09DB" w:rsidRDefault="00A13FD9" w:rsidP="006F6154">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As offshore suppliers are not required to return GST on supplies of services and intangibles to New Zealand resident consumers, </w:t>
      </w:r>
      <w:r w:rsidR="0072470D">
        <w:rPr>
          <w:rFonts w:ascii="Times New Roman" w:hAnsi="Times New Roman"/>
          <w:sz w:val="24"/>
          <w:szCs w:val="24"/>
          <w:lang w:val="en-NZ"/>
        </w:rPr>
        <w:t>there are fewer</w:t>
      </w:r>
      <w:r w:rsidR="006A4272">
        <w:rPr>
          <w:rFonts w:ascii="Times New Roman" w:hAnsi="Times New Roman"/>
          <w:sz w:val="24"/>
          <w:szCs w:val="24"/>
          <w:lang w:val="en-NZ"/>
        </w:rPr>
        <w:t xml:space="preserve"> </w:t>
      </w:r>
      <w:r>
        <w:rPr>
          <w:rFonts w:ascii="Times New Roman" w:hAnsi="Times New Roman"/>
          <w:sz w:val="24"/>
          <w:szCs w:val="24"/>
          <w:lang w:val="en-NZ"/>
        </w:rPr>
        <w:t>compliance</w:t>
      </w:r>
      <w:r w:rsidR="000B0153">
        <w:rPr>
          <w:rFonts w:ascii="Times New Roman" w:hAnsi="Times New Roman"/>
          <w:sz w:val="24"/>
          <w:szCs w:val="24"/>
          <w:lang w:val="en-NZ"/>
        </w:rPr>
        <w:t xml:space="preserve"> and administration</w:t>
      </w:r>
      <w:r>
        <w:rPr>
          <w:rFonts w:ascii="Times New Roman" w:hAnsi="Times New Roman"/>
          <w:sz w:val="24"/>
          <w:szCs w:val="24"/>
          <w:lang w:val="en-NZ"/>
        </w:rPr>
        <w:t xml:space="preserve"> costs</w:t>
      </w:r>
      <w:r w:rsidR="0072470D">
        <w:rPr>
          <w:rFonts w:ascii="Times New Roman" w:hAnsi="Times New Roman"/>
          <w:sz w:val="24"/>
          <w:szCs w:val="24"/>
          <w:lang w:val="en-NZ"/>
        </w:rPr>
        <w:t xml:space="preserve"> associated with this option</w:t>
      </w:r>
      <w:r w:rsidR="0038007D">
        <w:rPr>
          <w:rFonts w:ascii="Times New Roman" w:hAnsi="Times New Roman"/>
          <w:sz w:val="24"/>
          <w:szCs w:val="24"/>
          <w:lang w:val="en-NZ"/>
        </w:rPr>
        <w:t>.</w:t>
      </w:r>
    </w:p>
    <w:p w14:paraId="4615AEF2" w14:textId="77777777" w:rsidR="006F6154" w:rsidRDefault="006F6154" w:rsidP="006F6154">
      <w:pPr>
        <w:pStyle w:val="Bullet-list"/>
        <w:spacing w:after="0" w:line="240" w:lineRule="auto"/>
        <w:ind w:left="567" w:hanging="567"/>
        <w:rPr>
          <w:rFonts w:ascii="Times New Roman" w:hAnsi="Times New Roman"/>
          <w:sz w:val="24"/>
          <w:szCs w:val="24"/>
        </w:rPr>
      </w:pPr>
    </w:p>
    <w:p w14:paraId="48E54AF3" w14:textId="77777777" w:rsidR="006F6154" w:rsidRPr="00726D27" w:rsidRDefault="006F6154" w:rsidP="000F15EF">
      <w:pPr>
        <w:pStyle w:val="Bullet-list"/>
        <w:keepNext/>
        <w:spacing w:after="0" w:line="240" w:lineRule="auto"/>
        <w:ind w:left="0" w:firstLine="0"/>
        <w:jc w:val="both"/>
        <w:rPr>
          <w:rFonts w:ascii="Times New Roman" w:hAnsi="Times New Roman"/>
          <w:i/>
          <w:sz w:val="24"/>
          <w:szCs w:val="24"/>
        </w:rPr>
      </w:pPr>
      <w:r w:rsidRPr="00726D27">
        <w:rPr>
          <w:rFonts w:ascii="Times New Roman" w:hAnsi="Times New Roman"/>
          <w:b/>
          <w:i/>
          <w:sz w:val="24"/>
          <w:szCs w:val="24"/>
        </w:rPr>
        <w:t>Neutrality</w:t>
      </w:r>
    </w:p>
    <w:p w14:paraId="1F792405" w14:textId="77777777" w:rsidR="006F6154" w:rsidRDefault="006F6154" w:rsidP="000F15EF">
      <w:pPr>
        <w:pStyle w:val="Bullet-list"/>
        <w:keepNext/>
        <w:spacing w:after="0" w:line="240" w:lineRule="auto"/>
        <w:ind w:left="567" w:hanging="567"/>
        <w:rPr>
          <w:rFonts w:ascii="Times New Roman" w:hAnsi="Times New Roman"/>
          <w:sz w:val="24"/>
          <w:szCs w:val="24"/>
        </w:rPr>
      </w:pPr>
    </w:p>
    <w:p w14:paraId="0567A232" w14:textId="1F12FE6E" w:rsidR="006F6154" w:rsidRDefault="00F14213" w:rsidP="000F15EF">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This option </w:t>
      </w:r>
      <w:r w:rsidR="0072470D">
        <w:rPr>
          <w:rFonts w:ascii="Times New Roman" w:hAnsi="Times New Roman"/>
          <w:sz w:val="24"/>
          <w:szCs w:val="24"/>
          <w:lang w:val="en-NZ"/>
        </w:rPr>
        <w:t xml:space="preserve">is the least </w:t>
      </w:r>
      <w:r w:rsidR="009803F7">
        <w:rPr>
          <w:rFonts w:ascii="Times New Roman" w:hAnsi="Times New Roman"/>
          <w:sz w:val="24"/>
          <w:szCs w:val="24"/>
          <w:lang w:val="en-NZ"/>
        </w:rPr>
        <w:t>neutral of those considered, as the tax treatment of a remote service consumed in New Zealand will depend on whether the service is purchased from a domestic or offshore supplier. Th</w:t>
      </w:r>
      <w:r w:rsidR="000D01DE">
        <w:rPr>
          <w:rFonts w:ascii="Times New Roman" w:hAnsi="Times New Roman"/>
          <w:sz w:val="24"/>
          <w:szCs w:val="24"/>
          <w:lang w:val="en-NZ"/>
        </w:rPr>
        <w:t>ese differences in</w:t>
      </w:r>
      <w:r w:rsidR="009803F7">
        <w:rPr>
          <w:rFonts w:ascii="Times New Roman" w:hAnsi="Times New Roman"/>
          <w:sz w:val="24"/>
          <w:szCs w:val="24"/>
          <w:lang w:val="en-NZ"/>
        </w:rPr>
        <w:t xml:space="preserve"> tax treatment </w:t>
      </w:r>
      <w:r w:rsidR="00CD430C">
        <w:rPr>
          <w:rFonts w:ascii="Times New Roman" w:hAnsi="Times New Roman"/>
          <w:sz w:val="24"/>
          <w:szCs w:val="24"/>
          <w:lang w:val="en-NZ"/>
        </w:rPr>
        <w:t>may</w:t>
      </w:r>
      <w:r w:rsidR="00117150">
        <w:rPr>
          <w:rFonts w:ascii="Times New Roman" w:hAnsi="Times New Roman"/>
          <w:sz w:val="24"/>
          <w:szCs w:val="24"/>
          <w:lang w:val="en-NZ"/>
        </w:rPr>
        <w:t xml:space="preserve"> </w:t>
      </w:r>
      <w:r w:rsidR="009803F7">
        <w:rPr>
          <w:rFonts w:ascii="Times New Roman" w:hAnsi="Times New Roman"/>
          <w:sz w:val="24"/>
          <w:szCs w:val="24"/>
          <w:lang w:val="en-NZ"/>
        </w:rPr>
        <w:t>distort consumers’ decision making, as purchases of remote services from an offshore supplier are not subject to GST, while those from domestic suppliers are generally taxed.</w:t>
      </w:r>
    </w:p>
    <w:p w14:paraId="73C60B7D" w14:textId="77777777" w:rsidR="006F6154" w:rsidRPr="00DE1543" w:rsidRDefault="006F6154" w:rsidP="006F6154">
      <w:pPr>
        <w:pStyle w:val="Bullet-list"/>
        <w:spacing w:after="0" w:line="240" w:lineRule="auto"/>
        <w:ind w:left="0" w:firstLine="0"/>
        <w:jc w:val="both"/>
        <w:rPr>
          <w:rFonts w:ascii="Times New Roman" w:hAnsi="Times New Roman"/>
          <w:sz w:val="24"/>
          <w:szCs w:val="24"/>
          <w:lang w:val="en-NZ"/>
        </w:rPr>
      </w:pPr>
    </w:p>
    <w:p w14:paraId="0FB3A483" w14:textId="77777777" w:rsidR="006F6154" w:rsidRPr="00726D27" w:rsidRDefault="006F6154" w:rsidP="006F6154">
      <w:pPr>
        <w:pStyle w:val="Bullet-list"/>
        <w:spacing w:after="0" w:line="240" w:lineRule="auto"/>
        <w:ind w:left="0" w:firstLine="0"/>
        <w:jc w:val="both"/>
        <w:rPr>
          <w:rFonts w:ascii="Times New Roman" w:hAnsi="Times New Roman"/>
          <w:i/>
          <w:sz w:val="24"/>
          <w:szCs w:val="24"/>
          <w:lang w:val="en-GB"/>
        </w:rPr>
      </w:pPr>
      <w:r w:rsidRPr="00726D27">
        <w:rPr>
          <w:rFonts w:ascii="Times New Roman" w:hAnsi="Times New Roman"/>
          <w:b/>
          <w:i/>
          <w:sz w:val="24"/>
          <w:szCs w:val="24"/>
          <w:lang w:val="en-GB"/>
        </w:rPr>
        <w:t>Effectiveness and fairness</w:t>
      </w:r>
    </w:p>
    <w:p w14:paraId="79BAF0DB" w14:textId="77777777" w:rsidR="006F6154" w:rsidRDefault="006F6154" w:rsidP="006F6154">
      <w:pPr>
        <w:pStyle w:val="Bullet-list"/>
        <w:spacing w:after="0" w:line="240" w:lineRule="auto"/>
        <w:ind w:left="567" w:hanging="567"/>
        <w:rPr>
          <w:rFonts w:ascii="Times New Roman" w:hAnsi="Times New Roman"/>
          <w:sz w:val="24"/>
          <w:szCs w:val="24"/>
        </w:rPr>
      </w:pPr>
    </w:p>
    <w:p w14:paraId="36B7968E" w14:textId="73D3A150" w:rsidR="00CD430C" w:rsidRDefault="00A13FD9" w:rsidP="00A13FD9">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Many domestic suppliers feel that the current tax settings place them at an unfair disadvantage when compared with offshore suppliers </w:t>
      </w:r>
      <w:r w:rsidR="00272321">
        <w:rPr>
          <w:rFonts w:ascii="Times New Roman" w:hAnsi="Times New Roman"/>
          <w:sz w:val="24"/>
          <w:szCs w:val="24"/>
          <w:lang w:val="en-NZ"/>
        </w:rPr>
        <w:t xml:space="preserve">who </w:t>
      </w:r>
      <w:r>
        <w:rPr>
          <w:rFonts w:ascii="Times New Roman" w:hAnsi="Times New Roman"/>
          <w:sz w:val="24"/>
          <w:szCs w:val="24"/>
          <w:lang w:val="en-NZ"/>
        </w:rPr>
        <w:t>are not required to return GST on supplies of services and intangibles</w:t>
      </w:r>
      <w:r w:rsidR="00272321">
        <w:rPr>
          <w:rFonts w:ascii="Times New Roman" w:hAnsi="Times New Roman"/>
          <w:sz w:val="24"/>
          <w:szCs w:val="24"/>
          <w:lang w:val="en-NZ"/>
        </w:rPr>
        <w:t xml:space="preserve"> to the same customers</w:t>
      </w:r>
      <w:r>
        <w:rPr>
          <w:rFonts w:ascii="Times New Roman" w:hAnsi="Times New Roman"/>
          <w:sz w:val="24"/>
          <w:szCs w:val="24"/>
          <w:lang w:val="en-NZ"/>
        </w:rPr>
        <w:t xml:space="preserve">. </w:t>
      </w:r>
      <w:r w:rsidR="0072470D">
        <w:rPr>
          <w:rFonts w:ascii="Times New Roman" w:hAnsi="Times New Roman"/>
          <w:sz w:val="24"/>
          <w:szCs w:val="24"/>
          <w:lang w:val="en-NZ"/>
        </w:rPr>
        <w:t xml:space="preserve">The perception that </w:t>
      </w:r>
      <w:r w:rsidR="0038007D">
        <w:rPr>
          <w:rFonts w:ascii="Times New Roman" w:hAnsi="Times New Roman"/>
          <w:sz w:val="24"/>
          <w:szCs w:val="24"/>
          <w:lang w:val="en-NZ"/>
        </w:rPr>
        <w:t xml:space="preserve">the </w:t>
      </w:r>
      <w:r w:rsidR="0072470D">
        <w:rPr>
          <w:rFonts w:ascii="Times New Roman" w:hAnsi="Times New Roman"/>
          <w:sz w:val="24"/>
          <w:szCs w:val="24"/>
          <w:lang w:val="en-NZ"/>
        </w:rPr>
        <w:t xml:space="preserve">GST </w:t>
      </w:r>
      <w:r w:rsidR="0038007D">
        <w:rPr>
          <w:rFonts w:ascii="Times New Roman" w:hAnsi="Times New Roman"/>
          <w:sz w:val="24"/>
          <w:szCs w:val="24"/>
          <w:lang w:val="en-NZ"/>
        </w:rPr>
        <w:t xml:space="preserve">rules are </w:t>
      </w:r>
      <w:r w:rsidR="0072470D">
        <w:rPr>
          <w:rFonts w:ascii="Times New Roman" w:hAnsi="Times New Roman"/>
          <w:sz w:val="24"/>
          <w:szCs w:val="24"/>
          <w:lang w:val="en-NZ"/>
        </w:rPr>
        <w:t xml:space="preserve">ineffective in evenly taxing consumption in New Zealand may undermine compliance with </w:t>
      </w:r>
      <w:r w:rsidR="00117150">
        <w:rPr>
          <w:rFonts w:ascii="Times New Roman" w:hAnsi="Times New Roman"/>
          <w:sz w:val="24"/>
          <w:szCs w:val="24"/>
          <w:lang w:val="en-NZ"/>
        </w:rPr>
        <w:t xml:space="preserve">tax </w:t>
      </w:r>
      <w:r w:rsidR="0072470D">
        <w:rPr>
          <w:rFonts w:ascii="Times New Roman" w:hAnsi="Times New Roman"/>
          <w:sz w:val="24"/>
          <w:szCs w:val="24"/>
          <w:lang w:val="en-NZ"/>
        </w:rPr>
        <w:t>rules more generally.</w:t>
      </w:r>
    </w:p>
    <w:p w14:paraId="78948068" w14:textId="77777777" w:rsidR="00CD430C" w:rsidRDefault="00CD430C" w:rsidP="000F15EF">
      <w:pPr>
        <w:pStyle w:val="Bullet-list"/>
        <w:spacing w:after="0" w:line="240" w:lineRule="auto"/>
        <w:ind w:left="0" w:firstLine="0"/>
        <w:jc w:val="both"/>
        <w:rPr>
          <w:rFonts w:ascii="Times New Roman" w:hAnsi="Times New Roman"/>
          <w:sz w:val="24"/>
          <w:szCs w:val="24"/>
          <w:lang w:val="en-NZ"/>
        </w:rPr>
      </w:pPr>
    </w:p>
    <w:p w14:paraId="07A35184" w14:textId="18E0666A" w:rsidR="00A13FD9" w:rsidRPr="00DE1543" w:rsidRDefault="00CD430C" w:rsidP="00A13FD9">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Domestic suppliers may also restructure their affairs in order to take advantage of the non-collection of GST on services supplied from offshore. This may further exacerbate the </w:t>
      </w:r>
      <w:r w:rsidR="00272321">
        <w:rPr>
          <w:rFonts w:ascii="Times New Roman" w:hAnsi="Times New Roman"/>
          <w:sz w:val="24"/>
          <w:szCs w:val="24"/>
          <w:lang w:val="en-NZ"/>
        </w:rPr>
        <w:t>risk to</w:t>
      </w:r>
      <w:r>
        <w:rPr>
          <w:rFonts w:ascii="Times New Roman" w:hAnsi="Times New Roman"/>
          <w:sz w:val="24"/>
          <w:szCs w:val="24"/>
          <w:lang w:val="en-NZ"/>
        </w:rPr>
        <w:t xml:space="preserve"> the GST base and the competitive unfairness. </w:t>
      </w:r>
    </w:p>
    <w:p w14:paraId="03C60826" w14:textId="77777777" w:rsidR="00D943DD" w:rsidRDefault="00D943DD" w:rsidP="0097279A">
      <w:pPr>
        <w:pStyle w:val="spacer"/>
        <w:keepNext/>
        <w:rPr>
          <w:rFonts w:ascii="Times New Roman" w:hAnsi="Times New Roman"/>
          <w:sz w:val="24"/>
          <w:szCs w:val="24"/>
          <w:lang w:val="en-AU"/>
        </w:rPr>
      </w:pPr>
      <w:bookmarkStart w:id="22" w:name="_Toc244580366"/>
      <w:bookmarkStart w:id="23" w:name="_Toc244587042"/>
      <w:bookmarkStart w:id="24" w:name="_Toc244857276"/>
      <w:bookmarkStart w:id="25" w:name="_Toc244912541"/>
      <w:bookmarkStart w:id="26" w:name="_Toc244916998"/>
    </w:p>
    <w:p w14:paraId="35044426" w14:textId="12396BBD" w:rsidR="0072470D" w:rsidRDefault="0072470D" w:rsidP="0097279A">
      <w:pPr>
        <w:pStyle w:val="Bullet-list"/>
        <w:keepNext/>
        <w:spacing w:after="0" w:line="240" w:lineRule="auto"/>
        <w:ind w:left="0" w:firstLine="0"/>
        <w:jc w:val="both"/>
        <w:rPr>
          <w:rFonts w:ascii="Times New Roman" w:hAnsi="Times New Roman"/>
          <w:b/>
          <w:sz w:val="24"/>
          <w:szCs w:val="24"/>
          <w:lang w:val="en-GB"/>
        </w:rPr>
      </w:pPr>
      <w:r>
        <w:rPr>
          <w:rFonts w:ascii="Times New Roman" w:hAnsi="Times New Roman"/>
          <w:b/>
          <w:sz w:val="24"/>
          <w:szCs w:val="24"/>
          <w:lang w:val="en-GB"/>
        </w:rPr>
        <w:t>Summary of the analysis of the options</w:t>
      </w:r>
      <w:r>
        <w:rPr>
          <w:rFonts w:ascii="Times New Roman" w:hAnsi="Times New Roman"/>
          <w:b/>
          <w:sz w:val="24"/>
          <w:szCs w:val="24"/>
          <w:lang w:val="en-GB"/>
        </w:rPr>
        <w:tab/>
      </w:r>
    </w:p>
    <w:p w14:paraId="1E557019" w14:textId="77777777" w:rsidR="0072470D" w:rsidRPr="0072470D" w:rsidRDefault="0072470D" w:rsidP="0097279A">
      <w:pPr>
        <w:pStyle w:val="Bullet-list"/>
        <w:keepNext/>
        <w:spacing w:after="0" w:line="240" w:lineRule="auto"/>
        <w:ind w:left="0" w:firstLine="0"/>
        <w:jc w:val="both"/>
        <w:rPr>
          <w:rFonts w:ascii="Times New Roman" w:hAnsi="Times New Roman"/>
          <w:sz w:val="24"/>
          <w:szCs w:val="24"/>
          <w:lang w:val="en-GB"/>
        </w:rPr>
      </w:pPr>
    </w:p>
    <w:p w14:paraId="40847834" w14:textId="76C4ACFA" w:rsidR="0072470D" w:rsidRPr="0072470D" w:rsidRDefault="0072470D" w:rsidP="006030CB">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72470D">
        <w:rPr>
          <w:rFonts w:ascii="Times New Roman" w:hAnsi="Times New Roman"/>
          <w:sz w:val="24"/>
          <w:szCs w:val="24"/>
          <w:lang w:val="en-NZ"/>
        </w:rPr>
        <w:t xml:space="preserve">The table below summarises the impact analysis of the </w:t>
      </w:r>
      <w:r>
        <w:rPr>
          <w:rFonts w:ascii="Times New Roman" w:hAnsi="Times New Roman"/>
          <w:sz w:val="24"/>
          <w:szCs w:val="24"/>
          <w:lang w:val="en-NZ"/>
        </w:rPr>
        <w:t xml:space="preserve">options. </w:t>
      </w:r>
      <w:r w:rsidRPr="0072470D">
        <w:rPr>
          <w:rFonts w:ascii="Times New Roman" w:hAnsi="Times New Roman"/>
          <w:sz w:val="24"/>
          <w:szCs w:val="24"/>
          <w:lang w:val="en-NZ"/>
        </w:rPr>
        <w:t xml:space="preserve"> </w:t>
      </w:r>
    </w:p>
    <w:tbl>
      <w:tblPr>
        <w:tblStyle w:val="TableGrid"/>
        <w:tblpPr w:leftFromText="180" w:rightFromText="180" w:vertAnchor="text" w:horzAnchor="margin" w:tblpX="-176" w:tblpY="194"/>
        <w:tblW w:w="9889" w:type="dxa"/>
        <w:tblLayout w:type="fixed"/>
        <w:tblLook w:val="04A0" w:firstRow="1" w:lastRow="0" w:firstColumn="1" w:lastColumn="0" w:noHBand="0" w:noVBand="1"/>
      </w:tblPr>
      <w:tblGrid>
        <w:gridCol w:w="1659"/>
        <w:gridCol w:w="1660"/>
        <w:gridCol w:w="1660"/>
        <w:gridCol w:w="1659"/>
        <w:gridCol w:w="1660"/>
        <w:gridCol w:w="1591"/>
      </w:tblGrid>
      <w:tr w:rsidR="0072470D" w:rsidRPr="008B0E14" w14:paraId="7CE65BAF" w14:textId="77777777" w:rsidTr="0072470D">
        <w:trPr>
          <w:cantSplit/>
        </w:trPr>
        <w:tc>
          <w:tcPr>
            <w:tcW w:w="9889" w:type="dxa"/>
            <w:gridSpan w:val="6"/>
          </w:tcPr>
          <w:p w14:paraId="4EA72294" w14:textId="5263EB6B" w:rsidR="0072470D" w:rsidRDefault="0072470D" w:rsidP="0097279A">
            <w:pPr>
              <w:pStyle w:val="Bullet-list"/>
              <w:tabs>
                <w:tab w:val="num" w:pos="567"/>
              </w:tabs>
              <w:spacing w:after="0" w:line="240" w:lineRule="auto"/>
              <w:ind w:left="0" w:firstLine="0"/>
              <w:jc w:val="center"/>
              <w:rPr>
                <w:rFonts w:ascii="Times New Roman" w:hAnsi="Times New Roman"/>
                <w:b/>
                <w:sz w:val="18"/>
                <w:szCs w:val="18"/>
              </w:rPr>
            </w:pPr>
            <w:r>
              <w:rPr>
                <w:rFonts w:ascii="Times New Roman" w:hAnsi="Times New Roman"/>
                <w:b/>
                <w:sz w:val="18"/>
                <w:szCs w:val="18"/>
              </w:rPr>
              <w:t>Impacts</w:t>
            </w:r>
          </w:p>
        </w:tc>
      </w:tr>
      <w:tr w:rsidR="00DC1AD6" w:rsidRPr="008B0E14" w14:paraId="65E2C3EF" w14:textId="77777777" w:rsidTr="00FE68B9">
        <w:trPr>
          <w:cantSplit/>
        </w:trPr>
        <w:tc>
          <w:tcPr>
            <w:tcW w:w="1659" w:type="dxa"/>
          </w:tcPr>
          <w:p w14:paraId="5F334171" w14:textId="77777777" w:rsidR="00DC1AD6" w:rsidRPr="00D66669"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D66669">
              <w:rPr>
                <w:rFonts w:ascii="Times New Roman" w:hAnsi="Times New Roman"/>
                <w:b/>
                <w:sz w:val="18"/>
                <w:szCs w:val="18"/>
              </w:rPr>
              <w:t xml:space="preserve">Option </w:t>
            </w:r>
          </w:p>
        </w:tc>
        <w:tc>
          <w:tcPr>
            <w:tcW w:w="1660" w:type="dxa"/>
          </w:tcPr>
          <w:p w14:paraId="4C626943" w14:textId="77777777" w:rsidR="00DC1AD6" w:rsidRPr="00F75C7B"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F75C7B">
              <w:rPr>
                <w:rFonts w:ascii="Times New Roman" w:hAnsi="Times New Roman"/>
                <w:b/>
                <w:sz w:val="18"/>
                <w:szCs w:val="18"/>
              </w:rPr>
              <w:t xml:space="preserve">Objectives met or partly met </w:t>
            </w:r>
          </w:p>
        </w:tc>
        <w:tc>
          <w:tcPr>
            <w:tcW w:w="1660" w:type="dxa"/>
          </w:tcPr>
          <w:p w14:paraId="766D07AD" w14:textId="77777777" w:rsidR="00DC1AD6" w:rsidRPr="008B0E14"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8B0E14">
              <w:rPr>
                <w:rFonts w:ascii="Times New Roman" w:hAnsi="Times New Roman"/>
                <w:b/>
                <w:sz w:val="18"/>
                <w:szCs w:val="18"/>
              </w:rPr>
              <w:t>Economic impact</w:t>
            </w:r>
          </w:p>
        </w:tc>
        <w:tc>
          <w:tcPr>
            <w:tcW w:w="1659" w:type="dxa"/>
          </w:tcPr>
          <w:p w14:paraId="4FCC7DF8" w14:textId="77777777" w:rsidR="00DC1AD6" w:rsidRPr="008B0E14"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8B0E14">
              <w:rPr>
                <w:rFonts w:ascii="Times New Roman" w:hAnsi="Times New Roman"/>
                <w:b/>
                <w:sz w:val="18"/>
                <w:szCs w:val="18"/>
              </w:rPr>
              <w:t xml:space="preserve">Compliance cost </w:t>
            </w:r>
          </w:p>
          <w:p w14:paraId="73097253" w14:textId="77777777" w:rsidR="00DC1AD6" w:rsidRPr="008B0E14"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8B0E14">
              <w:rPr>
                <w:rFonts w:ascii="Times New Roman" w:hAnsi="Times New Roman"/>
                <w:b/>
                <w:sz w:val="18"/>
                <w:szCs w:val="18"/>
              </w:rPr>
              <w:t>&amp;  administrative</w:t>
            </w:r>
          </w:p>
          <w:p w14:paraId="4C73D52F" w14:textId="77777777" w:rsidR="00DC1AD6" w:rsidRPr="008B0E14"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8B0E14">
              <w:rPr>
                <w:rFonts w:ascii="Times New Roman" w:hAnsi="Times New Roman"/>
                <w:b/>
                <w:sz w:val="18"/>
                <w:szCs w:val="18"/>
              </w:rPr>
              <w:t>impact</w:t>
            </w:r>
          </w:p>
        </w:tc>
        <w:tc>
          <w:tcPr>
            <w:tcW w:w="1660" w:type="dxa"/>
          </w:tcPr>
          <w:p w14:paraId="12C64FCF" w14:textId="77777777" w:rsidR="00DC1AD6" w:rsidRPr="008B0E14"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8B0E14">
              <w:rPr>
                <w:rFonts w:ascii="Times New Roman" w:hAnsi="Times New Roman"/>
                <w:b/>
                <w:sz w:val="18"/>
                <w:szCs w:val="18"/>
              </w:rPr>
              <w:t xml:space="preserve">Fiscal </w:t>
            </w:r>
          </w:p>
          <w:p w14:paraId="5CF0629B" w14:textId="77777777" w:rsidR="00DC1AD6" w:rsidRPr="008B0E14" w:rsidRDefault="00DC1AD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sidRPr="008B0E14">
              <w:rPr>
                <w:rFonts w:ascii="Times New Roman" w:hAnsi="Times New Roman"/>
                <w:b/>
                <w:sz w:val="18"/>
                <w:szCs w:val="18"/>
              </w:rPr>
              <w:t>impact</w:t>
            </w:r>
          </w:p>
        </w:tc>
        <w:tc>
          <w:tcPr>
            <w:tcW w:w="1591" w:type="dxa"/>
          </w:tcPr>
          <w:p w14:paraId="0D03CD2C" w14:textId="77777777" w:rsidR="00DC1AD6" w:rsidRPr="008B0E14" w:rsidRDefault="00404AF6" w:rsidP="00853DD4">
            <w:pPr>
              <w:pStyle w:val="Bullet-list"/>
              <w:tabs>
                <w:tab w:val="num" w:pos="567"/>
              </w:tabs>
              <w:spacing w:after="0" w:line="240" w:lineRule="auto"/>
              <w:ind w:left="0" w:firstLine="0"/>
              <w:rPr>
                <w:rFonts w:ascii="Times New Roman" w:hAnsi="Times New Roman"/>
                <w:b/>
                <w:color w:val="002469"/>
                <w:spacing w:val="20"/>
                <w:w w:val="90"/>
                <w:sz w:val="18"/>
                <w:szCs w:val="18"/>
              </w:rPr>
            </w:pPr>
            <w:r>
              <w:rPr>
                <w:rFonts w:ascii="Times New Roman" w:hAnsi="Times New Roman"/>
                <w:b/>
                <w:sz w:val="18"/>
                <w:szCs w:val="18"/>
              </w:rPr>
              <w:t>F</w:t>
            </w:r>
            <w:r w:rsidR="00DC1AD6" w:rsidRPr="008B0E14">
              <w:rPr>
                <w:rFonts w:ascii="Times New Roman" w:hAnsi="Times New Roman"/>
                <w:b/>
                <w:sz w:val="18"/>
                <w:szCs w:val="18"/>
              </w:rPr>
              <w:t>airness impacts</w:t>
            </w:r>
          </w:p>
        </w:tc>
      </w:tr>
      <w:tr w:rsidR="00DC1AD6" w:rsidRPr="008B0E14" w14:paraId="54CA7231" w14:textId="77777777" w:rsidTr="00FE68B9">
        <w:trPr>
          <w:cantSplit/>
        </w:trPr>
        <w:tc>
          <w:tcPr>
            <w:tcW w:w="1659" w:type="dxa"/>
          </w:tcPr>
          <w:p w14:paraId="47839572" w14:textId="77777777" w:rsidR="00DC1AD6" w:rsidRPr="008B0E14" w:rsidRDefault="00DC1AD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8B0E14">
              <w:rPr>
                <w:rFonts w:ascii="Times New Roman" w:hAnsi="Times New Roman"/>
                <w:sz w:val="18"/>
                <w:szCs w:val="18"/>
              </w:rPr>
              <w:t>Option 1:</w:t>
            </w:r>
            <w:r w:rsidR="00D20ED0">
              <w:rPr>
                <w:rFonts w:ascii="Times New Roman" w:hAnsi="Times New Roman"/>
                <w:sz w:val="18"/>
                <w:szCs w:val="18"/>
              </w:rPr>
              <w:t xml:space="preserve"> </w:t>
            </w:r>
            <w:r w:rsidR="00D20ED0" w:rsidRPr="00430492">
              <w:rPr>
                <w:rFonts w:ascii="Times New Roman" w:hAnsi="Times New Roman"/>
                <w:sz w:val="18"/>
                <w:szCs w:val="18"/>
              </w:rPr>
              <w:t xml:space="preserve"> </w:t>
            </w:r>
            <w:r w:rsidR="00D20ED0" w:rsidRPr="00D20ED0">
              <w:rPr>
                <w:rFonts w:ascii="Times New Roman" w:hAnsi="Times New Roman"/>
                <w:sz w:val="18"/>
                <w:szCs w:val="18"/>
              </w:rPr>
              <w:t>Require non-resident suppliers to register and return GST on services and intangibles supplied to New Zealand resident customers.</w:t>
            </w:r>
          </w:p>
          <w:p w14:paraId="1E09064A" w14:textId="77777777" w:rsidR="00DC1AD6" w:rsidRPr="008B0E14" w:rsidRDefault="00DC1AD6" w:rsidP="00D61445">
            <w:pPr>
              <w:pStyle w:val="Bullet-list"/>
              <w:tabs>
                <w:tab w:val="num" w:pos="567"/>
              </w:tabs>
              <w:spacing w:after="0" w:line="240" w:lineRule="auto"/>
              <w:ind w:left="0" w:firstLine="0"/>
              <w:jc w:val="left"/>
              <w:rPr>
                <w:rFonts w:ascii="Times New Roman" w:hAnsi="Times New Roman"/>
                <w:sz w:val="18"/>
                <w:szCs w:val="18"/>
              </w:rPr>
            </w:pPr>
          </w:p>
        </w:tc>
        <w:tc>
          <w:tcPr>
            <w:tcW w:w="1660" w:type="dxa"/>
          </w:tcPr>
          <w:p w14:paraId="5B43107C" w14:textId="2E5B77C7" w:rsidR="00DC1AD6" w:rsidRDefault="006A4272" w:rsidP="009C42BC">
            <w:pPr>
              <w:pStyle w:val="Bullet-list"/>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Best m</w:t>
            </w:r>
            <w:r w:rsidR="00404AF6">
              <w:rPr>
                <w:rFonts w:ascii="Times New Roman" w:hAnsi="Times New Roman"/>
                <w:sz w:val="18"/>
                <w:szCs w:val="18"/>
              </w:rPr>
              <w:t>eets objective (a)</w:t>
            </w:r>
          </w:p>
          <w:p w14:paraId="36DC4974" w14:textId="77777777" w:rsidR="00404AF6" w:rsidRDefault="00404AF6" w:rsidP="00D61445">
            <w:pPr>
              <w:pStyle w:val="Bullet-list"/>
              <w:spacing w:after="0" w:line="240" w:lineRule="auto"/>
              <w:ind w:left="0" w:firstLine="0"/>
              <w:jc w:val="left"/>
              <w:rPr>
                <w:rFonts w:ascii="Times New Roman" w:hAnsi="Times New Roman"/>
                <w:sz w:val="18"/>
                <w:szCs w:val="18"/>
              </w:rPr>
            </w:pPr>
          </w:p>
          <w:p w14:paraId="3BFAA9E7" w14:textId="054A0F14" w:rsidR="00404AF6" w:rsidRPr="008B0E14" w:rsidRDefault="006A4272" w:rsidP="009C42BC">
            <w:pPr>
              <w:pStyle w:val="Bullet-list"/>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Best m</w:t>
            </w:r>
            <w:r w:rsidR="00430492">
              <w:rPr>
                <w:rFonts w:ascii="Times New Roman" w:hAnsi="Times New Roman"/>
                <w:sz w:val="18"/>
                <w:szCs w:val="18"/>
              </w:rPr>
              <w:t>eets</w:t>
            </w:r>
            <w:r w:rsidR="00404AF6">
              <w:rPr>
                <w:rFonts w:ascii="Times New Roman" w:hAnsi="Times New Roman"/>
                <w:sz w:val="18"/>
                <w:szCs w:val="18"/>
              </w:rPr>
              <w:t xml:space="preserve"> objective (b)</w:t>
            </w:r>
          </w:p>
        </w:tc>
        <w:tc>
          <w:tcPr>
            <w:tcW w:w="1660" w:type="dxa"/>
          </w:tcPr>
          <w:p w14:paraId="1A54D6B1" w14:textId="461B0870" w:rsidR="00DC1AD6" w:rsidRPr="008B0E14" w:rsidRDefault="006A427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w:t>
            </w:r>
            <w:r w:rsidR="00777186">
              <w:rPr>
                <w:rFonts w:ascii="Times New Roman" w:hAnsi="Times New Roman"/>
                <w:sz w:val="18"/>
                <w:szCs w:val="18"/>
              </w:rPr>
              <w:t xml:space="preserve">tion would reduce distortions on </w:t>
            </w:r>
            <w:r w:rsidR="00430492">
              <w:rPr>
                <w:rFonts w:ascii="Times New Roman" w:hAnsi="Times New Roman"/>
                <w:sz w:val="18"/>
                <w:szCs w:val="18"/>
              </w:rPr>
              <w:t xml:space="preserve">consumers’ </w:t>
            </w:r>
            <w:r w:rsidR="00777186">
              <w:rPr>
                <w:rFonts w:ascii="Times New Roman" w:hAnsi="Times New Roman"/>
                <w:sz w:val="18"/>
                <w:szCs w:val="18"/>
              </w:rPr>
              <w:t>purchasing decisions that arise</w:t>
            </w:r>
            <w:r w:rsidR="00430492">
              <w:rPr>
                <w:rFonts w:ascii="Times New Roman" w:hAnsi="Times New Roman"/>
                <w:sz w:val="18"/>
                <w:szCs w:val="18"/>
              </w:rPr>
              <w:t xml:space="preserve"> from the </w:t>
            </w:r>
            <w:r w:rsidR="007B2885">
              <w:rPr>
                <w:rFonts w:ascii="Times New Roman" w:hAnsi="Times New Roman"/>
                <w:sz w:val="18"/>
                <w:szCs w:val="18"/>
              </w:rPr>
              <w:t xml:space="preserve">differences in </w:t>
            </w:r>
            <w:r w:rsidR="00430492">
              <w:rPr>
                <w:rFonts w:ascii="Times New Roman" w:hAnsi="Times New Roman"/>
                <w:sz w:val="18"/>
                <w:szCs w:val="18"/>
              </w:rPr>
              <w:t>tax treatment between domestic and offshore suppliers</w:t>
            </w:r>
            <w:r w:rsidR="006F6154">
              <w:rPr>
                <w:rFonts w:ascii="Times New Roman" w:hAnsi="Times New Roman"/>
                <w:sz w:val="18"/>
                <w:szCs w:val="18"/>
              </w:rPr>
              <w:t>.</w:t>
            </w:r>
          </w:p>
        </w:tc>
        <w:tc>
          <w:tcPr>
            <w:tcW w:w="1659" w:type="dxa"/>
          </w:tcPr>
          <w:p w14:paraId="43BCFAA0" w14:textId="5D05F73E" w:rsidR="00DC1AD6" w:rsidRPr="008B0E14" w:rsidRDefault="006A427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would result in some additional complianc</w:t>
            </w:r>
            <w:r w:rsidR="000D01DE">
              <w:rPr>
                <w:rFonts w:ascii="Times New Roman" w:hAnsi="Times New Roman"/>
                <w:sz w:val="18"/>
                <w:szCs w:val="18"/>
              </w:rPr>
              <w:t>e costs for offshore suppliers. H</w:t>
            </w:r>
            <w:r>
              <w:rPr>
                <w:rFonts w:ascii="Times New Roman" w:hAnsi="Times New Roman"/>
                <w:sz w:val="18"/>
                <w:szCs w:val="18"/>
              </w:rPr>
              <w:t xml:space="preserve">owever, this impact is mitigated by several features of the rules that are designed to reduce compliance costs.  </w:t>
            </w:r>
          </w:p>
        </w:tc>
        <w:tc>
          <w:tcPr>
            <w:tcW w:w="1660" w:type="dxa"/>
          </w:tcPr>
          <w:p w14:paraId="43E79A0D" w14:textId="43232A93" w:rsidR="00DC1AD6" w:rsidRPr="008B0E14" w:rsidRDefault="0043049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Estimated net</w:t>
            </w:r>
            <w:r w:rsidR="000D01DE">
              <w:rPr>
                <w:rFonts w:ascii="Times New Roman" w:hAnsi="Times New Roman"/>
                <w:sz w:val="18"/>
                <w:szCs w:val="18"/>
              </w:rPr>
              <w:t xml:space="preserve"> gain in</w:t>
            </w:r>
            <w:r>
              <w:rPr>
                <w:rFonts w:ascii="Times New Roman" w:hAnsi="Times New Roman"/>
                <w:sz w:val="18"/>
                <w:szCs w:val="18"/>
              </w:rPr>
              <w:t xml:space="preserve"> revenue of up to $40m per year.</w:t>
            </w:r>
          </w:p>
        </w:tc>
        <w:tc>
          <w:tcPr>
            <w:tcW w:w="1591" w:type="dxa"/>
          </w:tcPr>
          <w:p w14:paraId="270DBAF8" w14:textId="4B449466" w:rsidR="00DC1AD6" w:rsidRPr="008B0E14" w:rsidRDefault="006A427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Improves fairness as </w:t>
            </w:r>
            <w:r w:rsidRPr="006A4272">
              <w:rPr>
                <w:rFonts w:ascii="Times New Roman" w:hAnsi="Times New Roman"/>
                <w:sz w:val="18"/>
                <w:szCs w:val="18"/>
              </w:rPr>
              <w:t xml:space="preserve">offshore suppliers will </w:t>
            </w:r>
            <w:r>
              <w:rPr>
                <w:rFonts w:ascii="Times New Roman" w:hAnsi="Times New Roman"/>
                <w:sz w:val="18"/>
                <w:szCs w:val="18"/>
              </w:rPr>
              <w:t xml:space="preserve">largely </w:t>
            </w:r>
            <w:r w:rsidRPr="006A4272">
              <w:rPr>
                <w:rFonts w:ascii="Times New Roman" w:hAnsi="Times New Roman"/>
                <w:sz w:val="18"/>
                <w:szCs w:val="18"/>
              </w:rPr>
              <w:t>be subject to</w:t>
            </w:r>
            <w:r>
              <w:rPr>
                <w:rFonts w:ascii="Times New Roman" w:hAnsi="Times New Roman"/>
                <w:sz w:val="18"/>
                <w:szCs w:val="18"/>
              </w:rPr>
              <w:t xml:space="preserve"> </w:t>
            </w:r>
            <w:r w:rsidRPr="006A4272">
              <w:rPr>
                <w:rFonts w:ascii="Times New Roman" w:hAnsi="Times New Roman"/>
                <w:sz w:val="18"/>
                <w:szCs w:val="18"/>
              </w:rPr>
              <w:t>the same rules that apply to domestic businesses.</w:t>
            </w:r>
            <w:r>
              <w:rPr>
                <w:rFonts w:ascii="Times New Roman" w:hAnsi="Times New Roman"/>
                <w:sz w:val="24"/>
                <w:szCs w:val="24"/>
              </w:rPr>
              <w:t xml:space="preserve"> </w:t>
            </w:r>
            <w:r>
              <w:rPr>
                <w:rFonts w:ascii="Times New Roman" w:hAnsi="Times New Roman"/>
                <w:sz w:val="18"/>
                <w:szCs w:val="18"/>
              </w:rPr>
              <w:t xml:space="preserve"> </w:t>
            </w:r>
          </w:p>
        </w:tc>
      </w:tr>
      <w:tr w:rsidR="00DC1AD6" w:rsidRPr="008B0E14" w14:paraId="2908739B" w14:textId="77777777" w:rsidTr="00FE68B9">
        <w:trPr>
          <w:cantSplit/>
        </w:trPr>
        <w:tc>
          <w:tcPr>
            <w:tcW w:w="1659" w:type="dxa"/>
          </w:tcPr>
          <w:p w14:paraId="758BA12E" w14:textId="77777777" w:rsidR="00DC1AD6" w:rsidRPr="008B0E14" w:rsidRDefault="00DC1AD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8B0E14">
              <w:rPr>
                <w:rFonts w:ascii="Times New Roman" w:hAnsi="Times New Roman"/>
                <w:sz w:val="18"/>
                <w:szCs w:val="18"/>
              </w:rPr>
              <w:t xml:space="preserve">Option 2: </w:t>
            </w:r>
            <w:r w:rsidR="00D20ED0" w:rsidRPr="00430492">
              <w:rPr>
                <w:rFonts w:ascii="Times New Roman" w:hAnsi="Times New Roman"/>
                <w:sz w:val="18"/>
                <w:szCs w:val="18"/>
              </w:rPr>
              <w:t xml:space="preserve"> </w:t>
            </w:r>
            <w:r w:rsidR="00D20ED0" w:rsidRPr="00D20ED0">
              <w:rPr>
                <w:rFonts w:ascii="Times New Roman" w:hAnsi="Times New Roman"/>
                <w:sz w:val="18"/>
                <w:szCs w:val="18"/>
              </w:rPr>
              <w:t>Require the New Zealand resident customer to return the GST</w:t>
            </w:r>
            <w:r w:rsidR="00D20ED0">
              <w:rPr>
                <w:rFonts w:ascii="Times New Roman" w:hAnsi="Times New Roman"/>
                <w:sz w:val="18"/>
                <w:szCs w:val="18"/>
              </w:rPr>
              <w:t xml:space="preserve"> on services and intangibles </w:t>
            </w:r>
            <w:r w:rsidR="00D20ED0" w:rsidRPr="00D20ED0">
              <w:rPr>
                <w:rFonts w:ascii="Times New Roman" w:hAnsi="Times New Roman"/>
                <w:sz w:val="18"/>
                <w:szCs w:val="18"/>
              </w:rPr>
              <w:t>supplied by non-residents (known as a reverse charge mechanism).</w:t>
            </w:r>
          </w:p>
          <w:p w14:paraId="08B36AAF" w14:textId="77777777" w:rsidR="00DC1AD6" w:rsidRPr="008B0E14" w:rsidRDefault="00DC1AD6" w:rsidP="00D61445">
            <w:pPr>
              <w:pStyle w:val="Bullet-list"/>
              <w:tabs>
                <w:tab w:val="num" w:pos="567"/>
              </w:tabs>
              <w:spacing w:after="0" w:line="240" w:lineRule="auto"/>
              <w:ind w:left="0" w:firstLine="0"/>
              <w:jc w:val="left"/>
              <w:rPr>
                <w:rFonts w:ascii="Times New Roman" w:hAnsi="Times New Roman"/>
                <w:sz w:val="18"/>
                <w:szCs w:val="18"/>
              </w:rPr>
            </w:pPr>
          </w:p>
        </w:tc>
        <w:tc>
          <w:tcPr>
            <w:tcW w:w="1660" w:type="dxa"/>
          </w:tcPr>
          <w:p w14:paraId="69549367" w14:textId="77777777" w:rsidR="00DC1AD6" w:rsidRDefault="0043049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Partly meets objective (a)</w:t>
            </w:r>
          </w:p>
          <w:p w14:paraId="79131AC8" w14:textId="77777777" w:rsidR="00430492" w:rsidRDefault="00430492" w:rsidP="00D61445">
            <w:pPr>
              <w:pStyle w:val="Bullet-list"/>
              <w:tabs>
                <w:tab w:val="num" w:pos="567"/>
              </w:tabs>
              <w:spacing w:after="0" w:line="240" w:lineRule="auto"/>
              <w:ind w:left="0" w:firstLine="0"/>
              <w:jc w:val="left"/>
              <w:rPr>
                <w:rFonts w:ascii="Times New Roman" w:hAnsi="Times New Roman"/>
                <w:sz w:val="18"/>
                <w:szCs w:val="18"/>
              </w:rPr>
            </w:pPr>
          </w:p>
          <w:p w14:paraId="1FBA94CF" w14:textId="6CF76982" w:rsidR="00430492" w:rsidRPr="008B0E14" w:rsidRDefault="0043049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Partly meets objective (b)</w:t>
            </w:r>
          </w:p>
        </w:tc>
        <w:tc>
          <w:tcPr>
            <w:tcW w:w="1660" w:type="dxa"/>
          </w:tcPr>
          <w:p w14:paraId="07BB02E6" w14:textId="2C6AE4F5" w:rsidR="00777186"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would reduce distortions on consumers’ purchasing decisions that arise from the differences in tax treatment between domestic and offshore suppliers.</w:t>
            </w:r>
          </w:p>
          <w:p w14:paraId="1BDE55B6" w14:textId="3B8ADE44" w:rsidR="00777186"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However, the extent to which this occurs may depend </w:t>
            </w:r>
          </w:p>
          <w:p w14:paraId="53EB9CE5" w14:textId="597DA48D" w:rsidR="00DC1AD6" w:rsidRPr="008B0E14" w:rsidRDefault="007B2885"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proofErr w:type="gramStart"/>
            <w:r>
              <w:rPr>
                <w:rFonts w:ascii="Times New Roman" w:hAnsi="Times New Roman"/>
                <w:sz w:val="18"/>
                <w:szCs w:val="18"/>
              </w:rPr>
              <w:t>on</w:t>
            </w:r>
            <w:proofErr w:type="gramEnd"/>
            <w:r>
              <w:rPr>
                <w:rFonts w:ascii="Times New Roman" w:hAnsi="Times New Roman"/>
                <w:sz w:val="18"/>
                <w:szCs w:val="18"/>
              </w:rPr>
              <w:t xml:space="preserve"> the extent to which there is widespread compliance with the rules. </w:t>
            </w:r>
          </w:p>
        </w:tc>
        <w:tc>
          <w:tcPr>
            <w:tcW w:w="1659" w:type="dxa"/>
          </w:tcPr>
          <w:p w14:paraId="10EED2EA" w14:textId="6276032F" w:rsidR="00DC1AD6" w:rsidRPr="008B0E14" w:rsidRDefault="006A427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would impose significant compliance on New Zealand resident consumers</w:t>
            </w:r>
            <w:r w:rsidR="000D01DE">
              <w:rPr>
                <w:rFonts w:ascii="Times New Roman" w:hAnsi="Times New Roman"/>
                <w:sz w:val="18"/>
                <w:szCs w:val="18"/>
              </w:rPr>
              <w:t xml:space="preserve"> and would result in additional administrative costs. </w:t>
            </w:r>
          </w:p>
        </w:tc>
        <w:tc>
          <w:tcPr>
            <w:tcW w:w="1660" w:type="dxa"/>
          </w:tcPr>
          <w:p w14:paraId="351E06B1" w14:textId="0CDE123A" w:rsidR="00DC1AD6" w:rsidRPr="008B0E14" w:rsidRDefault="006A427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No estimate of the fiscal impact of this option is available, though it would be expected to result in lower revenue gains than option 1</w:t>
            </w:r>
            <w:r w:rsidR="00CD430C">
              <w:rPr>
                <w:rFonts w:ascii="Times New Roman" w:hAnsi="Times New Roman"/>
                <w:sz w:val="18"/>
                <w:szCs w:val="18"/>
              </w:rPr>
              <w:t xml:space="preserve"> as a result of non-compliance with the rules</w:t>
            </w:r>
            <w:r>
              <w:rPr>
                <w:rFonts w:ascii="Times New Roman" w:hAnsi="Times New Roman"/>
                <w:sz w:val="18"/>
                <w:szCs w:val="18"/>
              </w:rPr>
              <w:t xml:space="preserve">. </w:t>
            </w:r>
          </w:p>
        </w:tc>
        <w:tc>
          <w:tcPr>
            <w:tcW w:w="1591" w:type="dxa"/>
          </w:tcPr>
          <w:p w14:paraId="5BF38A2B" w14:textId="6F8BDA9C" w:rsidR="00DC1AD6" w:rsidRPr="008B0E14" w:rsidRDefault="006A427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would improve fairness in the system to the extent that </w:t>
            </w:r>
            <w:r w:rsidR="00777186">
              <w:rPr>
                <w:rFonts w:ascii="Times New Roman" w:hAnsi="Times New Roman"/>
                <w:sz w:val="18"/>
                <w:szCs w:val="18"/>
              </w:rPr>
              <w:t xml:space="preserve">neutrality between domestic and offshore suppliers can be achieved. </w:t>
            </w:r>
          </w:p>
        </w:tc>
      </w:tr>
      <w:tr w:rsidR="00DC1AD6" w:rsidRPr="008B0E14" w14:paraId="4733565A" w14:textId="77777777" w:rsidTr="00FE68B9">
        <w:trPr>
          <w:cantSplit/>
        </w:trPr>
        <w:tc>
          <w:tcPr>
            <w:tcW w:w="1659" w:type="dxa"/>
          </w:tcPr>
          <w:p w14:paraId="4447CEEF" w14:textId="6CA7B68C" w:rsidR="00D20ED0" w:rsidRDefault="00DC1AD6" w:rsidP="009C42BC">
            <w:pPr>
              <w:pStyle w:val="Bullet-list"/>
              <w:spacing w:after="0" w:line="240" w:lineRule="auto"/>
              <w:ind w:left="567" w:hanging="567"/>
              <w:jc w:val="left"/>
              <w:rPr>
                <w:rFonts w:ascii="Times New Roman" w:hAnsi="Times New Roman"/>
                <w:b/>
                <w:color w:val="002469"/>
                <w:spacing w:val="20"/>
                <w:w w:val="90"/>
                <w:sz w:val="18"/>
                <w:szCs w:val="18"/>
              </w:rPr>
            </w:pPr>
            <w:r w:rsidRPr="008B0E14">
              <w:rPr>
                <w:rFonts w:ascii="Times New Roman" w:hAnsi="Times New Roman"/>
                <w:sz w:val="18"/>
                <w:szCs w:val="18"/>
              </w:rPr>
              <w:t xml:space="preserve">Option 3: </w:t>
            </w:r>
            <w:r w:rsidRPr="00D20ED0">
              <w:rPr>
                <w:rFonts w:ascii="Times New Roman" w:hAnsi="Times New Roman"/>
                <w:sz w:val="18"/>
                <w:szCs w:val="18"/>
              </w:rPr>
              <w:t xml:space="preserve"> </w:t>
            </w:r>
          </w:p>
          <w:p w14:paraId="11DA878F" w14:textId="77777777" w:rsidR="00D20ED0" w:rsidRPr="00D20ED0" w:rsidRDefault="00D20ED0"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Require financial institutions </w:t>
            </w:r>
            <w:r w:rsidRPr="00D20ED0">
              <w:rPr>
                <w:rFonts w:ascii="Times New Roman" w:hAnsi="Times New Roman"/>
                <w:sz w:val="18"/>
                <w:szCs w:val="18"/>
              </w:rPr>
              <w:t>to return the GST on credit/debit card transactions involving services and intangibles purchased from non-resident suppliers.</w:t>
            </w:r>
          </w:p>
          <w:p w14:paraId="078F3F89" w14:textId="77777777" w:rsidR="00DC1AD6" w:rsidRPr="008B0E14" w:rsidRDefault="00DC1AD6" w:rsidP="00D61445">
            <w:pPr>
              <w:pStyle w:val="Bullet-list"/>
              <w:tabs>
                <w:tab w:val="num" w:pos="567"/>
              </w:tabs>
              <w:spacing w:after="0" w:line="240" w:lineRule="auto"/>
              <w:ind w:left="0" w:firstLine="0"/>
              <w:jc w:val="left"/>
              <w:rPr>
                <w:rFonts w:ascii="Times New Roman" w:hAnsi="Times New Roman"/>
                <w:sz w:val="18"/>
                <w:szCs w:val="18"/>
              </w:rPr>
            </w:pPr>
          </w:p>
        </w:tc>
        <w:tc>
          <w:tcPr>
            <w:tcW w:w="1660" w:type="dxa"/>
          </w:tcPr>
          <w:p w14:paraId="52ACCF39" w14:textId="77777777" w:rsidR="00430492" w:rsidRDefault="0043049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Partly meets objective (a)</w:t>
            </w:r>
          </w:p>
          <w:p w14:paraId="4A96AFE6" w14:textId="77777777" w:rsidR="00430492" w:rsidRDefault="00430492" w:rsidP="00D61445">
            <w:pPr>
              <w:pStyle w:val="Bullet-list"/>
              <w:tabs>
                <w:tab w:val="num" w:pos="567"/>
              </w:tabs>
              <w:spacing w:after="0" w:line="240" w:lineRule="auto"/>
              <w:ind w:left="0" w:firstLine="0"/>
              <w:jc w:val="left"/>
              <w:rPr>
                <w:rFonts w:ascii="Times New Roman" w:hAnsi="Times New Roman"/>
                <w:sz w:val="18"/>
                <w:szCs w:val="18"/>
              </w:rPr>
            </w:pPr>
          </w:p>
          <w:p w14:paraId="1D85224B" w14:textId="11E6DD81" w:rsidR="00DC1AD6" w:rsidRPr="008B0E14" w:rsidRDefault="00430492" w:rsidP="009C42BC">
            <w:pPr>
              <w:pStyle w:val="Bullet-list"/>
              <w:spacing w:after="0" w:line="240" w:lineRule="auto"/>
              <w:ind w:left="0" w:hanging="34"/>
              <w:jc w:val="left"/>
              <w:rPr>
                <w:rFonts w:ascii="Times New Roman" w:hAnsi="Times New Roman"/>
                <w:b/>
                <w:color w:val="002469"/>
                <w:spacing w:val="20"/>
                <w:w w:val="90"/>
                <w:sz w:val="18"/>
                <w:szCs w:val="18"/>
              </w:rPr>
            </w:pPr>
            <w:r>
              <w:rPr>
                <w:rFonts w:ascii="Times New Roman" w:hAnsi="Times New Roman"/>
                <w:sz w:val="18"/>
                <w:szCs w:val="18"/>
              </w:rPr>
              <w:t>Partly meets objective (b)</w:t>
            </w:r>
          </w:p>
        </w:tc>
        <w:tc>
          <w:tcPr>
            <w:tcW w:w="1660" w:type="dxa"/>
          </w:tcPr>
          <w:p w14:paraId="17C91D1C" w14:textId="77777777" w:rsidR="00777186"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would reduce distortions on consumers’ purchasing decisions that arise from the differences in tax treatment between domestic and offshore suppliers.</w:t>
            </w:r>
          </w:p>
          <w:p w14:paraId="196E7A1D" w14:textId="77777777" w:rsidR="00777186"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However, the extent to which this occurs may depend </w:t>
            </w:r>
          </w:p>
          <w:p w14:paraId="17816194" w14:textId="35278E2A" w:rsidR="00DC1AD6" w:rsidRPr="008B0E14"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proofErr w:type="gramStart"/>
            <w:r>
              <w:rPr>
                <w:rFonts w:ascii="Times New Roman" w:hAnsi="Times New Roman"/>
                <w:sz w:val="18"/>
                <w:szCs w:val="18"/>
              </w:rPr>
              <w:t>on</w:t>
            </w:r>
            <w:proofErr w:type="gramEnd"/>
            <w:r>
              <w:rPr>
                <w:rFonts w:ascii="Times New Roman" w:hAnsi="Times New Roman"/>
                <w:sz w:val="18"/>
                <w:szCs w:val="18"/>
              </w:rPr>
              <w:t xml:space="preserve"> the effectiveness of the system in identifying transactions that should be subject to GST.</w:t>
            </w:r>
          </w:p>
        </w:tc>
        <w:tc>
          <w:tcPr>
            <w:tcW w:w="1659" w:type="dxa"/>
          </w:tcPr>
          <w:p w14:paraId="5989256F" w14:textId="194797C1" w:rsidR="00DC1AD6" w:rsidRPr="008B0E14" w:rsidRDefault="006A427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could result in lower compliance costs than option 1, as there are likely to be fewer entities required to return GST and this could be achieved through automated processes. </w:t>
            </w:r>
            <w:r w:rsidR="00777186">
              <w:rPr>
                <w:rFonts w:ascii="Times New Roman" w:hAnsi="Times New Roman"/>
                <w:sz w:val="18"/>
                <w:szCs w:val="18"/>
              </w:rPr>
              <w:t xml:space="preserve">However, significant challenges in implementing the option have been identified, and it has not been adopted in other countries. </w:t>
            </w:r>
          </w:p>
        </w:tc>
        <w:tc>
          <w:tcPr>
            <w:tcW w:w="1660" w:type="dxa"/>
          </w:tcPr>
          <w:p w14:paraId="7D6DF5C7" w14:textId="3E6DF045" w:rsidR="00DC1AD6" w:rsidRPr="008B0E14" w:rsidRDefault="00D10709"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 The revenue impact is likely to be similar to option 1 if the system was effective at identifying transactions that should be subject to GST</w:t>
            </w:r>
            <w:r w:rsidR="006A4272">
              <w:rPr>
                <w:rFonts w:ascii="Times New Roman" w:hAnsi="Times New Roman"/>
                <w:sz w:val="18"/>
                <w:szCs w:val="18"/>
              </w:rPr>
              <w:t>.</w:t>
            </w:r>
          </w:p>
        </w:tc>
        <w:tc>
          <w:tcPr>
            <w:tcW w:w="1591" w:type="dxa"/>
          </w:tcPr>
          <w:p w14:paraId="7E7AC70E" w14:textId="7D1B3A57" w:rsidR="00DC1AD6" w:rsidRPr="008B0E14"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would improve fairness in the system to the extent that neutrality between domestic and offshore suppliers can be achieved.</w:t>
            </w:r>
          </w:p>
        </w:tc>
      </w:tr>
      <w:tr w:rsidR="00DC1AD6" w:rsidRPr="008B0E14" w14:paraId="7D45FD7D" w14:textId="77777777" w:rsidTr="00FE68B9">
        <w:trPr>
          <w:cantSplit/>
        </w:trPr>
        <w:tc>
          <w:tcPr>
            <w:tcW w:w="1659" w:type="dxa"/>
          </w:tcPr>
          <w:p w14:paraId="178494B0" w14:textId="77777777" w:rsidR="00DC1AD6" w:rsidRPr="008B0E14" w:rsidRDefault="00DC1AD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8B0E14">
              <w:rPr>
                <w:rFonts w:ascii="Times New Roman" w:hAnsi="Times New Roman"/>
                <w:sz w:val="18"/>
                <w:szCs w:val="18"/>
              </w:rPr>
              <w:t>Option 4:</w:t>
            </w:r>
            <w:r w:rsidR="00D20ED0" w:rsidRPr="00430492">
              <w:rPr>
                <w:rFonts w:ascii="Times New Roman" w:hAnsi="Times New Roman"/>
                <w:sz w:val="18"/>
                <w:szCs w:val="18"/>
              </w:rPr>
              <w:t xml:space="preserve"> </w:t>
            </w:r>
            <w:r w:rsidR="00D20ED0" w:rsidRPr="00D20ED0">
              <w:rPr>
                <w:rFonts w:ascii="Times New Roman" w:hAnsi="Times New Roman"/>
                <w:sz w:val="18"/>
                <w:szCs w:val="18"/>
              </w:rPr>
              <w:t>Retain the current GST treatment where no GST is collected on services and intangibles supplied by non-residents.</w:t>
            </w:r>
          </w:p>
          <w:p w14:paraId="5448DD2F" w14:textId="77777777" w:rsidR="00DC1AD6" w:rsidRPr="008B0E14" w:rsidRDefault="00DC1AD6" w:rsidP="00D61445">
            <w:pPr>
              <w:pStyle w:val="Bullet-list"/>
              <w:tabs>
                <w:tab w:val="num" w:pos="567"/>
              </w:tabs>
              <w:spacing w:after="0" w:line="240" w:lineRule="auto"/>
              <w:ind w:left="0" w:firstLine="0"/>
              <w:jc w:val="left"/>
              <w:rPr>
                <w:rFonts w:ascii="Times New Roman" w:hAnsi="Times New Roman"/>
                <w:sz w:val="18"/>
                <w:szCs w:val="18"/>
              </w:rPr>
            </w:pPr>
          </w:p>
        </w:tc>
        <w:tc>
          <w:tcPr>
            <w:tcW w:w="1660" w:type="dxa"/>
          </w:tcPr>
          <w:p w14:paraId="5CBD871D" w14:textId="43820D80" w:rsidR="00430492" w:rsidRDefault="0043049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Does not meet objective (a)</w:t>
            </w:r>
          </w:p>
          <w:p w14:paraId="6DF557E5" w14:textId="77777777" w:rsidR="00430492" w:rsidRDefault="00430492" w:rsidP="00D61445">
            <w:pPr>
              <w:pStyle w:val="Bullet-list"/>
              <w:tabs>
                <w:tab w:val="num" w:pos="567"/>
              </w:tabs>
              <w:spacing w:after="0" w:line="240" w:lineRule="auto"/>
              <w:ind w:left="0" w:firstLine="0"/>
              <w:jc w:val="left"/>
              <w:rPr>
                <w:rFonts w:ascii="Times New Roman" w:hAnsi="Times New Roman"/>
                <w:sz w:val="18"/>
                <w:szCs w:val="18"/>
              </w:rPr>
            </w:pPr>
          </w:p>
          <w:p w14:paraId="508C5862" w14:textId="1AA76B10" w:rsidR="00430492" w:rsidRDefault="0043049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Does not meet objective (</w:t>
            </w:r>
            <w:r w:rsidR="00D10709">
              <w:rPr>
                <w:rFonts w:ascii="Times New Roman" w:hAnsi="Times New Roman"/>
                <w:sz w:val="18"/>
                <w:szCs w:val="18"/>
              </w:rPr>
              <w:t>b</w:t>
            </w:r>
            <w:r>
              <w:rPr>
                <w:rFonts w:ascii="Times New Roman" w:hAnsi="Times New Roman"/>
                <w:sz w:val="18"/>
                <w:szCs w:val="18"/>
              </w:rPr>
              <w:t>)</w:t>
            </w:r>
          </w:p>
          <w:p w14:paraId="0A5A253A" w14:textId="33278A35" w:rsidR="00DC1AD6" w:rsidRPr="008B0E14" w:rsidRDefault="00DC1AD6" w:rsidP="00D61445">
            <w:pPr>
              <w:pStyle w:val="Bullet-list"/>
              <w:spacing w:after="0" w:line="240" w:lineRule="auto"/>
              <w:ind w:left="0" w:firstLine="0"/>
              <w:jc w:val="left"/>
              <w:rPr>
                <w:rFonts w:ascii="Times New Roman" w:hAnsi="Times New Roman"/>
                <w:sz w:val="18"/>
                <w:szCs w:val="18"/>
              </w:rPr>
            </w:pPr>
          </w:p>
        </w:tc>
        <w:tc>
          <w:tcPr>
            <w:tcW w:w="1660" w:type="dxa"/>
          </w:tcPr>
          <w:p w14:paraId="3F52CAAF" w14:textId="1A3AE4E5" w:rsidR="00777186" w:rsidRPr="008B0E14"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results in </w:t>
            </w:r>
            <w:r w:rsidR="0038007D">
              <w:rPr>
                <w:rFonts w:ascii="Times New Roman" w:hAnsi="Times New Roman"/>
                <w:sz w:val="18"/>
                <w:szCs w:val="18"/>
              </w:rPr>
              <w:t>distortions</w:t>
            </w:r>
            <w:r>
              <w:rPr>
                <w:rFonts w:ascii="Times New Roman" w:hAnsi="Times New Roman"/>
                <w:sz w:val="18"/>
                <w:szCs w:val="18"/>
              </w:rPr>
              <w:t xml:space="preserve"> on consumers’ purchasing decisions due to differences in the tax treatment between domestic and offshore suppliers.</w:t>
            </w:r>
          </w:p>
        </w:tc>
        <w:tc>
          <w:tcPr>
            <w:tcW w:w="1659" w:type="dxa"/>
          </w:tcPr>
          <w:p w14:paraId="66366048" w14:textId="40C16E37" w:rsidR="00DC1AD6" w:rsidRPr="008B0E14"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w:t>
            </w:r>
            <w:r w:rsidR="000B0153">
              <w:rPr>
                <w:rFonts w:ascii="Times New Roman" w:hAnsi="Times New Roman"/>
                <w:sz w:val="18"/>
                <w:szCs w:val="18"/>
              </w:rPr>
              <w:t xml:space="preserve">option is not associated with significant compliance or administration costs. </w:t>
            </w:r>
          </w:p>
        </w:tc>
        <w:tc>
          <w:tcPr>
            <w:tcW w:w="1660" w:type="dxa"/>
          </w:tcPr>
          <w:p w14:paraId="4F1899A6" w14:textId="09296727" w:rsidR="00DC1AD6" w:rsidRPr="008B0E14" w:rsidRDefault="00D10709"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The revenue impact will be </w:t>
            </w:r>
            <w:proofErr w:type="gramStart"/>
            <w:r>
              <w:rPr>
                <w:rFonts w:ascii="Times New Roman" w:hAnsi="Times New Roman"/>
                <w:sz w:val="18"/>
                <w:szCs w:val="18"/>
              </w:rPr>
              <w:t>neutral,</w:t>
            </w:r>
            <w:proofErr w:type="gramEnd"/>
            <w:r>
              <w:rPr>
                <w:rFonts w:ascii="Times New Roman" w:hAnsi="Times New Roman"/>
                <w:sz w:val="18"/>
                <w:szCs w:val="18"/>
              </w:rPr>
              <w:t xml:space="preserve"> however,</w:t>
            </w:r>
            <w:r>
              <w:t xml:space="preserve"> </w:t>
            </w:r>
            <w:r w:rsidRPr="00D10709">
              <w:rPr>
                <w:rFonts w:ascii="Times New Roman" w:hAnsi="Times New Roman"/>
                <w:sz w:val="18"/>
                <w:szCs w:val="18"/>
              </w:rPr>
              <w:t>the Government will not collect $40 million on services and intangibles that are consumed in New Zealand.</w:t>
            </w:r>
            <w:r>
              <w:rPr>
                <w:rFonts w:ascii="Times New Roman" w:hAnsi="Times New Roman"/>
                <w:sz w:val="18"/>
                <w:szCs w:val="18"/>
              </w:rPr>
              <w:t xml:space="preserve"> </w:t>
            </w:r>
          </w:p>
        </w:tc>
        <w:tc>
          <w:tcPr>
            <w:tcW w:w="1591" w:type="dxa"/>
          </w:tcPr>
          <w:p w14:paraId="7DCB59EE" w14:textId="14D7ACD4" w:rsidR="00DC1AD6" w:rsidRPr="008B0E14" w:rsidRDefault="0077718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is perceived to result in significant unfairness, which may undermine compliance more generally. </w:t>
            </w:r>
          </w:p>
        </w:tc>
      </w:tr>
    </w:tbl>
    <w:p w14:paraId="736C8C56" w14:textId="73C5AD92" w:rsidR="0082791A" w:rsidRPr="0082791A" w:rsidRDefault="0082791A" w:rsidP="0097279A">
      <w:pPr>
        <w:pStyle w:val="RISheading"/>
        <w:keepNext w:val="0"/>
        <w:rPr>
          <w:spacing w:val="0"/>
          <w:w w:val="100"/>
        </w:rPr>
      </w:pPr>
      <w:r w:rsidRPr="0082791A">
        <w:rPr>
          <w:spacing w:val="0"/>
          <w:w w:val="100"/>
        </w:rPr>
        <w:t>Further analysis o</w:t>
      </w:r>
      <w:r w:rsidR="00E93E81">
        <w:rPr>
          <w:spacing w:val="0"/>
          <w:w w:val="100"/>
        </w:rPr>
        <w:t>n</w:t>
      </w:r>
      <w:r w:rsidR="0072470D">
        <w:rPr>
          <w:spacing w:val="0"/>
          <w:w w:val="100"/>
        </w:rPr>
        <w:t xml:space="preserve"> option 1: O</w:t>
      </w:r>
      <w:r w:rsidRPr="0082791A">
        <w:rPr>
          <w:spacing w:val="0"/>
          <w:w w:val="100"/>
        </w:rPr>
        <w:t xml:space="preserve">ffshore supplier registration model </w:t>
      </w:r>
    </w:p>
    <w:p w14:paraId="46D7CEDD" w14:textId="1467088E" w:rsidR="00B9046D" w:rsidRPr="000F15EF" w:rsidRDefault="00B9046D" w:rsidP="006030CB">
      <w:pPr>
        <w:numPr>
          <w:ilvl w:val="0"/>
          <w:numId w:val="3"/>
        </w:numPr>
        <w:tabs>
          <w:tab w:val="clear" w:pos="720"/>
          <w:tab w:val="num" w:pos="567"/>
        </w:tabs>
        <w:spacing w:after="0" w:line="240" w:lineRule="auto"/>
        <w:ind w:left="0" w:firstLine="0"/>
        <w:jc w:val="both"/>
        <w:rPr>
          <w:szCs w:val="24"/>
          <w:lang w:val="en-AU" w:eastAsia="en-US"/>
        </w:rPr>
      </w:pPr>
      <w:r>
        <w:rPr>
          <w:rFonts w:ascii="Times New Roman" w:hAnsi="Times New Roman"/>
          <w:sz w:val="24"/>
          <w:szCs w:val="24"/>
        </w:rPr>
        <w:t xml:space="preserve">Option 1 involves requiring non-resident suppliers to register and return GST on services and intangibles supplied to New Zealand resident customers. </w:t>
      </w:r>
      <w:r w:rsidR="0082791A">
        <w:rPr>
          <w:rFonts w:ascii="Times New Roman" w:hAnsi="Times New Roman"/>
          <w:sz w:val="24"/>
          <w:szCs w:val="24"/>
        </w:rPr>
        <w:t>There are a number of design issues for the offshore supplier registration model which require separate impact analysis</w:t>
      </w:r>
      <w:r w:rsidR="00D216CE">
        <w:rPr>
          <w:rFonts w:ascii="Times New Roman" w:hAnsi="Times New Roman"/>
          <w:sz w:val="24"/>
          <w:szCs w:val="24"/>
        </w:rPr>
        <w:t>.</w:t>
      </w:r>
      <w:r>
        <w:rPr>
          <w:rFonts w:ascii="Times New Roman" w:hAnsi="Times New Roman"/>
          <w:sz w:val="24"/>
          <w:szCs w:val="24"/>
        </w:rPr>
        <w:t xml:space="preserve"> The detail design aspects of option 1 are as follows:</w:t>
      </w:r>
    </w:p>
    <w:p w14:paraId="72E61A37" w14:textId="361E2055" w:rsidR="00B9046D" w:rsidRPr="005271A8" w:rsidRDefault="00B9046D" w:rsidP="00622496">
      <w:pPr>
        <w:pStyle w:val="TRBodyText"/>
        <w:tabs>
          <w:tab w:val="left" w:pos="567"/>
        </w:tabs>
        <w:ind w:left="927"/>
      </w:pPr>
    </w:p>
    <w:p w14:paraId="00889D3B" w14:textId="01A0BBAB" w:rsidR="00B9046D" w:rsidRDefault="00B9046D" w:rsidP="0097279A">
      <w:pPr>
        <w:pStyle w:val="TRBodyText"/>
        <w:numPr>
          <w:ilvl w:val="0"/>
          <w:numId w:val="17"/>
        </w:numPr>
        <w:tabs>
          <w:tab w:val="left" w:pos="567"/>
        </w:tabs>
      </w:pPr>
      <w:r w:rsidRPr="005271A8">
        <w:t>zero-</w:t>
      </w:r>
      <w:r w:rsidR="00272321" w:rsidRPr="005271A8">
        <w:t>rat</w:t>
      </w:r>
      <w:r w:rsidR="00272321">
        <w:t>ing</w:t>
      </w:r>
      <w:r w:rsidR="00272321" w:rsidRPr="005271A8">
        <w:t xml:space="preserve"> </w:t>
      </w:r>
      <w:r w:rsidRPr="005271A8">
        <w:t>the supply of remote services and intangibles to New Zealand GST-registered businesses;</w:t>
      </w:r>
    </w:p>
    <w:p w14:paraId="6A2E6882" w14:textId="61DF4585" w:rsidR="005713D2" w:rsidRPr="005271A8" w:rsidRDefault="00272321" w:rsidP="0097279A">
      <w:pPr>
        <w:pStyle w:val="TRBodyText"/>
        <w:numPr>
          <w:ilvl w:val="0"/>
          <w:numId w:val="17"/>
        </w:numPr>
        <w:tabs>
          <w:tab w:val="left" w:pos="567"/>
        </w:tabs>
      </w:pPr>
      <w:r>
        <w:rPr>
          <w:szCs w:val="24"/>
        </w:rPr>
        <w:t xml:space="preserve">adopting a </w:t>
      </w:r>
      <w:r w:rsidR="005713D2">
        <w:rPr>
          <w:szCs w:val="24"/>
        </w:rPr>
        <w:t xml:space="preserve">broad </w:t>
      </w:r>
      <w:r>
        <w:rPr>
          <w:szCs w:val="24"/>
        </w:rPr>
        <w:t>definition</w:t>
      </w:r>
      <w:r w:rsidR="005713D2">
        <w:rPr>
          <w:szCs w:val="24"/>
        </w:rPr>
        <w:t xml:space="preserve"> </w:t>
      </w:r>
      <w:r>
        <w:rPr>
          <w:szCs w:val="24"/>
        </w:rPr>
        <w:t>of remote services and intangibles (including digital services and more traditional services)</w:t>
      </w:r>
      <w:r w:rsidR="00355774">
        <w:rPr>
          <w:szCs w:val="24"/>
        </w:rPr>
        <w:t>;</w:t>
      </w:r>
    </w:p>
    <w:p w14:paraId="14048D78" w14:textId="21C468C1" w:rsidR="00B9046D" w:rsidRPr="005271A8" w:rsidRDefault="00272321" w:rsidP="0097279A">
      <w:pPr>
        <w:pStyle w:val="TRBodyText"/>
        <w:numPr>
          <w:ilvl w:val="0"/>
          <w:numId w:val="17"/>
        </w:numPr>
        <w:tabs>
          <w:tab w:val="left" w:pos="567"/>
        </w:tabs>
      </w:pPr>
      <w:proofErr w:type="gramStart"/>
      <w:r w:rsidRPr="005271A8">
        <w:t>requir</w:t>
      </w:r>
      <w:r>
        <w:t>ing</w:t>
      </w:r>
      <w:proofErr w:type="gramEnd"/>
      <w:r w:rsidRPr="005271A8">
        <w:t xml:space="preserve"> </w:t>
      </w:r>
      <w:r w:rsidR="00B9046D" w:rsidRPr="005271A8">
        <w:t>offshore suppliers to register and return GST if their total supplies of remote services and intangibles to New Zealand residents exceed $60,000 in a 12-month period</w:t>
      </w:r>
      <w:r w:rsidR="001D4288">
        <w:t>. H</w:t>
      </w:r>
      <w:r w:rsidR="00C368D6">
        <w:t xml:space="preserve">owever, </w:t>
      </w:r>
      <w:r w:rsidR="001D4288">
        <w:t>offshore suppliers would not be required to register if they predominantly made supplies to GST-registered businesses and their supplies to New Zealand resident consumers were less than $10,000 in a 12-month period</w:t>
      </w:r>
      <w:r w:rsidR="00B9046D" w:rsidRPr="005271A8">
        <w:t>;</w:t>
      </w:r>
    </w:p>
    <w:p w14:paraId="0DB3EE71" w14:textId="4ACC2684" w:rsidR="00B9046D" w:rsidRPr="005271A8" w:rsidRDefault="00272321" w:rsidP="0097279A">
      <w:pPr>
        <w:pStyle w:val="TRBodyText"/>
        <w:numPr>
          <w:ilvl w:val="0"/>
          <w:numId w:val="17"/>
        </w:numPr>
        <w:tabs>
          <w:tab w:val="left" w:pos="567"/>
        </w:tabs>
      </w:pPr>
      <w:r w:rsidRPr="005271A8">
        <w:t>requir</w:t>
      </w:r>
      <w:r>
        <w:t>ing</w:t>
      </w:r>
      <w:r w:rsidRPr="005271A8">
        <w:t xml:space="preserve"> </w:t>
      </w:r>
      <w:r w:rsidR="00B9046D" w:rsidRPr="005271A8">
        <w:t xml:space="preserve">offshore suppliers to determine whether a customer is a New Zealand resident on the basis of two non-conflicting pieces of evidence, </w:t>
      </w:r>
      <w:r w:rsidR="00452B96">
        <w:rPr>
          <w:lang w:eastAsia="en-US"/>
        </w:rPr>
        <w:t>and an alternative method may be prescribed by the</w:t>
      </w:r>
      <w:r w:rsidR="00452B96" w:rsidRPr="003D3E84">
        <w:rPr>
          <w:lang w:eastAsia="en-US"/>
        </w:rPr>
        <w:t xml:space="preserve"> Commissioner of </w:t>
      </w:r>
      <w:r w:rsidR="00452B96">
        <w:rPr>
          <w:lang w:eastAsia="en-US"/>
        </w:rPr>
        <w:t>Inland Revenue if the offshore supplier does not have the necessary information</w:t>
      </w:r>
      <w:r w:rsidR="00F34551">
        <w:rPr>
          <w:lang w:eastAsia="en-US"/>
        </w:rPr>
        <w:t>;</w:t>
      </w:r>
    </w:p>
    <w:p w14:paraId="0BEC8BFC" w14:textId="4D7ADD80" w:rsidR="00B9046D" w:rsidRDefault="00B9046D" w:rsidP="0097279A">
      <w:pPr>
        <w:pStyle w:val="TRBodyText"/>
        <w:numPr>
          <w:ilvl w:val="0"/>
          <w:numId w:val="17"/>
        </w:numPr>
        <w:tabs>
          <w:tab w:val="left" w:pos="567"/>
        </w:tabs>
      </w:pPr>
      <w:r>
        <w:t>implement</w:t>
      </w:r>
      <w:r w:rsidR="00272321">
        <w:t>ing</w:t>
      </w:r>
      <w:r w:rsidRPr="005271A8" w:rsidDel="000E3E7B">
        <w:t xml:space="preserve"> a simplified registration and return process to reduce compliance costs for registered offshore suppliers</w:t>
      </w:r>
      <w:r w:rsidR="00355774">
        <w:t>;</w:t>
      </w:r>
    </w:p>
    <w:p w14:paraId="3D567424" w14:textId="72D9F265" w:rsidR="007B092F" w:rsidRPr="00B9046D" w:rsidRDefault="007B092F" w:rsidP="0097279A">
      <w:pPr>
        <w:pStyle w:val="TRBodyText"/>
        <w:numPr>
          <w:ilvl w:val="0"/>
          <w:numId w:val="17"/>
        </w:numPr>
      </w:pPr>
      <w:r w:rsidRPr="007B092F">
        <w:t>In some situations,</w:t>
      </w:r>
      <w:r w:rsidR="00272321">
        <w:t xml:space="preserve"> requiring</w:t>
      </w:r>
      <w:r w:rsidRPr="007B092F">
        <w:t xml:space="preserve"> an electronic marketplace or intermediary to register instead of the principal offshore supplier.</w:t>
      </w:r>
    </w:p>
    <w:p w14:paraId="4F462B1F" w14:textId="77777777" w:rsidR="00D216CE" w:rsidRDefault="00D216CE" w:rsidP="000F15EF">
      <w:pPr>
        <w:pStyle w:val="Bullet-list"/>
        <w:spacing w:after="0" w:line="240" w:lineRule="auto"/>
        <w:ind w:left="0" w:firstLine="0"/>
        <w:jc w:val="both"/>
        <w:rPr>
          <w:rFonts w:ascii="Times New Roman" w:hAnsi="Times New Roman"/>
          <w:sz w:val="24"/>
          <w:szCs w:val="24"/>
        </w:rPr>
      </w:pPr>
    </w:p>
    <w:p w14:paraId="2650A7B2" w14:textId="4FBFEAB4" w:rsidR="0082791A" w:rsidRDefault="0082791A"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analysis </w:t>
      </w:r>
      <w:r w:rsidR="00B9046D">
        <w:rPr>
          <w:rFonts w:ascii="Times New Roman" w:hAnsi="Times New Roman"/>
          <w:sz w:val="24"/>
          <w:szCs w:val="24"/>
        </w:rPr>
        <w:t xml:space="preserve">of </w:t>
      </w:r>
      <w:r w:rsidR="005713D2">
        <w:rPr>
          <w:rFonts w:ascii="Times New Roman" w:hAnsi="Times New Roman"/>
          <w:sz w:val="24"/>
          <w:szCs w:val="24"/>
        </w:rPr>
        <w:t>these</w:t>
      </w:r>
      <w:r w:rsidR="00B9046D">
        <w:rPr>
          <w:rFonts w:ascii="Times New Roman" w:hAnsi="Times New Roman"/>
          <w:sz w:val="24"/>
          <w:szCs w:val="24"/>
        </w:rPr>
        <w:t xml:space="preserve"> design issues are</w:t>
      </w:r>
      <w:r>
        <w:rPr>
          <w:rFonts w:ascii="Times New Roman" w:hAnsi="Times New Roman"/>
          <w:sz w:val="24"/>
          <w:szCs w:val="24"/>
        </w:rPr>
        <w:t xml:space="preserve"> summarised in the tables below. </w:t>
      </w:r>
    </w:p>
    <w:p w14:paraId="40646D67" w14:textId="77777777" w:rsidR="00A35A6F" w:rsidRDefault="00A35A6F" w:rsidP="00A35A6F">
      <w:pPr>
        <w:pStyle w:val="Bullet-list"/>
        <w:spacing w:after="0" w:line="240" w:lineRule="auto"/>
        <w:ind w:left="0" w:firstLine="0"/>
        <w:rPr>
          <w:rFonts w:ascii="Times New Roman" w:hAnsi="Times New Roman"/>
          <w:sz w:val="24"/>
          <w:szCs w:val="24"/>
        </w:rPr>
      </w:pPr>
    </w:p>
    <w:p w14:paraId="788ED8BA" w14:textId="422B96BC" w:rsidR="00FE68B9" w:rsidRDefault="00272321" w:rsidP="00FE68B9">
      <w:pPr>
        <w:pStyle w:val="Bullet-list"/>
        <w:spacing w:after="0" w:line="240" w:lineRule="auto"/>
        <w:ind w:left="0" w:firstLine="0"/>
        <w:rPr>
          <w:rFonts w:ascii="Times New Roman" w:hAnsi="Times New Roman"/>
          <w:b/>
          <w:sz w:val="24"/>
          <w:szCs w:val="24"/>
        </w:rPr>
      </w:pPr>
      <w:r>
        <w:rPr>
          <w:rFonts w:ascii="Times New Roman" w:hAnsi="Times New Roman"/>
          <w:b/>
          <w:sz w:val="24"/>
          <w:szCs w:val="24"/>
        </w:rPr>
        <w:t xml:space="preserve">Zero-rating </w:t>
      </w:r>
      <w:r w:rsidR="00FE68B9">
        <w:rPr>
          <w:rFonts w:ascii="Times New Roman" w:hAnsi="Times New Roman"/>
          <w:b/>
          <w:sz w:val="24"/>
          <w:szCs w:val="24"/>
        </w:rPr>
        <w:t xml:space="preserve">supplies of services and intangibles to GST-registered New Zealand businesses </w:t>
      </w:r>
      <w:r w:rsidR="00564988">
        <w:rPr>
          <w:rFonts w:ascii="Times New Roman" w:hAnsi="Times New Roman"/>
          <w:b/>
          <w:sz w:val="24"/>
          <w:szCs w:val="24"/>
        </w:rPr>
        <w:t xml:space="preserve">from the rules </w:t>
      </w:r>
    </w:p>
    <w:p w14:paraId="60E3C74C" w14:textId="77777777" w:rsidR="00F14213" w:rsidRDefault="00F14213" w:rsidP="00FE68B9">
      <w:pPr>
        <w:pStyle w:val="Bullet-list"/>
        <w:spacing w:after="0" w:line="240" w:lineRule="auto"/>
        <w:ind w:left="0" w:firstLine="0"/>
        <w:rPr>
          <w:rFonts w:ascii="Times New Roman" w:hAnsi="Times New Roman"/>
          <w:b/>
          <w:sz w:val="24"/>
          <w:szCs w:val="24"/>
        </w:rPr>
      </w:pPr>
    </w:p>
    <w:p w14:paraId="4405FD08" w14:textId="2A9A7B60" w:rsidR="0001309F" w:rsidRDefault="00F14213" w:rsidP="00B01596">
      <w:pPr>
        <w:pStyle w:val="Bullet-list"/>
        <w:numPr>
          <w:ilvl w:val="0"/>
          <w:numId w:val="3"/>
        </w:numPr>
        <w:tabs>
          <w:tab w:val="clear" w:pos="720"/>
          <w:tab w:val="num" w:pos="567"/>
        </w:tabs>
        <w:spacing w:after="0" w:line="240" w:lineRule="auto"/>
        <w:ind w:left="0" w:firstLine="0"/>
        <w:jc w:val="both"/>
      </w:pPr>
      <w:r w:rsidRPr="00B01596">
        <w:rPr>
          <w:rFonts w:ascii="Times New Roman" w:hAnsi="Times New Roman"/>
          <w:sz w:val="24"/>
          <w:szCs w:val="24"/>
        </w:rPr>
        <w:t xml:space="preserve">One key design issue is whether offshore suppliers should be required to return GST on supplies of remote services and intangibles to New Zealand GST-registered businesses, or whether GST should apply only to supplies to New Zealand-resident </w:t>
      </w:r>
      <w:r w:rsidR="00272321" w:rsidRPr="00B01596">
        <w:rPr>
          <w:rFonts w:ascii="Times New Roman" w:hAnsi="Times New Roman"/>
          <w:sz w:val="24"/>
          <w:szCs w:val="24"/>
        </w:rPr>
        <w:t xml:space="preserve">final </w:t>
      </w:r>
      <w:r w:rsidRPr="00B01596">
        <w:rPr>
          <w:rFonts w:ascii="Times New Roman" w:hAnsi="Times New Roman"/>
          <w:sz w:val="24"/>
          <w:szCs w:val="24"/>
        </w:rPr>
        <w:t xml:space="preserve">consumers. </w:t>
      </w:r>
    </w:p>
    <w:tbl>
      <w:tblPr>
        <w:tblStyle w:val="TableGrid"/>
        <w:tblpPr w:leftFromText="180" w:rightFromText="180" w:vertAnchor="text" w:horzAnchor="margin" w:tblpX="-176" w:tblpY="194"/>
        <w:tblW w:w="9889" w:type="dxa"/>
        <w:tblLayout w:type="fixed"/>
        <w:tblLook w:val="04A0" w:firstRow="1" w:lastRow="0" w:firstColumn="1" w:lastColumn="0" w:noHBand="0" w:noVBand="1"/>
      </w:tblPr>
      <w:tblGrid>
        <w:gridCol w:w="1977"/>
        <w:gridCol w:w="1978"/>
        <w:gridCol w:w="1978"/>
        <w:gridCol w:w="1978"/>
        <w:gridCol w:w="1978"/>
      </w:tblGrid>
      <w:tr w:rsidR="009E4B2B" w:rsidRPr="008B0E14" w14:paraId="4564208F" w14:textId="77777777" w:rsidTr="00FE68B9">
        <w:trPr>
          <w:cantSplit/>
          <w:trHeight w:val="202"/>
        </w:trPr>
        <w:tc>
          <w:tcPr>
            <w:tcW w:w="1977" w:type="dxa"/>
          </w:tcPr>
          <w:p w14:paraId="7EE74969" w14:textId="2377BFCE" w:rsidR="009E4B2B" w:rsidRPr="00D66669" w:rsidRDefault="009E4B2B" w:rsidP="000F15E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Issue</w:t>
            </w:r>
          </w:p>
        </w:tc>
        <w:tc>
          <w:tcPr>
            <w:tcW w:w="1978" w:type="dxa"/>
          </w:tcPr>
          <w:p w14:paraId="09F84CAA" w14:textId="77777777" w:rsidR="009E4B2B" w:rsidRPr="00F75C7B" w:rsidRDefault="009E4B2B" w:rsidP="000F15E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Options</w:t>
            </w:r>
            <w:r w:rsidRPr="00F75C7B">
              <w:rPr>
                <w:rFonts w:ascii="Times New Roman" w:hAnsi="Times New Roman"/>
                <w:b/>
                <w:sz w:val="18"/>
                <w:szCs w:val="18"/>
              </w:rPr>
              <w:t xml:space="preserve"> </w:t>
            </w:r>
          </w:p>
        </w:tc>
        <w:tc>
          <w:tcPr>
            <w:tcW w:w="1978" w:type="dxa"/>
          </w:tcPr>
          <w:p w14:paraId="15A1D1A1" w14:textId="77777777" w:rsidR="009E4B2B" w:rsidRPr="008B0E14" w:rsidRDefault="009E4B2B" w:rsidP="000F15E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Advantages</w:t>
            </w:r>
          </w:p>
        </w:tc>
        <w:tc>
          <w:tcPr>
            <w:tcW w:w="1978" w:type="dxa"/>
          </w:tcPr>
          <w:p w14:paraId="7BF3C5FB" w14:textId="77777777" w:rsidR="009E4B2B" w:rsidRPr="008B0E14" w:rsidRDefault="009E4B2B" w:rsidP="000F15E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Disadvantages</w:t>
            </w:r>
          </w:p>
        </w:tc>
        <w:tc>
          <w:tcPr>
            <w:tcW w:w="1978" w:type="dxa"/>
          </w:tcPr>
          <w:p w14:paraId="51FF2CBD" w14:textId="77777777" w:rsidR="009E4B2B" w:rsidRPr="008B0E14" w:rsidRDefault="009E4B2B" w:rsidP="000F15EF">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Recommendations</w:t>
            </w:r>
          </w:p>
        </w:tc>
      </w:tr>
      <w:tr w:rsidR="009E4B2B" w:rsidRPr="008B0E14" w14:paraId="55386153" w14:textId="77777777" w:rsidTr="00FE68B9">
        <w:trPr>
          <w:cantSplit/>
          <w:trHeight w:val="5581"/>
        </w:trPr>
        <w:tc>
          <w:tcPr>
            <w:tcW w:w="1977" w:type="dxa"/>
            <w:vMerge w:val="restart"/>
          </w:tcPr>
          <w:p w14:paraId="1B4BE192" w14:textId="77777777" w:rsidR="009E4B2B" w:rsidRDefault="00A35A6F"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Should the rules </w:t>
            </w:r>
            <w:r w:rsidR="00B9046D">
              <w:rPr>
                <w:rFonts w:ascii="Times New Roman" w:hAnsi="Times New Roman"/>
                <w:sz w:val="18"/>
                <w:szCs w:val="18"/>
              </w:rPr>
              <w:t xml:space="preserve">zero-rate </w:t>
            </w:r>
            <w:r>
              <w:rPr>
                <w:rFonts w:ascii="Times New Roman" w:hAnsi="Times New Roman"/>
                <w:sz w:val="18"/>
                <w:szCs w:val="18"/>
              </w:rPr>
              <w:t xml:space="preserve">supplies to New Zealand GST-registered businesses? </w:t>
            </w:r>
          </w:p>
          <w:p w14:paraId="51B700F6" w14:textId="65E070BC" w:rsidR="00355774" w:rsidRPr="008B0E14" w:rsidRDefault="00355774" w:rsidP="00D61445">
            <w:pPr>
              <w:pStyle w:val="Bullet-list"/>
              <w:tabs>
                <w:tab w:val="num" w:pos="567"/>
              </w:tabs>
              <w:spacing w:after="0" w:line="240" w:lineRule="auto"/>
              <w:ind w:left="0" w:firstLine="0"/>
              <w:jc w:val="left"/>
              <w:rPr>
                <w:rFonts w:ascii="Times New Roman" w:hAnsi="Times New Roman"/>
                <w:b/>
                <w:color w:val="002469"/>
                <w:spacing w:val="20"/>
                <w:w w:val="90"/>
                <w:sz w:val="18"/>
                <w:szCs w:val="18"/>
              </w:rPr>
            </w:pPr>
          </w:p>
        </w:tc>
        <w:tc>
          <w:tcPr>
            <w:tcW w:w="1978" w:type="dxa"/>
          </w:tcPr>
          <w:p w14:paraId="24CBB216" w14:textId="6E7CE537" w:rsidR="009E4B2B" w:rsidRPr="008B0E14" w:rsidRDefault="007C01C1" w:rsidP="00D61445">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i/>
                <w:sz w:val="18"/>
                <w:szCs w:val="18"/>
              </w:rPr>
              <w:t>Exclude</w:t>
            </w:r>
            <w:r w:rsidR="00A35A6F">
              <w:rPr>
                <w:rFonts w:ascii="Times New Roman" w:hAnsi="Times New Roman"/>
                <w:i/>
                <w:sz w:val="18"/>
                <w:szCs w:val="18"/>
              </w:rPr>
              <w:t xml:space="preserve"> supplies to New Zealand GST-registered businesses </w:t>
            </w:r>
            <w:r>
              <w:rPr>
                <w:rFonts w:ascii="Times New Roman" w:hAnsi="Times New Roman"/>
                <w:i/>
                <w:sz w:val="18"/>
                <w:szCs w:val="18"/>
              </w:rPr>
              <w:t xml:space="preserve">unless the offshore supplier </w:t>
            </w:r>
            <w:r w:rsidR="00355774">
              <w:rPr>
                <w:rFonts w:ascii="Times New Roman" w:hAnsi="Times New Roman"/>
                <w:i/>
                <w:sz w:val="18"/>
                <w:szCs w:val="18"/>
              </w:rPr>
              <w:t>and GST</w:t>
            </w:r>
            <w:r>
              <w:rPr>
                <w:rFonts w:ascii="Times New Roman" w:hAnsi="Times New Roman"/>
                <w:i/>
                <w:sz w:val="18"/>
                <w:szCs w:val="18"/>
              </w:rPr>
              <w:t>-registered recipient agree to zero-rate the supply</w:t>
            </w:r>
            <w:r w:rsidR="001321F3">
              <w:rPr>
                <w:rFonts w:ascii="Times New Roman" w:hAnsi="Times New Roman"/>
                <w:i/>
                <w:sz w:val="18"/>
                <w:szCs w:val="18"/>
              </w:rPr>
              <w:t>.</w:t>
            </w:r>
          </w:p>
        </w:tc>
        <w:tc>
          <w:tcPr>
            <w:tcW w:w="1978" w:type="dxa"/>
          </w:tcPr>
          <w:p w14:paraId="4EB7DB63" w14:textId="0B7C590B" w:rsidR="00FE68B9" w:rsidRDefault="007A7F00"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w:t>
            </w:r>
            <w:r w:rsidRPr="007A7F00">
              <w:rPr>
                <w:rFonts w:ascii="Times New Roman" w:hAnsi="Times New Roman"/>
                <w:sz w:val="18"/>
                <w:szCs w:val="18"/>
              </w:rPr>
              <w:t>allows the rules requiring tax invoices to be relaxed, as unregistered recipients will not have the ability to claim back GST charged on the services they receive.</w:t>
            </w:r>
            <w:r w:rsidRPr="006F6154">
              <w:rPr>
                <w:rFonts w:ascii="Times New Roman" w:hAnsi="Times New Roman"/>
                <w:sz w:val="24"/>
                <w:szCs w:val="24"/>
              </w:rPr>
              <w:t xml:space="preserve"> </w:t>
            </w:r>
            <w:r w:rsidR="00FE68B9">
              <w:rPr>
                <w:rFonts w:ascii="Times New Roman" w:hAnsi="Times New Roman"/>
                <w:sz w:val="18"/>
                <w:szCs w:val="18"/>
              </w:rPr>
              <w:t xml:space="preserve">This would result in lower compliance costs for offshore suppliers. </w:t>
            </w:r>
          </w:p>
          <w:p w14:paraId="7E684D43" w14:textId="77777777" w:rsidR="00FE68B9" w:rsidRDefault="00FE68B9" w:rsidP="00D61445">
            <w:pPr>
              <w:pStyle w:val="Bullet-list"/>
              <w:tabs>
                <w:tab w:val="num" w:pos="567"/>
              </w:tabs>
              <w:spacing w:after="0" w:line="240" w:lineRule="auto"/>
              <w:ind w:left="0" w:firstLine="0"/>
              <w:jc w:val="left"/>
              <w:rPr>
                <w:rFonts w:ascii="Times New Roman" w:hAnsi="Times New Roman"/>
                <w:sz w:val="18"/>
                <w:szCs w:val="18"/>
              </w:rPr>
            </w:pPr>
          </w:p>
          <w:p w14:paraId="26DD77BD" w14:textId="78A57CF6" w:rsidR="009E4B2B" w:rsidRDefault="00FE68B9"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is consistent with the approach taken in most other jurisdictions that have adopted an offshore supplier registration model for services and intangibles, and is more consistent with the draft OECD guidelines. </w:t>
            </w:r>
          </w:p>
          <w:p w14:paraId="194743D6" w14:textId="15CC709B" w:rsidR="00B9046D" w:rsidRDefault="00B9046D" w:rsidP="00D61445">
            <w:pPr>
              <w:pStyle w:val="Bullet-list"/>
              <w:tabs>
                <w:tab w:val="num" w:pos="567"/>
              </w:tabs>
              <w:spacing w:after="0" w:line="240" w:lineRule="auto"/>
              <w:ind w:left="0" w:firstLine="0"/>
              <w:jc w:val="left"/>
              <w:rPr>
                <w:rFonts w:ascii="Times New Roman" w:hAnsi="Times New Roman"/>
                <w:sz w:val="18"/>
                <w:szCs w:val="18"/>
              </w:rPr>
            </w:pPr>
          </w:p>
          <w:p w14:paraId="7E4CCF97" w14:textId="250A9651" w:rsidR="00B9046D" w:rsidRPr="008B0E14" w:rsidRDefault="001321F3" w:rsidP="00D61445">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The option to z</w:t>
            </w:r>
            <w:r w:rsidR="00B9046D">
              <w:rPr>
                <w:rFonts w:ascii="Times New Roman" w:hAnsi="Times New Roman"/>
                <w:sz w:val="18"/>
                <w:szCs w:val="18"/>
              </w:rPr>
              <w:t>ero-</w:t>
            </w:r>
            <w:r>
              <w:rPr>
                <w:rFonts w:ascii="Times New Roman" w:hAnsi="Times New Roman"/>
                <w:sz w:val="18"/>
                <w:szCs w:val="18"/>
              </w:rPr>
              <w:t xml:space="preserve">rate </w:t>
            </w:r>
            <w:r w:rsidR="00B9046D">
              <w:rPr>
                <w:rFonts w:ascii="Times New Roman" w:hAnsi="Times New Roman"/>
                <w:sz w:val="18"/>
                <w:szCs w:val="18"/>
              </w:rPr>
              <w:t>these supplies will allow non-resident business</w:t>
            </w:r>
            <w:r>
              <w:rPr>
                <w:rFonts w:ascii="Times New Roman" w:hAnsi="Times New Roman"/>
                <w:sz w:val="18"/>
                <w:szCs w:val="18"/>
              </w:rPr>
              <w:t>es</w:t>
            </w:r>
            <w:r w:rsidR="00B9046D">
              <w:rPr>
                <w:rFonts w:ascii="Times New Roman" w:hAnsi="Times New Roman"/>
                <w:sz w:val="18"/>
                <w:szCs w:val="18"/>
              </w:rPr>
              <w:t xml:space="preserve"> to claim back any New Zealand GST incurred in </w:t>
            </w:r>
            <w:r w:rsidR="00881CF4">
              <w:rPr>
                <w:rFonts w:ascii="Times New Roman" w:hAnsi="Times New Roman"/>
                <w:sz w:val="18"/>
                <w:szCs w:val="18"/>
              </w:rPr>
              <w:t xml:space="preserve">making </w:t>
            </w:r>
            <w:r w:rsidR="00B9046D">
              <w:rPr>
                <w:rFonts w:ascii="Times New Roman" w:hAnsi="Times New Roman"/>
                <w:sz w:val="18"/>
                <w:szCs w:val="18"/>
              </w:rPr>
              <w:t>these supplies which ensures GST is neutral for these businesses.</w:t>
            </w:r>
          </w:p>
        </w:tc>
        <w:tc>
          <w:tcPr>
            <w:tcW w:w="1978" w:type="dxa"/>
          </w:tcPr>
          <w:p w14:paraId="77296734" w14:textId="77777777" w:rsidR="007A285A" w:rsidRDefault="00FE68B9"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requires offshore suppliers to determine whether they are supplying to a registered business or an individual customer, which could require the collection of additional information in some cases. However, as other countries have adopted offshore supplier registration systems that do not require offshore suppliers to return GST on business-to-business supplies, it is likely that many suppliers have implemented systems to operate in this environment.  </w:t>
            </w:r>
            <w:r w:rsidR="007A285A">
              <w:rPr>
                <w:rFonts w:ascii="Times New Roman" w:hAnsi="Times New Roman"/>
                <w:sz w:val="18"/>
                <w:szCs w:val="18"/>
              </w:rPr>
              <w:t>Offshore suppliers will also be able to rely on businesses customers GST number to determine their registration status.</w:t>
            </w:r>
          </w:p>
          <w:p w14:paraId="63C4C25F" w14:textId="0BD1C464" w:rsidR="00C368D6" w:rsidRPr="008B0E14" w:rsidRDefault="00C368D6"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C368D6">
              <w:rPr>
                <w:rFonts w:ascii="Times New Roman" w:hAnsi="Times New Roman"/>
                <w:sz w:val="18"/>
                <w:szCs w:val="18"/>
                <w:lang w:val="en-NZ"/>
              </w:rPr>
              <w:t>Additionally,</w:t>
            </w:r>
            <w:r w:rsidR="007D49C2">
              <w:rPr>
                <w:rFonts w:ascii="Times New Roman" w:hAnsi="Times New Roman"/>
                <w:sz w:val="18"/>
                <w:szCs w:val="18"/>
                <w:lang w:val="en-NZ"/>
              </w:rPr>
              <w:t xml:space="preserve"> to further reduce compliance costs,</w:t>
            </w:r>
            <w:r w:rsidRPr="00C368D6">
              <w:rPr>
                <w:rFonts w:ascii="Times New Roman" w:hAnsi="Times New Roman"/>
                <w:sz w:val="18"/>
                <w:szCs w:val="18"/>
                <w:lang w:val="en-NZ"/>
              </w:rPr>
              <w:t xml:space="preserve"> an offshore supplier would also be able to agree with the Commissioner of Inland Revenue on an alternative method of determining whether customers are GST-registered business</w:t>
            </w:r>
            <w:r w:rsidR="001D4288">
              <w:rPr>
                <w:rFonts w:ascii="Times New Roman" w:hAnsi="Times New Roman"/>
                <w:sz w:val="18"/>
                <w:szCs w:val="18"/>
                <w:lang w:val="en-NZ"/>
              </w:rPr>
              <w:t>es</w:t>
            </w:r>
            <w:r w:rsidRPr="00C368D6">
              <w:rPr>
                <w:rFonts w:ascii="Times New Roman" w:hAnsi="Times New Roman"/>
                <w:sz w:val="18"/>
                <w:szCs w:val="18"/>
                <w:lang w:val="en-NZ"/>
              </w:rPr>
              <w:t>.</w:t>
            </w:r>
          </w:p>
        </w:tc>
        <w:tc>
          <w:tcPr>
            <w:tcW w:w="1978" w:type="dxa"/>
          </w:tcPr>
          <w:p w14:paraId="0E61B3B8" w14:textId="771E2577" w:rsidR="009E4B2B" w:rsidRPr="00F14213" w:rsidRDefault="007A7F00"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Recommended</w:t>
            </w:r>
          </w:p>
        </w:tc>
      </w:tr>
      <w:tr w:rsidR="009E4B2B" w:rsidRPr="008B0E14" w14:paraId="28510189" w14:textId="77777777" w:rsidTr="00FE68B9">
        <w:trPr>
          <w:cantSplit/>
          <w:trHeight w:val="1762"/>
        </w:trPr>
        <w:tc>
          <w:tcPr>
            <w:tcW w:w="1977" w:type="dxa"/>
            <w:vMerge/>
          </w:tcPr>
          <w:p w14:paraId="6EFA91EE" w14:textId="0268FD8D" w:rsidR="009E4B2B" w:rsidRPr="008B0E14" w:rsidRDefault="009E4B2B" w:rsidP="009C42BC">
            <w:pPr>
              <w:pStyle w:val="Bullet-list"/>
              <w:tabs>
                <w:tab w:val="num" w:pos="567"/>
              </w:tabs>
              <w:spacing w:after="0" w:line="240" w:lineRule="auto"/>
              <w:ind w:left="0" w:firstLine="0"/>
              <w:jc w:val="left"/>
              <w:rPr>
                <w:rFonts w:ascii="Times New Roman" w:hAnsi="Times New Roman"/>
                <w:sz w:val="18"/>
                <w:szCs w:val="18"/>
              </w:rPr>
            </w:pPr>
          </w:p>
        </w:tc>
        <w:tc>
          <w:tcPr>
            <w:tcW w:w="1978" w:type="dxa"/>
          </w:tcPr>
          <w:p w14:paraId="7FDC7456" w14:textId="2496A396" w:rsidR="009E4B2B" w:rsidRPr="00A35A6F" w:rsidRDefault="00A35A6F" w:rsidP="009C42BC">
            <w:pPr>
              <w:pStyle w:val="Bullet-list"/>
              <w:tabs>
                <w:tab w:val="num" w:pos="567"/>
              </w:tabs>
              <w:spacing w:after="0" w:line="240" w:lineRule="auto"/>
              <w:ind w:left="0" w:firstLine="0"/>
              <w:jc w:val="left"/>
              <w:rPr>
                <w:rFonts w:ascii="Times New Roman" w:hAnsi="Times New Roman"/>
                <w:b/>
                <w:i/>
                <w:color w:val="002469"/>
                <w:spacing w:val="20"/>
                <w:w w:val="90"/>
                <w:sz w:val="18"/>
                <w:szCs w:val="18"/>
              </w:rPr>
            </w:pPr>
            <w:r>
              <w:rPr>
                <w:rFonts w:ascii="Times New Roman" w:hAnsi="Times New Roman"/>
                <w:i/>
                <w:sz w:val="18"/>
                <w:szCs w:val="18"/>
              </w:rPr>
              <w:t xml:space="preserve">Require offshore suppliers to return GST </w:t>
            </w:r>
            <w:r w:rsidR="00B9046D">
              <w:rPr>
                <w:rFonts w:ascii="Times New Roman" w:hAnsi="Times New Roman"/>
                <w:i/>
                <w:sz w:val="18"/>
                <w:szCs w:val="18"/>
              </w:rPr>
              <w:t xml:space="preserve">at a rate of 15% </w:t>
            </w:r>
            <w:r>
              <w:rPr>
                <w:rFonts w:ascii="Times New Roman" w:hAnsi="Times New Roman"/>
                <w:i/>
                <w:sz w:val="18"/>
                <w:szCs w:val="18"/>
              </w:rPr>
              <w:t xml:space="preserve">on all supplies to New Zealand resident consumers and businesses. </w:t>
            </w:r>
          </w:p>
        </w:tc>
        <w:tc>
          <w:tcPr>
            <w:tcW w:w="1978" w:type="dxa"/>
          </w:tcPr>
          <w:p w14:paraId="47680C2A" w14:textId="49F0812B" w:rsidR="009E4B2B" w:rsidRPr="008B0E14" w:rsidRDefault="00A35A6F"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would mean offshore suppliers would not have to determine whether they were supplying to a business or an individual customer, which may reduce compliance costs </w:t>
            </w:r>
            <w:r w:rsidR="00272321">
              <w:rPr>
                <w:rFonts w:ascii="Times New Roman" w:hAnsi="Times New Roman"/>
                <w:sz w:val="18"/>
                <w:szCs w:val="18"/>
              </w:rPr>
              <w:t xml:space="preserve">for </w:t>
            </w:r>
            <w:r>
              <w:rPr>
                <w:rFonts w:ascii="Times New Roman" w:hAnsi="Times New Roman"/>
                <w:sz w:val="18"/>
                <w:szCs w:val="18"/>
              </w:rPr>
              <w:t xml:space="preserve">some. </w:t>
            </w:r>
          </w:p>
        </w:tc>
        <w:tc>
          <w:tcPr>
            <w:tcW w:w="1978" w:type="dxa"/>
          </w:tcPr>
          <w:p w14:paraId="7DA78A16" w14:textId="3880605A" w:rsidR="009E4B2B" w:rsidRPr="008B0E14" w:rsidRDefault="00A35A6F"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would have little value from a revenue perspective as GST-registered businesses would be in a position to claim back GST charged. </w:t>
            </w:r>
            <w:r w:rsidR="0038007D">
              <w:rPr>
                <w:rFonts w:ascii="Times New Roman" w:hAnsi="Times New Roman"/>
                <w:sz w:val="18"/>
                <w:szCs w:val="18"/>
              </w:rPr>
              <w:t xml:space="preserve">This option would </w:t>
            </w:r>
            <w:r>
              <w:rPr>
                <w:rFonts w:ascii="Times New Roman" w:hAnsi="Times New Roman"/>
                <w:sz w:val="18"/>
                <w:szCs w:val="18"/>
              </w:rPr>
              <w:t xml:space="preserve">pose a fiscal risk </w:t>
            </w:r>
            <w:r w:rsidR="003F389B">
              <w:rPr>
                <w:rFonts w:ascii="Times New Roman" w:hAnsi="Times New Roman"/>
                <w:sz w:val="18"/>
                <w:szCs w:val="18"/>
              </w:rPr>
              <w:t xml:space="preserve">if an </w:t>
            </w:r>
            <w:r>
              <w:rPr>
                <w:rFonts w:ascii="Times New Roman" w:hAnsi="Times New Roman"/>
                <w:sz w:val="18"/>
                <w:szCs w:val="18"/>
              </w:rPr>
              <w:t xml:space="preserve">offshore </w:t>
            </w:r>
            <w:r w:rsidR="00FE68B9">
              <w:rPr>
                <w:rFonts w:ascii="Times New Roman" w:hAnsi="Times New Roman"/>
                <w:sz w:val="18"/>
                <w:szCs w:val="18"/>
              </w:rPr>
              <w:t>supplier</w:t>
            </w:r>
            <w:r>
              <w:rPr>
                <w:rFonts w:ascii="Times New Roman" w:hAnsi="Times New Roman"/>
                <w:sz w:val="18"/>
                <w:szCs w:val="18"/>
              </w:rPr>
              <w:t xml:space="preserve"> charge</w:t>
            </w:r>
            <w:r w:rsidR="003F389B">
              <w:rPr>
                <w:rFonts w:ascii="Times New Roman" w:hAnsi="Times New Roman"/>
                <w:sz w:val="18"/>
                <w:szCs w:val="18"/>
              </w:rPr>
              <w:t>d</w:t>
            </w:r>
            <w:r>
              <w:rPr>
                <w:rFonts w:ascii="Times New Roman" w:hAnsi="Times New Roman"/>
                <w:sz w:val="18"/>
                <w:szCs w:val="18"/>
              </w:rPr>
              <w:t xml:space="preserve"> GST </w:t>
            </w:r>
            <w:r w:rsidR="003F389B">
              <w:rPr>
                <w:rFonts w:ascii="Times New Roman" w:hAnsi="Times New Roman"/>
                <w:sz w:val="18"/>
                <w:szCs w:val="18"/>
              </w:rPr>
              <w:t xml:space="preserve">to a New Zealand business </w:t>
            </w:r>
            <w:r>
              <w:rPr>
                <w:rFonts w:ascii="Times New Roman" w:hAnsi="Times New Roman"/>
                <w:sz w:val="18"/>
                <w:szCs w:val="18"/>
              </w:rPr>
              <w:t xml:space="preserve">but </w:t>
            </w:r>
            <w:r w:rsidR="003F389B">
              <w:rPr>
                <w:rFonts w:ascii="Times New Roman" w:hAnsi="Times New Roman"/>
                <w:sz w:val="18"/>
                <w:szCs w:val="18"/>
              </w:rPr>
              <w:t xml:space="preserve">did </w:t>
            </w:r>
            <w:r>
              <w:rPr>
                <w:rFonts w:ascii="Times New Roman" w:hAnsi="Times New Roman"/>
                <w:sz w:val="18"/>
                <w:szCs w:val="18"/>
              </w:rPr>
              <w:t xml:space="preserve">not </w:t>
            </w:r>
            <w:r w:rsidR="003F389B">
              <w:rPr>
                <w:rFonts w:ascii="Times New Roman" w:hAnsi="Times New Roman"/>
                <w:sz w:val="18"/>
                <w:szCs w:val="18"/>
              </w:rPr>
              <w:t xml:space="preserve">pay the </w:t>
            </w:r>
            <w:r>
              <w:rPr>
                <w:rFonts w:ascii="Times New Roman" w:hAnsi="Times New Roman"/>
                <w:sz w:val="18"/>
                <w:szCs w:val="18"/>
              </w:rPr>
              <w:t>GST</w:t>
            </w:r>
            <w:r w:rsidR="003F389B">
              <w:rPr>
                <w:rFonts w:ascii="Times New Roman" w:hAnsi="Times New Roman"/>
                <w:sz w:val="18"/>
                <w:szCs w:val="18"/>
              </w:rPr>
              <w:t xml:space="preserve"> to Inland Revenue as the New Zealand business would be entitled to an input tax deduction</w:t>
            </w:r>
            <w:r>
              <w:rPr>
                <w:rFonts w:ascii="Times New Roman" w:hAnsi="Times New Roman"/>
                <w:sz w:val="18"/>
                <w:szCs w:val="18"/>
              </w:rPr>
              <w:t xml:space="preserve">.  </w:t>
            </w:r>
          </w:p>
        </w:tc>
        <w:tc>
          <w:tcPr>
            <w:tcW w:w="1978" w:type="dxa"/>
          </w:tcPr>
          <w:p w14:paraId="1F695E3D" w14:textId="7E1E9A9B" w:rsidR="009E4B2B" w:rsidRPr="00F14213" w:rsidRDefault="007A7F00"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Not recommended</w:t>
            </w:r>
          </w:p>
        </w:tc>
      </w:tr>
    </w:tbl>
    <w:p w14:paraId="518E8473" w14:textId="77777777" w:rsidR="000B50D8" w:rsidRDefault="000B50D8" w:rsidP="000F15EF">
      <w:pPr>
        <w:pStyle w:val="Bullet-list"/>
        <w:spacing w:after="0" w:line="240" w:lineRule="auto"/>
        <w:ind w:left="0" w:firstLine="0"/>
        <w:jc w:val="both"/>
        <w:rPr>
          <w:rFonts w:ascii="Times New Roman" w:hAnsi="Times New Roman"/>
          <w:sz w:val="24"/>
          <w:szCs w:val="24"/>
        </w:rPr>
      </w:pPr>
    </w:p>
    <w:p w14:paraId="7D6ACF0F" w14:textId="2854FF3E" w:rsidR="007B092F" w:rsidRPr="000F15EF" w:rsidRDefault="000B50D8"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It is </w:t>
      </w:r>
      <w:r w:rsidR="003F389B">
        <w:rPr>
          <w:rFonts w:ascii="Times New Roman" w:hAnsi="Times New Roman"/>
          <w:sz w:val="24"/>
          <w:szCs w:val="24"/>
        </w:rPr>
        <w:t xml:space="preserve">proposed </w:t>
      </w:r>
      <w:r>
        <w:rPr>
          <w:rFonts w:ascii="Times New Roman" w:hAnsi="Times New Roman"/>
          <w:sz w:val="24"/>
          <w:szCs w:val="24"/>
        </w:rPr>
        <w:t>that i</w:t>
      </w:r>
      <w:r w:rsidRPr="000F15EF">
        <w:rPr>
          <w:rFonts w:ascii="Times New Roman" w:hAnsi="Times New Roman"/>
          <w:sz w:val="24"/>
          <w:szCs w:val="24"/>
        </w:rPr>
        <w:t xml:space="preserve">f a GST-registered business is inadvertently charged GST they </w:t>
      </w:r>
      <w:r w:rsidR="003F389B">
        <w:rPr>
          <w:rFonts w:ascii="Times New Roman" w:hAnsi="Times New Roman"/>
          <w:sz w:val="24"/>
          <w:szCs w:val="24"/>
        </w:rPr>
        <w:t>would need to</w:t>
      </w:r>
      <w:r w:rsidR="003F389B" w:rsidRPr="000F15EF">
        <w:rPr>
          <w:rFonts w:ascii="Times New Roman" w:hAnsi="Times New Roman"/>
          <w:sz w:val="24"/>
          <w:szCs w:val="24"/>
        </w:rPr>
        <w:t xml:space="preserve"> </w:t>
      </w:r>
      <w:r w:rsidRPr="000F15EF">
        <w:rPr>
          <w:rFonts w:ascii="Times New Roman" w:hAnsi="Times New Roman"/>
          <w:sz w:val="24"/>
          <w:szCs w:val="24"/>
        </w:rPr>
        <w:t>seek a refund</w:t>
      </w:r>
      <w:r>
        <w:rPr>
          <w:rFonts w:ascii="Times New Roman" w:hAnsi="Times New Roman"/>
          <w:sz w:val="24"/>
          <w:szCs w:val="24"/>
        </w:rPr>
        <w:t xml:space="preserve"> from the offshore supplier</w:t>
      </w:r>
      <w:r w:rsidRPr="000F15EF">
        <w:rPr>
          <w:rFonts w:ascii="Times New Roman" w:hAnsi="Times New Roman"/>
          <w:sz w:val="24"/>
          <w:szCs w:val="24"/>
        </w:rPr>
        <w:t>.</w:t>
      </w:r>
      <w:r>
        <w:rPr>
          <w:rFonts w:ascii="Times New Roman" w:hAnsi="Times New Roman"/>
          <w:sz w:val="24"/>
          <w:szCs w:val="24"/>
        </w:rPr>
        <w:t xml:space="preserve"> However, i</w:t>
      </w:r>
      <w:r w:rsidRPr="000F15EF">
        <w:rPr>
          <w:rFonts w:ascii="Times New Roman" w:hAnsi="Times New Roman"/>
          <w:sz w:val="24"/>
          <w:szCs w:val="24"/>
        </w:rPr>
        <w:t xml:space="preserve">f the value of the supply is less than $1,000, the offshore supplier could provide a tax invoice </w:t>
      </w:r>
      <w:r>
        <w:rPr>
          <w:rFonts w:ascii="Times New Roman" w:hAnsi="Times New Roman"/>
          <w:sz w:val="24"/>
          <w:szCs w:val="24"/>
        </w:rPr>
        <w:t xml:space="preserve">which would allow the </w:t>
      </w:r>
      <w:r w:rsidRPr="001A42DF">
        <w:rPr>
          <w:rFonts w:ascii="Times New Roman" w:hAnsi="Times New Roman"/>
          <w:sz w:val="24"/>
          <w:szCs w:val="24"/>
        </w:rPr>
        <w:t xml:space="preserve">GST-registered business </w:t>
      </w:r>
      <w:r>
        <w:rPr>
          <w:rFonts w:ascii="Times New Roman" w:hAnsi="Times New Roman"/>
          <w:sz w:val="24"/>
          <w:szCs w:val="24"/>
        </w:rPr>
        <w:t>the ability to</w:t>
      </w:r>
      <w:r w:rsidRPr="000F15EF">
        <w:rPr>
          <w:rFonts w:ascii="Times New Roman" w:hAnsi="Times New Roman"/>
          <w:sz w:val="24"/>
          <w:szCs w:val="24"/>
        </w:rPr>
        <w:t xml:space="preserve"> claim </w:t>
      </w:r>
      <w:r>
        <w:rPr>
          <w:rFonts w:ascii="Times New Roman" w:hAnsi="Times New Roman"/>
          <w:sz w:val="24"/>
          <w:szCs w:val="24"/>
        </w:rPr>
        <w:t>back the GST in their normal GST return</w:t>
      </w:r>
      <w:r w:rsidRPr="000F15EF">
        <w:rPr>
          <w:rFonts w:ascii="Times New Roman" w:hAnsi="Times New Roman"/>
          <w:sz w:val="24"/>
          <w:szCs w:val="24"/>
        </w:rPr>
        <w:t>.</w:t>
      </w:r>
      <w:r>
        <w:rPr>
          <w:rFonts w:ascii="Times New Roman" w:hAnsi="Times New Roman"/>
          <w:sz w:val="24"/>
          <w:szCs w:val="24"/>
        </w:rPr>
        <w:t xml:space="preserve"> This </w:t>
      </w:r>
      <w:r w:rsidR="003F389B">
        <w:rPr>
          <w:rFonts w:ascii="Times New Roman" w:hAnsi="Times New Roman"/>
          <w:sz w:val="24"/>
          <w:szCs w:val="24"/>
        </w:rPr>
        <w:t xml:space="preserve">would </w:t>
      </w:r>
      <w:r>
        <w:rPr>
          <w:rFonts w:ascii="Times New Roman" w:hAnsi="Times New Roman"/>
          <w:sz w:val="24"/>
          <w:szCs w:val="24"/>
        </w:rPr>
        <w:t xml:space="preserve">reduce the compliance costs imposed on offshore suppliers associated with returning </w:t>
      </w:r>
      <w:r w:rsidRPr="001A42DF">
        <w:rPr>
          <w:rFonts w:ascii="Times New Roman" w:hAnsi="Times New Roman"/>
          <w:sz w:val="24"/>
          <w:szCs w:val="24"/>
        </w:rPr>
        <w:t xml:space="preserve">inadvertently charged </w:t>
      </w:r>
      <w:r>
        <w:rPr>
          <w:rFonts w:ascii="Times New Roman" w:hAnsi="Times New Roman"/>
          <w:sz w:val="24"/>
          <w:szCs w:val="24"/>
        </w:rPr>
        <w:t>GST on low-value transactions</w:t>
      </w:r>
      <w:r w:rsidR="003F389B">
        <w:rPr>
          <w:rFonts w:ascii="Times New Roman" w:hAnsi="Times New Roman"/>
          <w:sz w:val="24"/>
          <w:szCs w:val="24"/>
        </w:rPr>
        <w:t>. At the same time a threshold set at</w:t>
      </w:r>
      <w:r>
        <w:rPr>
          <w:rFonts w:ascii="Times New Roman" w:hAnsi="Times New Roman"/>
          <w:sz w:val="24"/>
          <w:szCs w:val="24"/>
        </w:rPr>
        <w:t xml:space="preserve"> $1,000 reduces the fiscal risks associated with </w:t>
      </w:r>
      <w:r w:rsidRPr="001A42DF">
        <w:rPr>
          <w:rFonts w:ascii="Times New Roman" w:hAnsi="Times New Roman"/>
          <w:sz w:val="24"/>
          <w:szCs w:val="24"/>
        </w:rPr>
        <w:t>GST-registered business</w:t>
      </w:r>
      <w:r>
        <w:rPr>
          <w:rFonts w:ascii="Times New Roman" w:hAnsi="Times New Roman"/>
          <w:sz w:val="24"/>
          <w:szCs w:val="24"/>
        </w:rPr>
        <w:t>es claiming back high value amounts of GST charged by offshore suppliers.</w:t>
      </w:r>
    </w:p>
    <w:p w14:paraId="3AB5C288" w14:textId="5DAF1178" w:rsidR="00FE68B9" w:rsidRDefault="00564988" w:rsidP="006030CB">
      <w:pPr>
        <w:pStyle w:val="RISheading"/>
        <w:rPr>
          <w:spacing w:val="0"/>
          <w:w w:val="100"/>
        </w:rPr>
      </w:pPr>
      <w:r>
        <w:rPr>
          <w:spacing w:val="0"/>
          <w:w w:val="100"/>
        </w:rPr>
        <w:t xml:space="preserve">Scope of the </w:t>
      </w:r>
      <w:r w:rsidR="00E973C2">
        <w:rPr>
          <w:spacing w:val="0"/>
          <w:w w:val="100"/>
        </w:rPr>
        <w:t xml:space="preserve">cross-border </w:t>
      </w:r>
      <w:r>
        <w:rPr>
          <w:spacing w:val="0"/>
          <w:w w:val="100"/>
        </w:rPr>
        <w:t xml:space="preserve">services and intangibles that are subject to the rules </w:t>
      </w:r>
    </w:p>
    <w:p w14:paraId="50839CC3" w14:textId="6504A8E8" w:rsidR="00E973C2" w:rsidRPr="00622496" w:rsidRDefault="00F14213" w:rsidP="0097279A">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rPr>
      </w:pPr>
      <w:r w:rsidRPr="006030CB">
        <w:rPr>
          <w:rFonts w:ascii="Times New Roman" w:hAnsi="Times New Roman"/>
          <w:sz w:val="24"/>
          <w:szCs w:val="24"/>
        </w:rPr>
        <w:t xml:space="preserve">In designing the </w:t>
      </w:r>
      <w:r w:rsidR="00E973C2" w:rsidRPr="00622496">
        <w:rPr>
          <w:rFonts w:ascii="Times New Roman" w:hAnsi="Times New Roman"/>
          <w:sz w:val="24"/>
          <w:szCs w:val="24"/>
        </w:rPr>
        <w:t>rules, a broad scope could be adopted that applies GST to all cross-border supplies of remote servic</w:t>
      </w:r>
      <w:r w:rsidR="00E973C2" w:rsidRPr="0097279A">
        <w:rPr>
          <w:rFonts w:ascii="Times New Roman" w:hAnsi="Times New Roman"/>
          <w:sz w:val="24"/>
          <w:szCs w:val="24"/>
        </w:rPr>
        <w:t>es and intangibles</w:t>
      </w:r>
      <w:r w:rsidRPr="0097279A">
        <w:rPr>
          <w:rFonts w:ascii="Times New Roman" w:hAnsi="Times New Roman"/>
          <w:sz w:val="24"/>
          <w:szCs w:val="24"/>
        </w:rPr>
        <w:t>. Alternatively, the rules could apply only to certain supplies of di</w:t>
      </w:r>
      <w:r w:rsidR="00E973C2" w:rsidRPr="0097279A">
        <w:rPr>
          <w:rFonts w:ascii="Times New Roman" w:hAnsi="Times New Roman"/>
          <w:sz w:val="24"/>
          <w:szCs w:val="24"/>
        </w:rPr>
        <w:t>gital services and intangibles.</w:t>
      </w:r>
    </w:p>
    <w:tbl>
      <w:tblPr>
        <w:tblStyle w:val="TableGrid"/>
        <w:tblpPr w:leftFromText="180" w:rightFromText="180" w:vertAnchor="text" w:horzAnchor="margin" w:tblpX="-176" w:tblpY="194"/>
        <w:tblW w:w="9889" w:type="dxa"/>
        <w:tblLayout w:type="fixed"/>
        <w:tblLook w:val="04A0" w:firstRow="1" w:lastRow="0" w:firstColumn="1" w:lastColumn="0" w:noHBand="0" w:noVBand="1"/>
      </w:tblPr>
      <w:tblGrid>
        <w:gridCol w:w="1977"/>
        <w:gridCol w:w="1978"/>
        <w:gridCol w:w="1978"/>
        <w:gridCol w:w="1978"/>
        <w:gridCol w:w="1978"/>
      </w:tblGrid>
      <w:tr w:rsidR="00F14213" w:rsidRPr="008B0E14" w14:paraId="19C39073" w14:textId="77777777" w:rsidTr="00F14213">
        <w:trPr>
          <w:cantSplit/>
          <w:trHeight w:val="202"/>
        </w:trPr>
        <w:tc>
          <w:tcPr>
            <w:tcW w:w="1977" w:type="dxa"/>
          </w:tcPr>
          <w:p w14:paraId="55FB638D" w14:textId="77777777" w:rsidR="00F14213" w:rsidRPr="00D66669" w:rsidRDefault="00F14213" w:rsidP="0097279A">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Issue</w:t>
            </w:r>
          </w:p>
        </w:tc>
        <w:tc>
          <w:tcPr>
            <w:tcW w:w="1978" w:type="dxa"/>
          </w:tcPr>
          <w:p w14:paraId="28270E3D" w14:textId="77777777" w:rsidR="00F14213" w:rsidRPr="00F75C7B" w:rsidRDefault="00F14213" w:rsidP="0097279A">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Options</w:t>
            </w:r>
            <w:r w:rsidRPr="00F75C7B">
              <w:rPr>
                <w:rFonts w:ascii="Times New Roman" w:hAnsi="Times New Roman"/>
                <w:b/>
                <w:sz w:val="18"/>
                <w:szCs w:val="18"/>
              </w:rPr>
              <w:t xml:space="preserve"> </w:t>
            </w:r>
          </w:p>
        </w:tc>
        <w:tc>
          <w:tcPr>
            <w:tcW w:w="1978" w:type="dxa"/>
          </w:tcPr>
          <w:p w14:paraId="7D59F0DB" w14:textId="77777777" w:rsidR="00F14213" w:rsidRPr="008B0E14" w:rsidRDefault="00F14213" w:rsidP="0097279A">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Advantages</w:t>
            </w:r>
          </w:p>
        </w:tc>
        <w:tc>
          <w:tcPr>
            <w:tcW w:w="1978" w:type="dxa"/>
          </w:tcPr>
          <w:p w14:paraId="7E79F252" w14:textId="77777777" w:rsidR="00F14213" w:rsidRPr="008B0E14" w:rsidRDefault="00F14213" w:rsidP="0097279A">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Disadvantages</w:t>
            </w:r>
          </w:p>
        </w:tc>
        <w:tc>
          <w:tcPr>
            <w:tcW w:w="1978" w:type="dxa"/>
          </w:tcPr>
          <w:p w14:paraId="2752423B" w14:textId="77777777" w:rsidR="00F14213" w:rsidRPr="008B0E14" w:rsidRDefault="00F14213" w:rsidP="0097279A">
            <w:pPr>
              <w:pStyle w:val="Bullet-lis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Recommendations</w:t>
            </w:r>
          </w:p>
        </w:tc>
      </w:tr>
      <w:tr w:rsidR="00F14213" w:rsidRPr="008B0E14" w14:paraId="43D92940" w14:textId="77777777" w:rsidTr="00F14213">
        <w:trPr>
          <w:cantSplit/>
          <w:trHeight w:val="2191"/>
        </w:trPr>
        <w:tc>
          <w:tcPr>
            <w:tcW w:w="1977" w:type="dxa"/>
            <w:vMerge w:val="restart"/>
          </w:tcPr>
          <w:p w14:paraId="7E895C66" w14:textId="217942C7" w:rsidR="00F14213" w:rsidRPr="008B0E14" w:rsidRDefault="00F14213"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sidRPr="00FE68B9">
              <w:rPr>
                <w:rFonts w:ascii="Times New Roman" w:hAnsi="Times New Roman"/>
                <w:sz w:val="18"/>
                <w:szCs w:val="18"/>
              </w:rPr>
              <w:t>Wh</w:t>
            </w:r>
            <w:r>
              <w:rPr>
                <w:rFonts w:ascii="Times New Roman" w:hAnsi="Times New Roman"/>
                <w:sz w:val="18"/>
                <w:szCs w:val="18"/>
              </w:rPr>
              <w:t xml:space="preserve">at services and intangibles should the rules apply to? </w:t>
            </w:r>
          </w:p>
        </w:tc>
        <w:tc>
          <w:tcPr>
            <w:tcW w:w="1978" w:type="dxa"/>
          </w:tcPr>
          <w:p w14:paraId="76AA9FF9" w14:textId="5C488C44" w:rsidR="00F14213" w:rsidRPr="008B0E14" w:rsidRDefault="00F14213"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i/>
                <w:sz w:val="18"/>
                <w:szCs w:val="18"/>
              </w:rPr>
              <w:t>Apply the rules to a wide range of remote services and intangibles</w:t>
            </w:r>
          </w:p>
        </w:tc>
        <w:tc>
          <w:tcPr>
            <w:tcW w:w="1978" w:type="dxa"/>
          </w:tcPr>
          <w:p w14:paraId="0AC81B75" w14:textId="79E46771" w:rsidR="00F14213" w:rsidRPr="008B0E14" w:rsidRDefault="00F14213"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is more consistent with the broad-based GST system in New Zealand, which tends to avoid issues with classifying services in</w:t>
            </w:r>
            <w:r w:rsidR="00E81899">
              <w:rPr>
                <w:rFonts w:ascii="Times New Roman" w:hAnsi="Times New Roman"/>
                <w:sz w:val="18"/>
                <w:szCs w:val="18"/>
              </w:rPr>
              <w:t>to</w:t>
            </w:r>
            <w:r>
              <w:rPr>
                <w:rFonts w:ascii="Times New Roman" w:hAnsi="Times New Roman"/>
                <w:sz w:val="18"/>
                <w:szCs w:val="18"/>
              </w:rPr>
              <w:t xml:space="preserve"> particular categories</w:t>
            </w:r>
            <w:r w:rsidR="003F389B">
              <w:rPr>
                <w:rFonts w:ascii="Times New Roman" w:hAnsi="Times New Roman"/>
                <w:sz w:val="18"/>
                <w:szCs w:val="18"/>
              </w:rPr>
              <w:t xml:space="preserve"> for fairness and efficiency reasons</w:t>
            </w:r>
            <w:r>
              <w:rPr>
                <w:rFonts w:ascii="Times New Roman" w:hAnsi="Times New Roman"/>
                <w:sz w:val="18"/>
                <w:szCs w:val="18"/>
              </w:rPr>
              <w:t xml:space="preserve">. </w:t>
            </w:r>
            <w:r w:rsidR="0038007D">
              <w:rPr>
                <w:rFonts w:ascii="Times New Roman" w:hAnsi="Times New Roman"/>
                <w:sz w:val="18"/>
                <w:szCs w:val="18"/>
              </w:rPr>
              <w:t>Using a broad definition</w:t>
            </w:r>
            <w:r w:rsidR="00E81899">
              <w:rPr>
                <w:rFonts w:ascii="Times New Roman" w:hAnsi="Times New Roman"/>
                <w:sz w:val="18"/>
                <w:szCs w:val="18"/>
              </w:rPr>
              <w:t xml:space="preserve"> may ‘future-proof’ the rules, as more prescriptive legislation may need to be frequently updated to reflect changes in the </w:t>
            </w:r>
            <w:r w:rsidR="0038007D">
              <w:rPr>
                <w:rFonts w:ascii="Times New Roman" w:hAnsi="Times New Roman"/>
                <w:sz w:val="18"/>
                <w:szCs w:val="18"/>
              </w:rPr>
              <w:t xml:space="preserve">types </w:t>
            </w:r>
            <w:r w:rsidR="00E81899">
              <w:rPr>
                <w:rFonts w:ascii="Times New Roman" w:hAnsi="Times New Roman"/>
                <w:sz w:val="18"/>
                <w:szCs w:val="18"/>
              </w:rPr>
              <w:t xml:space="preserve">of services that </w:t>
            </w:r>
            <w:r w:rsidR="0038007D">
              <w:rPr>
                <w:rFonts w:ascii="Times New Roman" w:hAnsi="Times New Roman"/>
                <w:sz w:val="18"/>
                <w:szCs w:val="18"/>
              </w:rPr>
              <w:t>become</w:t>
            </w:r>
            <w:r w:rsidR="00E81899">
              <w:rPr>
                <w:rFonts w:ascii="Times New Roman" w:hAnsi="Times New Roman"/>
                <w:sz w:val="18"/>
                <w:szCs w:val="18"/>
              </w:rPr>
              <w:t xml:space="preserve"> available. </w:t>
            </w:r>
          </w:p>
        </w:tc>
        <w:tc>
          <w:tcPr>
            <w:tcW w:w="1978" w:type="dxa"/>
          </w:tcPr>
          <w:p w14:paraId="4824A611" w14:textId="7B0E2263" w:rsidR="00F14213" w:rsidRPr="008B0E14" w:rsidRDefault="00E973C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has not been implemented in other countries, though it </w:t>
            </w:r>
            <w:r w:rsidR="003F389B">
              <w:rPr>
                <w:rFonts w:ascii="Times New Roman" w:hAnsi="Times New Roman"/>
                <w:sz w:val="18"/>
                <w:szCs w:val="18"/>
              </w:rPr>
              <w:t xml:space="preserve">has been </w:t>
            </w:r>
            <w:r>
              <w:rPr>
                <w:rFonts w:ascii="Times New Roman" w:hAnsi="Times New Roman"/>
                <w:sz w:val="18"/>
                <w:szCs w:val="18"/>
              </w:rPr>
              <w:t xml:space="preserve">announced to apply in Australia. Therefore unintended consequences could arise from a broad definition of remote services that encompasses traditional cross-border services that are supplied remotely, such as consultancy, accounting or legal services. However, these impacts </w:t>
            </w:r>
            <w:r w:rsidR="0038007D">
              <w:rPr>
                <w:rFonts w:ascii="Times New Roman" w:hAnsi="Times New Roman"/>
                <w:sz w:val="18"/>
                <w:szCs w:val="18"/>
              </w:rPr>
              <w:t>may be reduced</w:t>
            </w:r>
            <w:r>
              <w:rPr>
                <w:rFonts w:ascii="Times New Roman" w:hAnsi="Times New Roman"/>
                <w:sz w:val="18"/>
                <w:szCs w:val="18"/>
              </w:rPr>
              <w:t xml:space="preserve"> </w:t>
            </w:r>
            <w:r w:rsidR="003F389B">
              <w:rPr>
                <w:rFonts w:ascii="Times New Roman" w:hAnsi="Times New Roman"/>
                <w:sz w:val="18"/>
                <w:szCs w:val="18"/>
              </w:rPr>
              <w:t xml:space="preserve">if </w:t>
            </w:r>
            <w:r>
              <w:rPr>
                <w:rFonts w:ascii="Times New Roman" w:hAnsi="Times New Roman"/>
                <w:sz w:val="18"/>
                <w:szCs w:val="18"/>
              </w:rPr>
              <w:t xml:space="preserve">business-to-business supplies are excluded from the rules, and </w:t>
            </w:r>
            <w:r w:rsidR="003F389B">
              <w:rPr>
                <w:rFonts w:ascii="Times New Roman" w:hAnsi="Times New Roman"/>
                <w:sz w:val="18"/>
                <w:szCs w:val="18"/>
              </w:rPr>
              <w:t xml:space="preserve">if </w:t>
            </w:r>
            <w:r>
              <w:rPr>
                <w:rFonts w:ascii="Times New Roman" w:hAnsi="Times New Roman"/>
                <w:sz w:val="18"/>
                <w:szCs w:val="18"/>
              </w:rPr>
              <w:t xml:space="preserve">the registration threshold is set </w:t>
            </w:r>
            <w:r w:rsidR="003F389B">
              <w:rPr>
                <w:rFonts w:ascii="Times New Roman" w:hAnsi="Times New Roman"/>
                <w:sz w:val="18"/>
                <w:szCs w:val="18"/>
              </w:rPr>
              <w:t>$60,000</w:t>
            </w:r>
            <w:r>
              <w:rPr>
                <w:rFonts w:ascii="Times New Roman" w:hAnsi="Times New Roman"/>
                <w:sz w:val="18"/>
                <w:szCs w:val="18"/>
              </w:rPr>
              <w:t xml:space="preserve">.  </w:t>
            </w:r>
          </w:p>
        </w:tc>
        <w:tc>
          <w:tcPr>
            <w:tcW w:w="1978" w:type="dxa"/>
          </w:tcPr>
          <w:p w14:paraId="4103A4E1" w14:textId="4E7D9FA9" w:rsidR="00F14213" w:rsidRPr="008B0E14" w:rsidRDefault="009B179E"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Recommended</w:t>
            </w:r>
          </w:p>
        </w:tc>
      </w:tr>
      <w:tr w:rsidR="00F14213" w:rsidRPr="008B0E14" w14:paraId="2DB32529" w14:textId="77777777" w:rsidTr="00F14213">
        <w:trPr>
          <w:cantSplit/>
          <w:trHeight w:val="1762"/>
        </w:trPr>
        <w:tc>
          <w:tcPr>
            <w:tcW w:w="1977" w:type="dxa"/>
            <w:vMerge/>
          </w:tcPr>
          <w:p w14:paraId="7D104A19" w14:textId="2786F129" w:rsidR="00F14213" w:rsidRPr="008B0E14" w:rsidRDefault="00F14213" w:rsidP="009C42BC">
            <w:pPr>
              <w:pStyle w:val="Bullet-list"/>
              <w:tabs>
                <w:tab w:val="num" w:pos="567"/>
              </w:tabs>
              <w:spacing w:after="0" w:line="240" w:lineRule="auto"/>
              <w:ind w:left="0" w:firstLine="0"/>
              <w:jc w:val="left"/>
              <w:rPr>
                <w:rFonts w:ascii="Times New Roman" w:hAnsi="Times New Roman"/>
                <w:sz w:val="18"/>
                <w:szCs w:val="18"/>
              </w:rPr>
            </w:pPr>
          </w:p>
        </w:tc>
        <w:tc>
          <w:tcPr>
            <w:tcW w:w="1978" w:type="dxa"/>
          </w:tcPr>
          <w:p w14:paraId="74F796B7" w14:textId="3DE134AC" w:rsidR="00F14213" w:rsidRPr="00A35A6F" w:rsidRDefault="00F14213" w:rsidP="009C42BC">
            <w:pPr>
              <w:pStyle w:val="Bullet-list"/>
              <w:tabs>
                <w:tab w:val="num" w:pos="567"/>
              </w:tabs>
              <w:spacing w:after="0" w:line="240" w:lineRule="auto"/>
              <w:ind w:left="0" w:firstLine="0"/>
              <w:jc w:val="left"/>
              <w:rPr>
                <w:rFonts w:ascii="Times New Roman" w:hAnsi="Times New Roman"/>
                <w:b/>
                <w:i/>
                <w:color w:val="002469"/>
                <w:spacing w:val="20"/>
                <w:w w:val="90"/>
                <w:sz w:val="18"/>
                <w:szCs w:val="18"/>
              </w:rPr>
            </w:pPr>
            <w:r>
              <w:rPr>
                <w:rFonts w:ascii="Times New Roman" w:hAnsi="Times New Roman"/>
                <w:i/>
                <w:sz w:val="18"/>
                <w:szCs w:val="18"/>
              </w:rPr>
              <w:t xml:space="preserve">Apply the rules only to </w:t>
            </w:r>
            <w:r w:rsidR="00E81899">
              <w:rPr>
                <w:rFonts w:ascii="Times New Roman" w:hAnsi="Times New Roman"/>
                <w:i/>
                <w:sz w:val="18"/>
                <w:szCs w:val="18"/>
              </w:rPr>
              <w:t xml:space="preserve"> digital </w:t>
            </w:r>
            <w:r>
              <w:rPr>
                <w:rFonts w:ascii="Times New Roman" w:hAnsi="Times New Roman"/>
                <w:i/>
                <w:sz w:val="18"/>
                <w:szCs w:val="18"/>
              </w:rPr>
              <w:t xml:space="preserve">supplies of services and intangibles  </w:t>
            </w:r>
          </w:p>
        </w:tc>
        <w:tc>
          <w:tcPr>
            <w:tcW w:w="1978" w:type="dxa"/>
          </w:tcPr>
          <w:p w14:paraId="595DF16D" w14:textId="684A2C7E" w:rsidR="00F14213" w:rsidRPr="008B0E14" w:rsidRDefault="00E973C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would apply GST only to digital services that are electronically delivered</w:t>
            </w:r>
            <w:r w:rsidR="00E81899">
              <w:rPr>
                <w:rFonts w:ascii="Times New Roman" w:hAnsi="Times New Roman"/>
                <w:sz w:val="18"/>
                <w:szCs w:val="18"/>
              </w:rPr>
              <w:t xml:space="preserve">. Offshore suppliers may be more familiar with this approach as it is </w:t>
            </w:r>
            <w:r>
              <w:rPr>
                <w:rFonts w:ascii="Times New Roman" w:hAnsi="Times New Roman"/>
                <w:sz w:val="18"/>
                <w:szCs w:val="18"/>
              </w:rPr>
              <w:t xml:space="preserve">consistent with the </w:t>
            </w:r>
            <w:r w:rsidR="00E81899">
              <w:rPr>
                <w:rFonts w:ascii="Times New Roman" w:hAnsi="Times New Roman"/>
                <w:sz w:val="18"/>
                <w:szCs w:val="18"/>
              </w:rPr>
              <w:t>approach taken in</w:t>
            </w:r>
            <w:r>
              <w:rPr>
                <w:rFonts w:ascii="Times New Roman" w:hAnsi="Times New Roman"/>
                <w:sz w:val="18"/>
                <w:szCs w:val="18"/>
              </w:rPr>
              <w:t xml:space="preserve"> European Union and other countries such as South Africa. </w:t>
            </w:r>
          </w:p>
        </w:tc>
        <w:tc>
          <w:tcPr>
            <w:tcW w:w="1978" w:type="dxa"/>
          </w:tcPr>
          <w:p w14:paraId="0403C1B0" w14:textId="293ED8FF" w:rsidR="00F14213" w:rsidRPr="008B0E14" w:rsidRDefault="00E973C2"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could </w:t>
            </w:r>
            <w:r w:rsidR="000D01DE">
              <w:rPr>
                <w:rFonts w:ascii="Times New Roman" w:hAnsi="Times New Roman"/>
                <w:sz w:val="18"/>
                <w:szCs w:val="18"/>
              </w:rPr>
              <w:t xml:space="preserve">distort </w:t>
            </w:r>
            <w:r>
              <w:rPr>
                <w:rFonts w:ascii="Times New Roman" w:hAnsi="Times New Roman"/>
                <w:sz w:val="18"/>
                <w:szCs w:val="18"/>
              </w:rPr>
              <w:t>consumer</w:t>
            </w:r>
            <w:r w:rsidR="000D01DE">
              <w:rPr>
                <w:rFonts w:ascii="Times New Roman" w:hAnsi="Times New Roman"/>
                <w:sz w:val="18"/>
                <w:szCs w:val="18"/>
              </w:rPr>
              <w:t>s’</w:t>
            </w:r>
            <w:r>
              <w:rPr>
                <w:rFonts w:ascii="Times New Roman" w:hAnsi="Times New Roman"/>
                <w:sz w:val="18"/>
                <w:szCs w:val="18"/>
              </w:rPr>
              <w:t xml:space="preserve"> decisions on whether to purchase services through digital or non-digital channels. </w:t>
            </w:r>
            <w:r w:rsidR="003F389B">
              <w:rPr>
                <w:rFonts w:ascii="Times New Roman" w:hAnsi="Times New Roman"/>
                <w:sz w:val="18"/>
                <w:szCs w:val="18"/>
              </w:rPr>
              <w:t>It</w:t>
            </w:r>
            <w:r w:rsidR="00E81899">
              <w:rPr>
                <w:rFonts w:ascii="Times New Roman" w:hAnsi="Times New Roman"/>
                <w:sz w:val="18"/>
                <w:szCs w:val="18"/>
              </w:rPr>
              <w:t xml:space="preserve"> would</w:t>
            </w:r>
            <w:r>
              <w:rPr>
                <w:rFonts w:ascii="Times New Roman" w:hAnsi="Times New Roman"/>
                <w:sz w:val="18"/>
                <w:szCs w:val="18"/>
              </w:rPr>
              <w:t xml:space="preserve"> make the rules more complex </w:t>
            </w:r>
            <w:r w:rsidR="009B179E">
              <w:rPr>
                <w:rFonts w:ascii="Times New Roman" w:hAnsi="Times New Roman"/>
                <w:sz w:val="18"/>
                <w:szCs w:val="18"/>
              </w:rPr>
              <w:t xml:space="preserve">with the potential for boundary issues to arise around what would be regarded as a “digital service” </w:t>
            </w:r>
            <w:r>
              <w:rPr>
                <w:rFonts w:ascii="Times New Roman" w:hAnsi="Times New Roman"/>
                <w:sz w:val="18"/>
                <w:szCs w:val="18"/>
              </w:rPr>
              <w:t xml:space="preserve">and </w:t>
            </w:r>
            <w:r w:rsidR="00E81899">
              <w:rPr>
                <w:rFonts w:ascii="Times New Roman" w:hAnsi="Times New Roman"/>
                <w:sz w:val="18"/>
                <w:szCs w:val="18"/>
              </w:rPr>
              <w:t>could require the rules to be fre</w:t>
            </w:r>
            <w:r w:rsidR="0038007D">
              <w:rPr>
                <w:rFonts w:ascii="Times New Roman" w:hAnsi="Times New Roman"/>
                <w:sz w:val="18"/>
                <w:szCs w:val="18"/>
              </w:rPr>
              <w:t>quently updated to reflect new types of services that should be captured by the rules</w:t>
            </w:r>
            <w:r w:rsidR="003F389B">
              <w:rPr>
                <w:rFonts w:ascii="Times New Roman" w:hAnsi="Times New Roman"/>
                <w:sz w:val="18"/>
                <w:szCs w:val="18"/>
              </w:rPr>
              <w:t xml:space="preserve"> (as is experienced in the EU)</w:t>
            </w:r>
            <w:r w:rsidR="0038007D">
              <w:rPr>
                <w:rFonts w:ascii="Times New Roman" w:hAnsi="Times New Roman"/>
                <w:sz w:val="18"/>
                <w:szCs w:val="18"/>
              </w:rPr>
              <w:t xml:space="preserve">. </w:t>
            </w:r>
            <w:r w:rsidR="00E81899">
              <w:rPr>
                <w:rFonts w:ascii="Times New Roman" w:hAnsi="Times New Roman"/>
                <w:sz w:val="18"/>
                <w:szCs w:val="18"/>
              </w:rPr>
              <w:t xml:space="preserve"> </w:t>
            </w:r>
          </w:p>
        </w:tc>
        <w:tc>
          <w:tcPr>
            <w:tcW w:w="1978" w:type="dxa"/>
          </w:tcPr>
          <w:p w14:paraId="1F2A1D4F" w14:textId="3EBC084B" w:rsidR="00F14213" w:rsidRPr="008B0E14" w:rsidRDefault="009B179E" w:rsidP="009C42BC">
            <w:pPr>
              <w:pStyle w:val="Bullet-lis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Not recommended</w:t>
            </w:r>
          </w:p>
        </w:tc>
      </w:tr>
    </w:tbl>
    <w:p w14:paraId="0D9F4C08" w14:textId="77777777" w:rsidR="005713D2" w:rsidRDefault="005713D2" w:rsidP="006030CB">
      <w:pPr>
        <w:pStyle w:val="Bullet-list"/>
        <w:spacing w:after="0" w:line="240" w:lineRule="auto"/>
        <w:ind w:left="0" w:firstLine="0"/>
        <w:jc w:val="both"/>
      </w:pPr>
    </w:p>
    <w:p w14:paraId="646721F3" w14:textId="6D51C9B4" w:rsidR="00FC0885" w:rsidRPr="00FC0885" w:rsidRDefault="00FC0885" w:rsidP="00622496">
      <w:pPr>
        <w:pStyle w:val="Bullet-list"/>
        <w:numPr>
          <w:ilvl w:val="0"/>
          <w:numId w:val="3"/>
        </w:numPr>
        <w:tabs>
          <w:tab w:val="clear" w:pos="720"/>
          <w:tab w:val="num" w:pos="567"/>
        </w:tabs>
        <w:spacing w:after="0" w:line="240" w:lineRule="auto"/>
        <w:ind w:left="0" w:firstLine="0"/>
        <w:jc w:val="both"/>
      </w:pPr>
      <w:r>
        <w:rPr>
          <w:rFonts w:ascii="Times New Roman" w:hAnsi="Times New Roman"/>
          <w:sz w:val="24"/>
          <w:szCs w:val="24"/>
        </w:rPr>
        <w:t>An exception to the broad definition of services is the supply of telecommunication services to New Zealand residents, specifically the supply of international mobile roaming services. Currently, if these services are supplied by</w:t>
      </w:r>
      <w:r w:rsidR="00AA7F4F">
        <w:rPr>
          <w:rFonts w:ascii="Times New Roman" w:hAnsi="Times New Roman"/>
          <w:sz w:val="24"/>
          <w:szCs w:val="24"/>
        </w:rPr>
        <w:t xml:space="preserve"> a</w:t>
      </w:r>
      <w:r>
        <w:rPr>
          <w:rFonts w:ascii="Times New Roman" w:hAnsi="Times New Roman"/>
          <w:sz w:val="24"/>
          <w:szCs w:val="24"/>
        </w:rPr>
        <w:t xml:space="preserve"> domestic telecommunication provider to </w:t>
      </w:r>
      <w:r w:rsidR="00AA7F4F">
        <w:rPr>
          <w:rFonts w:ascii="Times New Roman" w:hAnsi="Times New Roman"/>
          <w:sz w:val="24"/>
          <w:szCs w:val="24"/>
        </w:rPr>
        <w:t xml:space="preserve">a </w:t>
      </w:r>
      <w:r>
        <w:rPr>
          <w:rFonts w:ascii="Times New Roman" w:hAnsi="Times New Roman"/>
          <w:sz w:val="24"/>
          <w:szCs w:val="24"/>
        </w:rPr>
        <w:t>New Zealand resident customer abroad the services are zero-rated. At the time these rules were introduced it was considered that these services were consumed outside of New Zealand</w:t>
      </w:r>
      <w:r w:rsidR="00AA7F4F">
        <w:rPr>
          <w:rFonts w:ascii="Times New Roman" w:hAnsi="Times New Roman"/>
          <w:sz w:val="24"/>
          <w:szCs w:val="24"/>
        </w:rPr>
        <w:t>,</w:t>
      </w:r>
      <w:r>
        <w:rPr>
          <w:rFonts w:ascii="Times New Roman" w:hAnsi="Times New Roman"/>
          <w:sz w:val="24"/>
          <w:szCs w:val="24"/>
        </w:rPr>
        <w:t xml:space="preserve"> and therefore</w:t>
      </w:r>
      <w:r w:rsidR="00AA7F4F">
        <w:rPr>
          <w:rFonts w:ascii="Times New Roman" w:hAnsi="Times New Roman"/>
          <w:sz w:val="24"/>
          <w:szCs w:val="24"/>
        </w:rPr>
        <w:t>,</w:t>
      </w:r>
      <w:r>
        <w:rPr>
          <w:rFonts w:ascii="Times New Roman" w:hAnsi="Times New Roman"/>
          <w:sz w:val="24"/>
          <w:szCs w:val="24"/>
        </w:rPr>
        <w:t xml:space="preserve"> should not be subject to GST.</w:t>
      </w:r>
    </w:p>
    <w:p w14:paraId="6381AC46" w14:textId="77777777" w:rsidR="00FC0885" w:rsidRPr="00FC0885" w:rsidRDefault="00FC0885" w:rsidP="0097279A">
      <w:pPr>
        <w:pStyle w:val="Bullet-list"/>
        <w:spacing w:after="0" w:line="240" w:lineRule="auto"/>
        <w:ind w:left="0" w:firstLine="0"/>
        <w:jc w:val="both"/>
      </w:pPr>
    </w:p>
    <w:p w14:paraId="0960E694" w14:textId="102F0E36" w:rsidR="00FC0885" w:rsidRPr="00FC0885" w:rsidRDefault="00FC0885" w:rsidP="0097279A">
      <w:pPr>
        <w:pStyle w:val="Bullet-list"/>
        <w:numPr>
          <w:ilvl w:val="0"/>
          <w:numId w:val="3"/>
        </w:numPr>
        <w:tabs>
          <w:tab w:val="clear" w:pos="720"/>
          <w:tab w:val="num" w:pos="567"/>
        </w:tabs>
        <w:spacing w:after="0" w:line="240" w:lineRule="auto"/>
        <w:ind w:left="0" w:firstLine="0"/>
        <w:jc w:val="both"/>
      </w:pPr>
      <w:r>
        <w:rPr>
          <w:rFonts w:ascii="Times New Roman" w:hAnsi="Times New Roman"/>
          <w:sz w:val="24"/>
          <w:szCs w:val="24"/>
        </w:rPr>
        <w:t>Under the proposed framework, where residence is used as a proxy for consumption, these services should be subject to GST as they are considered to be consumed in New Zealand. This would be consistent with the treatment of international mobile roaming services in majority of OECD countries (excluding Australia and Japan).</w:t>
      </w:r>
    </w:p>
    <w:p w14:paraId="25CE2730" w14:textId="77777777" w:rsidR="00FC0885" w:rsidRPr="00FC0885" w:rsidRDefault="00FC0885" w:rsidP="000F15EF">
      <w:pPr>
        <w:pStyle w:val="Bullet-list"/>
        <w:spacing w:after="0" w:line="240" w:lineRule="auto"/>
        <w:ind w:left="0" w:firstLine="0"/>
        <w:jc w:val="both"/>
      </w:pPr>
    </w:p>
    <w:p w14:paraId="45DFADBD" w14:textId="6B176A81" w:rsidR="005713D2" w:rsidRPr="00FC0885" w:rsidRDefault="00AA7F4F" w:rsidP="000F15EF">
      <w:pPr>
        <w:pStyle w:val="Bullet-list"/>
        <w:numPr>
          <w:ilvl w:val="0"/>
          <w:numId w:val="3"/>
        </w:numPr>
        <w:tabs>
          <w:tab w:val="clear" w:pos="720"/>
          <w:tab w:val="num" w:pos="567"/>
        </w:tabs>
        <w:spacing w:after="0" w:line="240" w:lineRule="auto"/>
        <w:ind w:left="0" w:firstLine="0"/>
        <w:jc w:val="both"/>
      </w:pPr>
      <w:r w:rsidRPr="00AA7F4F">
        <w:rPr>
          <w:rFonts w:ascii="Times New Roman" w:hAnsi="Times New Roman"/>
          <w:sz w:val="24"/>
          <w:szCs w:val="24"/>
        </w:rPr>
        <w:t>Minister</w:t>
      </w:r>
      <w:r>
        <w:rPr>
          <w:rFonts w:ascii="Times New Roman" w:hAnsi="Times New Roman"/>
          <w:sz w:val="24"/>
          <w:szCs w:val="24"/>
        </w:rPr>
        <w:t>s</w:t>
      </w:r>
      <w:r w:rsidR="005713D2" w:rsidRPr="000F15EF">
        <w:rPr>
          <w:rFonts w:ascii="Times New Roman" w:hAnsi="Times New Roman"/>
          <w:sz w:val="24"/>
          <w:szCs w:val="24"/>
        </w:rPr>
        <w:t xml:space="preserve"> preference</w:t>
      </w:r>
      <w:r w:rsidR="00FC0885">
        <w:rPr>
          <w:rFonts w:ascii="Times New Roman" w:hAnsi="Times New Roman"/>
          <w:sz w:val="24"/>
          <w:szCs w:val="24"/>
        </w:rPr>
        <w:t xml:space="preserve"> is to </w:t>
      </w:r>
      <w:r>
        <w:rPr>
          <w:rFonts w:ascii="Times New Roman" w:hAnsi="Times New Roman"/>
          <w:sz w:val="24"/>
          <w:szCs w:val="24"/>
        </w:rPr>
        <w:t>retain</w:t>
      </w:r>
      <w:r w:rsidR="00FC0885">
        <w:rPr>
          <w:rFonts w:ascii="Times New Roman" w:hAnsi="Times New Roman"/>
          <w:sz w:val="24"/>
          <w:szCs w:val="24"/>
        </w:rPr>
        <w:t xml:space="preserve"> the current zero-rat</w:t>
      </w:r>
      <w:r>
        <w:rPr>
          <w:rFonts w:ascii="Times New Roman" w:hAnsi="Times New Roman"/>
          <w:sz w:val="24"/>
          <w:szCs w:val="24"/>
        </w:rPr>
        <w:t>ed</w:t>
      </w:r>
      <w:r w:rsidR="00FC0885">
        <w:rPr>
          <w:rFonts w:ascii="Times New Roman" w:hAnsi="Times New Roman"/>
          <w:sz w:val="24"/>
          <w:szCs w:val="24"/>
        </w:rPr>
        <w:t xml:space="preserve"> treatment of international mobile roaming services</w:t>
      </w:r>
      <w:r>
        <w:rPr>
          <w:rFonts w:ascii="Times New Roman" w:hAnsi="Times New Roman"/>
          <w:sz w:val="24"/>
          <w:szCs w:val="24"/>
        </w:rPr>
        <w:t>, which is consistent with the treatment in</w:t>
      </w:r>
      <w:r w:rsidR="003F389B">
        <w:rPr>
          <w:rFonts w:ascii="Times New Roman" w:hAnsi="Times New Roman"/>
          <w:sz w:val="24"/>
          <w:szCs w:val="24"/>
        </w:rPr>
        <w:t xml:space="preserve"> </w:t>
      </w:r>
      <w:r>
        <w:rPr>
          <w:rFonts w:ascii="Times New Roman" w:hAnsi="Times New Roman"/>
          <w:sz w:val="24"/>
          <w:szCs w:val="24"/>
        </w:rPr>
        <w:t>Australia,</w:t>
      </w:r>
      <w:r w:rsidR="00FC0885">
        <w:rPr>
          <w:rFonts w:ascii="Times New Roman" w:hAnsi="Times New Roman"/>
          <w:sz w:val="24"/>
          <w:szCs w:val="24"/>
        </w:rPr>
        <w:t xml:space="preserve"> and </w:t>
      </w:r>
      <w:r w:rsidR="003F389B">
        <w:rPr>
          <w:rFonts w:ascii="Times New Roman" w:hAnsi="Times New Roman"/>
          <w:sz w:val="24"/>
          <w:szCs w:val="24"/>
        </w:rPr>
        <w:t xml:space="preserve">to </w:t>
      </w:r>
      <w:r w:rsidR="00FC0885">
        <w:rPr>
          <w:rFonts w:ascii="Times New Roman" w:hAnsi="Times New Roman"/>
          <w:sz w:val="24"/>
          <w:szCs w:val="24"/>
        </w:rPr>
        <w:t>keep a watching brief on any</w:t>
      </w:r>
      <w:r>
        <w:rPr>
          <w:rFonts w:ascii="Times New Roman" w:hAnsi="Times New Roman"/>
          <w:sz w:val="24"/>
          <w:szCs w:val="24"/>
        </w:rPr>
        <w:t xml:space="preserve"> further</w:t>
      </w:r>
      <w:r w:rsidR="00FC0885">
        <w:rPr>
          <w:rFonts w:ascii="Times New Roman" w:hAnsi="Times New Roman"/>
          <w:sz w:val="24"/>
          <w:szCs w:val="24"/>
        </w:rPr>
        <w:t xml:space="preserve"> developments in Australia.</w:t>
      </w:r>
    </w:p>
    <w:p w14:paraId="393358EE" w14:textId="7DD900AC" w:rsidR="00E81899" w:rsidRDefault="00564988" w:rsidP="00564988">
      <w:pPr>
        <w:pStyle w:val="RISheading"/>
        <w:rPr>
          <w:spacing w:val="0"/>
          <w:w w:val="100"/>
        </w:rPr>
      </w:pPr>
      <w:r>
        <w:rPr>
          <w:spacing w:val="0"/>
          <w:w w:val="100"/>
        </w:rPr>
        <w:t xml:space="preserve">Registration threshold </w:t>
      </w:r>
    </w:p>
    <w:p w14:paraId="609CC5F6" w14:textId="50B418D9" w:rsidR="00B01596" w:rsidRDefault="00E93E81" w:rsidP="0008063D">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Establishing a registration threshold for offshore suppliers of services and intangibles is intended to reduce compliance costs for small suppliers and suppliers that do not make many supplies to New Zealand residents. </w:t>
      </w:r>
      <w:r w:rsidR="0072470D">
        <w:rPr>
          <w:rFonts w:ascii="Times New Roman" w:hAnsi="Times New Roman"/>
          <w:sz w:val="24"/>
          <w:szCs w:val="24"/>
        </w:rPr>
        <w:t>A lower threshold (such as NZD $10,000</w:t>
      </w:r>
      <w:r w:rsidR="003F389B">
        <w:rPr>
          <w:rFonts w:ascii="Times New Roman" w:hAnsi="Times New Roman"/>
          <w:sz w:val="24"/>
          <w:szCs w:val="24"/>
        </w:rPr>
        <w:t xml:space="preserve"> of supplies to New Zealand residents over a 12 month period</w:t>
      </w:r>
      <w:r w:rsidR="0072470D">
        <w:rPr>
          <w:rFonts w:ascii="Times New Roman" w:hAnsi="Times New Roman"/>
          <w:sz w:val="24"/>
          <w:szCs w:val="24"/>
        </w:rPr>
        <w:t>) or a threshold based on the domestic threshold (NZD $60,000</w:t>
      </w:r>
      <w:r w:rsidR="00976857" w:rsidRPr="00976857">
        <w:rPr>
          <w:rFonts w:ascii="Times New Roman" w:hAnsi="Times New Roman"/>
          <w:sz w:val="24"/>
          <w:szCs w:val="24"/>
        </w:rPr>
        <w:t xml:space="preserve"> </w:t>
      </w:r>
      <w:r w:rsidR="00976857">
        <w:rPr>
          <w:rFonts w:ascii="Times New Roman" w:hAnsi="Times New Roman"/>
          <w:sz w:val="24"/>
          <w:szCs w:val="24"/>
        </w:rPr>
        <w:t>of supplies to New Zealand residents over a 12 month period</w:t>
      </w:r>
      <w:r w:rsidR="0072470D">
        <w:rPr>
          <w:rFonts w:ascii="Times New Roman" w:hAnsi="Times New Roman"/>
          <w:sz w:val="24"/>
          <w:szCs w:val="24"/>
        </w:rPr>
        <w:t xml:space="preserve">) could be adopted. </w:t>
      </w:r>
    </w:p>
    <w:p w14:paraId="4262506C" w14:textId="7319061E" w:rsidR="0008063D" w:rsidRPr="00B01596" w:rsidRDefault="00B01596" w:rsidP="00B01596">
      <w:pPr>
        <w:spacing w:after="0" w:line="240" w:lineRule="auto"/>
        <w:rPr>
          <w:rFonts w:ascii="Times New Roman" w:hAnsi="Times New Roman"/>
          <w:sz w:val="24"/>
          <w:szCs w:val="24"/>
          <w:lang w:val="en-AU" w:eastAsia="en-US"/>
        </w:rPr>
      </w:pPr>
      <w:r>
        <w:rPr>
          <w:rFonts w:ascii="Times New Roman" w:hAnsi="Times New Roman"/>
          <w:sz w:val="24"/>
          <w:szCs w:val="24"/>
        </w:rPr>
        <w:br w:type="page"/>
      </w:r>
    </w:p>
    <w:tbl>
      <w:tblPr>
        <w:tblStyle w:val="TableGrid"/>
        <w:tblpPr w:leftFromText="180" w:rightFromText="180" w:vertAnchor="text" w:horzAnchor="margin" w:tblpX="-176" w:tblpY="194"/>
        <w:tblW w:w="9889" w:type="dxa"/>
        <w:tblLayout w:type="fixed"/>
        <w:tblLook w:val="04A0" w:firstRow="1" w:lastRow="0" w:firstColumn="1" w:lastColumn="0" w:noHBand="0" w:noVBand="1"/>
      </w:tblPr>
      <w:tblGrid>
        <w:gridCol w:w="1977"/>
        <w:gridCol w:w="1978"/>
        <w:gridCol w:w="1978"/>
        <w:gridCol w:w="1978"/>
        <w:gridCol w:w="1978"/>
      </w:tblGrid>
      <w:tr w:rsidR="00FE68B9" w:rsidRPr="008B0E14" w14:paraId="19B90597" w14:textId="77777777" w:rsidTr="00FE68B9">
        <w:trPr>
          <w:cantSplit/>
          <w:trHeight w:val="202"/>
        </w:trPr>
        <w:tc>
          <w:tcPr>
            <w:tcW w:w="1977" w:type="dxa"/>
          </w:tcPr>
          <w:p w14:paraId="69F4B28C" w14:textId="77777777" w:rsidR="00FE68B9" w:rsidRPr="00D66669" w:rsidRDefault="00FE68B9" w:rsidP="00FE68B9">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Issue</w:t>
            </w:r>
          </w:p>
        </w:tc>
        <w:tc>
          <w:tcPr>
            <w:tcW w:w="1978" w:type="dxa"/>
          </w:tcPr>
          <w:p w14:paraId="6B728836" w14:textId="77777777" w:rsidR="00FE68B9" w:rsidRPr="00F75C7B" w:rsidRDefault="00FE68B9" w:rsidP="00FE68B9">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Options</w:t>
            </w:r>
            <w:r w:rsidRPr="00F75C7B">
              <w:rPr>
                <w:rFonts w:ascii="Times New Roman" w:hAnsi="Times New Roman"/>
                <w:b/>
                <w:sz w:val="18"/>
                <w:szCs w:val="18"/>
              </w:rPr>
              <w:t xml:space="preserve"> </w:t>
            </w:r>
          </w:p>
        </w:tc>
        <w:tc>
          <w:tcPr>
            <w:tcW w:w="1978" w:type="dxa"/>
          </w:tcPr>
          <w:p w14:paraId="23E07A47" w14:textId="77777777" w:rsidR="00FE68B9" w:rsidRPr="008B0E14" w:rsidRDefault="00FE68B9" w:rsidP="00FE68B9">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Advantages</w:t>
            </w:r>
          </w:p>
        </w:tc>
        <w:tc>
          <w:tcPr>
            <w:tcW w:w="1978" w:type="dxa"/>
          </w:tcPr>
          <w:p w14:paraId="75BFB69A" w14:textId="77777777" w:rsidR="00FE68B9" w:rsidRPr="008B0E14" w:rsidRDefault="00FE68B9" w:rsidP="00FE68B9">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Disadvantages</w:t>
            </w:r>
          </w:p>
        </w:tc>
        <w:tc>
          <w:tcPr>
            <w:tcW w:w="1978" w:type="dxa"/>
          </w:tcPr>
          <w:p w14:paraId="56CD36B8" w14:textId="77777777" w:rsidR="00FE68B9" w:rsidRPr="008B0E14" w:rsidRDefault="00FE68B9" w:rsidP="00FE68B9">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Recommendations</w:t>
            </w:r>
          </w:p>
        </w:tc>
      </w:tr>
      <w:tr w:rsidR="00FE68B9" w:rsidRPr="008B0E14" w14:paraId="2B981A3B" w14:textId="77777777" w:rsidTr="00F14213">
        <w:trPr>
          <w:cantSplit/>
          <w:trHeight w:val="2191"/>
        </w:trPr>
        <w:tc>
          <w:tcPr>
            <w:tcW w:w="1977" w:type="dxa"/>
            <w:vMerge w:val="restart"/>
          </w:tcPr>
          <w:p w14:paraId="6A18360A" w14:textId="7C5DC138" w:rsidR="00FE68B9" w:rsidRPr="008B0E14" w:rsidRDefault="00FE68B9"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sidRPr="00FE68B9">
              <w:rPr>
                <w:rFonts w:ascii="Times New Roman" w:hAnsi="Times New Roman"/>
                <w:sz w:val="18"/>
                <w:szCs w:val="18"/>
              </w:rPr>
              <w:t>What registration threshold should apply to offshore suppliers of remote services?</w:t>
            </w:r>
          </w:p>
        </w:tc>
        <w:tc>
          <w:tcPr>
            <w:tcW w:w="1978" w:type="dxa"/>
          </w:tcPr>
          <w:p w14:paraId="3DDE02B6" w14:textId="33B78C5C" w:rsidR="00FE68B9" w:rsidRPr="008B0E14" w:rsidRDefault="00FE68B9"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sidRPr="00FE68B9">
              <w:rPr>
                <w:rFonts w:ascii="Times New Roman" w:hAnsi="Times New Roman"/>
                <w:i/>
                <w:sz w:val="18"/>
                <w:szCs w:val="18"/>
              </w:rPr>
              <w:t>A registration threshold equal to the domestic registration threshold</w:t>
            </w:r>
            <w:r w:rsidR="000D01DE">
              <w:rPr>
                <w:rFonts w:ascii="Times New Roman" w:hAnsi="Times New Roman"/>
                <w:i/>
                <w:sz w:val="18"/>
                <w:szCs w:val="18"/>
              </w:rPr>
              <w:t xml:space="preserve"> (NZD $60,000)</w:t>
            </w:r>
          </w:p>
        </w:tc>
        <w:tc>
          <w:tcPr>
            <w:tcW w:w="1978" w:type="dxa"/>
          </w:tcPr>
          <w:p w14:paraId="6E141E78" w14:textId="6C5B922D" w:rsidR="00881CF4" w:rsidRDefault="009B179E"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This option is consistent with the registration threshold that applies to domestic suppliers. </w:t>
            </w:r>
            <w:r w:rsidR="00881CF4">
              <w:rPr>
                <w:rFonts w:ascii="Times New Roman" w:hAnsi="Times New Roman"/>
                <w:sz w:val="18"/>
                <w:szCs w:val="18"/>
              </w:rPr>
              <w:t xml:space="preserve">This will result in competitive neutrality as offshore suppliers and domestic suppliers will be subject to the same registration </w:t>
            </w:r>
            <w:proofErr w:type="spellStart"/>
            <w:r w:rsidR="00881CF4">
              <w:rPr>
                <w:rFonts w:ascii="Times New Roman" w:hAnsi="Times New Roman"/>
                <w:sz w:val="18"/>
                <w:szCs w:val="18"/>
              </w:rPr>
              <w:t>requiremnts</w:t>
            </w:r>
            <w:proofErr w:type="spellEnd"/>
            <w:r w:rsidR="00881CF4">
              <w:rPr>
                <w:rFonts w:ascii="Times New Roman" w:hAnsi="Times New Roman"/>
                <w:sz w:val="18"/>
                <w:szCs w:val="18"/>
              </w:rPr>
              <w:t xml:space="preserve">. </w:t>
            </w:r>
          </w:p>
          <w:p w14:paraId="356688B8" w14:textId="14E1D4E9" w:rsidR="00564988" w:rsidRDefault="0072470D"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would</w:t>
            </w:r>
            <w:r w:rsidR="009B179E">
              <w:rPr>
                <w:rFonts w:ascii="Times New Roman" w:hAnsi="Times New Roman"/>
                <w:sz w:val="18"/>
                <w:szCs w:val="18"/>
              </w:rPr>
              <w:t xml:space="preserve"> also</w:t>
            </w:r>
            <w:r>
              <w:rPr>
                <w:rFonts w:ascii="Times New Roman" w:hAnsi="Times New Roman"/>
                <w:sz w:val="18"/>
                <w:szCs w:val="18"/>
              </w:rPr>
              <w:t xml:space="preserve"> result in lower compliance costs for supplie</w:t>
            </w:r>
            <w:r w:rsidR="000D01DE">
              <w:rPr>
                <w:rFonts w:ascii="Times New Roman" w:hAnsi="Times New Roman"/>
                <w:sz w:val="18"/>
                <w:szCs w:val="18"/>
              </w:rPr>
              <w:t>r</w:t>
            </w:r>
            <w:r>
              <w:rPr>
                <w:rFonts w:ascii="Times New Roman" w:hAnsi="Times New Roman"/>
                <w:sz w:val="18"/>
                <w:szCs w:val="18"/>
              </w:rPr>
              <w:t xml:space="preserve">s that make a relatively small volume of supplies to the New Zealand market. </w:t>
            </w:r>
            <w:r w:rsidR="00564988">
              <w:rPr>
                <w:rFonts w:ascii="Times New Roman" w:hAnsi="Times New Roman"/>
                <w:sz w:val="18"/>
                <w:szCs w:val="18"/>
              </w:rPr>
              <w:t xml:space="preserve">Evidence from other countries suggests that a small number of large suppliers account for a significant proportion of the total </w:t>
            </w:r>
            <w:r w:rsidR="00F14213">
              <w:rPr>
                <w:rFonts w:ascii="Times New Roman" w:hAnsi="Times New Roman"/>
                <w:sz w:val="18"/>
                <w:szCs w:val="18"/>
              </w:rPr>
              <w:t>revenue collected</w:t>
            </w:r>
            <w:r w:rsidR="00976857">
              <w:rPr>
                <w:rFonts w:ascii="Times New Roman" w:hAnsi="Times New Roman"/>
                <w:sz w:val="18"/>
                <w:szCs w:val="18"/>
              </w:rPr>
              <w:t xml:space="preserve"> from offshore registrants</w:t>
            </w:r>
            <w:r>
              <w:rPr>
                <w:rFonts w:ascii="Times New Roman" w:hAnsi="Times New Roman"/>
                <w:sz w:val="18"/>
                <w:szCs w:val="18"/>
              </w:rPr>
              <w:t>.</w:t>
            </w:r>
          </w:p>
          <w:p w14:paraId="084B9762" w14:textId="07DAE043" w:rsidR="0072470D" w:rsidRPr="008B0E14" w:rsidRDefault="0072470D" w:rsidP="00D61445">
            <w:pPr>
              <w:pStyle w:val="Bullet-list"/>
              <w:keepNext/>
              <w:tabs>
                <w:tab w:val="num" w:pos="567"/>
              </w:tabs>
              <w:spacing w:after="0" w:line="240" w:lineRule="auto"/>
              <w:ind w:left="0" w:firstLine="0"/>
              <w:jc w:val="left"/>
              <w:rPr>
                <w:rFonts w:ascii="Times New Roman" w:hAnsi="Times New Roman"/>
                <w:sz w:val="18"/>
                <w:szCs w:val="18"/>
              </w:rPr>
            </w:pPr>
          </w:p>
        </w:tc>
        <w:tc>
          <w:tcPr>
            <w:tcW w:w="1978" w:type="dxa"/>
          </w:tcPr>
          <w:p w14:paraId="5C4F0FF7" w14:textId="77777777" w:rsidR="00B268E1" w:rsidRDefault="00564988"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A higher threshold may increase the incentive for some offshore suppliers to break up their supplies into different entities in order to stay under the registration threshold. </w:t>
            </w:r>
            <w:r w:rsidR="000D01DE">
              <w:rPr>
                <w:rFonts w:ascii="Times New Roman" w:hAnsi="Times New Roman"/>
                <w:sz w:val="18"/>
                <w:szCs w:val="18"/>
              </w:rPr>
              <w:t xml:space="preserve">A higher registration threshold may be associated with less revenue being collected, as </w:t>
            </w:r>
            <w:r w:rsidR="00976857">
              <w:rPr>
                <w:rFonts w:ascii="Times New Roman" w:hAnsi="Times New Roman"/>
                <w:sz w:val="18"/>
                <w:szCs w:val="18"/>
              </w:rPr>
              <w:t xml:space="preserve">fewer </w:t>
            </w:r>
            <w:r w:rsidR="000D01DE">
              <w:rPr>
                <w:rFonts w:ascii="Times New Roman" w:hAnsi="Times New Roman"/>
                <w:sz w:val="18"/>
                <w:szCs w:val="18"/>
              </w:rPr>
              <w:t>suppliers would be required to register and return GST on their supplies.</w:t>
            </w:r>
          </w:p>
          <w:p w14:paraId="56FB38D5" w14:textId="0D2C48E2" w:rsidR="00F14213" w:rsidRPr="008B0E14" w:rsidRDefault="00F14213" w:rsidP="00D61445">
            <w:pPr>
              <w:pStyle w:val="Bullet-list"/>
              <w:keepNext/>
              <w:tabs>
                <w:tab w:val="num" w:pos="567"/>
              </w:tabs>
              <w:spacing w:after="0" w:line="240" w:lineRule="auto"/>
              <w:ind w:left="0" w:firstLine="0"/>
              <w:jc w:val="left"/>
              <w:rPr>
                <w:rFonts w:ascii="Times New Roman" w:hAnsi="Times New Roman"/>
                <w:sz w:val="18"/>
                <w:szCs w:val="18"/>
              </w:rPr>
            </w:pPr>
          </w:p>
        </w:tc>
        <w:tc>
          <w:tcPr>
            <w:tcW w:w="1978" w:type="dxa"/>
          </w:tcPr>
          <w:p w14:paraId="7EC01FFD" w14:textId="478969F1" w:rsidR="00FE68B9" w:rsidRPr="008B0E14" w:rsidRDefault="009B179E"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Recommended</w:t>
            </w:r>
          </w:p>
        </w:tc>
      </w:tr>
      <w:tr w:rsidR="00FE68B9" w:rsidRPr="008B0E14" w14:paraId="3E611C10" w14:textId="77777777" w:rsidTr="00FE68B9">
        <w:trPr>
          <w:cantSplit/>
          <w:trHeight w:val="1762"/>
        </w:trPr>
        <w:tc>
          <w:tcPr>
            <w:tcW w:w="1977" w:type="dxa"/>
            <w:vMerge/>
          </w:tcPr>
          <w:p w14:paraId="053323E0" w14:textId="1F40CD82" w:rsidR="00FE68B9" w:rsidRPr="008B0E14" w:rsidRDefault="00FE68B9" w:rsidP="009C42BC">
            <w:pPr>
              <w:pStyle w:val="Bullet-list"/>
              <w:keepNext/>
              <w:tabs>
                <w:tab w:val="num" w:pos="567"/>
              </w:tabs>
              <w:spacing w:after="0" w:line="240" w:lineRule="auto"/>
              <w:ind w:left="0" w:firstLine="0"/>
              <w:jc w:val="left"/>
              <w:rPr>
                <w:rFonts w:ascii="Times New Roman" w:hAnsi="Times New Roman"/>
                <w:sz w:val="18"/>
                <w:szCs w:val="18"/>
              </w:rPr>
            </w:pPr>
          </w:p>
        </w:tc>
        <w:tc>
          <w:tcPr>
            <w:tcW w:w="1978" w:type="dxa"/>
          </w:tcPr>
          <w:p w14:paraId="15F40512" w14:textId="04D14113" w:rsidR="00FE68B9" w:rsidRPr="00A35A6F" w:rsidRDefault="00FE68B9" w:rsidP="009C42BC">
            <w:pPr>
              <w:pStyle w:val="Bullet-list"/>
              <w:keepNext/>
              <w:tabs>
                <w:tab w:val="num" w:pos="567"/>
              </w:tabs>
              <w:spacing w:after="0" w:line="240" w:lineRule="auto"/>
              <w:ind w:left="0" w:firstLine="0"/>
              <w:jc w:val="left"/>
              <w:rPr>
                <w:rFonts w:ascii="Times New Roman" w:hAnsi="Times New Roman"/>
                <w:b/>
                <w:i/>
                <w:color w:val="002469"/>
                <w:spacing w:val="20"/>
                <w:w w:val="90"/>
                <w:sz w:val="18"/>
                <w:szCs w:val="18"/>
              </w:rPr>
            </w:pPr>
            <w:r w:rsidRPr="00FE68B9">
              <w:rPr>
                <w:rFonts w:ascii="Times New Roman" w:hAnsi="Times New Roman"/>
                <w:i/>
                <w:sz w:val="18"/>
                <w:szCs w:val="18"/>
              </w:rPr>
              <w:t>A registration threshold that is lower than the do</w:t>
            </w:r>
            <w:r>
              <w:rPr>
                <w:rFonts w:ascii="Times New Roman" w:hAnsi="Times New Roman"/>
                <w:i/>
                <w:sz w:val="18"/>
                <w:szCs w:val="18"/>
              </w:rPr>
              <w:t>mestic registration threshold (for example,</w:t>
            </w:r>
            <w:r w:rsidRPr="00FE68B9">
              <w:rPr>
                <w:rFonts w:ascii="Times New Roman" w:hAnsi="Times New Roman"/>
                <w:i/>
                <w:sz w:val="18"/>
                <w:szCs w:val="18"/>
              </w:rPr>
              <w:t xml:space="preserve"> </w:t>
            </w:r>
            <w:r w:rsidR="0072470D" w:rsidRPr="00FE68B9">
              <w:rPr>
                <w:rFonts w:ascii="Times New Roman" w:hAnsi="Times New Roman"/>
                <w:i/>
                <w:sz w:val="18"/>
                <w:szCs w:val="18"/>
              </w:rPr>
              <w:t xml:space="preserve"> NZD </w:t>
            </w:r>
            <w:r w:rsidRPr="00FE68B9">
              <w:rPr>
                <w:rFonts w:ascii="Times New Roman" w:hAnsi="Times New Roman"/>
                <w:i/>
                <w:sz w:val="18"/>
                <w:szCs w:val="18"/>
              </w:rPr>
              <w:t>$10,000)</w:t>
            </w:r>
            <w:r>
              <w:rPr>
                <w:rFonts w:ascii="Times New Roman" w:hAnsi="Times New Roman"/>
                <w:i/>
                <w:sz w:val="18"/>
                <w:szCs w:val="18"/>
              </w:rPr>
              <w:t xml:space="preserve"> </w:t>
            </w:r>
          </w:p>
        </w:tc>
        <w:tc>
          <w:tcPr>
            <w:tcW w:w="1978" w:type="dxa"/>
          </w:tcPr>
          <w:p w14:paraId="6F87F563" w14:textId="77777777" w:rsidR="00976857" w:rsidRDefault="00F14213"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A lower registration threshold would increase the revenue collected, </w:t>
            </w:r>
            <w:r w:rsidR="0072470D">
              <w:rPr>
                <w:rFonts w:ascii="Times New Roman" w:hAnsi="Times New Roman"/>
                <w:sz w:val="18"/>
                <w:szCs w:val="18"/>
              </w:rPr>
              <w:t>though this may be outweighed by additional compliance costs for offshore suppliers.</w:t>
            </w:r>
          </w:p>
          <w:p w14:paraId="4D733BF6" w14:textId="58CB78A4" w:rsidR="00FE68B9" w:rsidRPr="008B0E14" w:rsidRDefault="00976857"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A lower threshold would be more consistent with the European Union that has no threshold, and other countries that tend to have low thresholds.</w:t>
            </w:r>
          </w:p>
        </w:tc>
        <w:tc>
          <w:tcPr>
            <w:tcW w:w="1978" w:type="dxa"/>
          </w:tcPr>
          <w:p w14:paraId="58D01D97" w14:textId="5D652A0E" w:rsidR="00FE68B9" w:rsidRPr="008B0E14" w:rsidRDefault="00F14213"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A </w:t>
            </w:r>
            <w:r w:rsidR="000D01DE">
              <w:rPr>
                <w:rFonts w:ascii="Times New Roman" w:hAnsi="Times New Roman"/>
                <w:sz w:val="18"/>
                <w:szCs w:val="18"/>
              </w:rPr>
              <w:t xml:space="preserve">registration </w:t>
            </w:r>
            <w:r>
              <w:rPr>
                <w:rFonts w:ascii="Times New Roman" w:hAnsi="Times New Roman"/>
                <w:sz w:val="18"/>
                <w:szCs w:val="18"/>
              </w:rPr>
              <w:t xml:space="preserve">threshold </w:t>
            </w:r>
            <w:r w:rsidR="000D01DE">
              <w:rPr>
                <w:rFonts w:ascii="Times New Roman" w:hAnsi="Times New Roman"/>
                <w:sz w:val="18"/>
                <w:szCs w:val="18"/>
              </w:rPr>
              <w:t xml:space="preserve">that is </w:t>
            </w:r>
            <w:r>
              <w:rPr>
                <w:rFonts w:ascii="Times New Roman" w:hAnsi="Times New Roman"/>
                <w:sz w:val="18"/>
                <w:szCs w:val="18"/>
              </w:rPr>
              <w:t xml:space="preserve">lower than the domestic registration threshold may reduce the </w:t>
            </w:r>
            <w:r w:rsidR="0072470D">
              <w:rPr>
                <w:rFonts w:ascii="Times New Roman" w:hAnsi="Times New Roman"/>
                <w:sz w:val="18"/>
                <w:szCs w:val="18"/>
              </w:rPr>
              <w:t xml:space="preserve">competitive </w:t>
            </w:r>
            <w:r>
              <w:rPr>
                <w:rFonts w:ascii="Times New Roman" w:hAnsi="Times New Roman"/>
                <w:sz w:val="18"/>
                <w:szCs w:val="18"/>
              </w:rPr>
              <w:t>neutrality between do</w:t>
            </w:r>
            <w:r w:rsidR="0072470D">
              <w:rPr>
                <w:rFonts w:ascii="Times New Roman" w:hAnsi="Times New Roman"/>
                <w:sz w:val="18"/>
                <w:szCs w:val="18"/>
              </w:rPr>
              <w:t xml:space="preserve">mestic and offshore suppliers. </w:t>
            </w:r>
          </w:p>
        </w:tc>
        <w:tc>
          <w:tcPr>
            <w:tcW w:w="1978" w:type="dxa"/>
          </w:tcPr>
          <w:p w14:paraId="430BFFCC" w14:textId="1739626F" w:rsidR="00FE68B9" w:rsidRPr="008B0E14" w:rsidRDefault="009B179E"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Not recommended</w:t>
            </w:r>
          </w:p>
        </w:tc>
      </w:tr>
    </w:tbl>
    <w:p w14:paraId="0B1CEB22" w14:textId="77777777" w:rsidR="007D49C2" w:rsidRDefault="007D49C2" w:rsidP="00853DD4">
      <w:pPr>
        <w:pStyle w:val="Bullet-list"/>
        <w:spacing w:after="0" w:line="240" w:lineRule="auto"/>
        <w:ind w:left="0" w:firstLine="0"/>
        <w:jc w:val="both"/>
      </w:pPr>
    </w:p>
    <w:p w14:paraId="529C9542" w14:textId="4C3D46C6" w:rsidR="007A7F00" w:rsidRDefault="007A7F00" w:rsidP="00B01596">
      <w:pPr>
        <w:pStyle w:val="RISheading"/>
        <w:spacing w:before="0" w:after="0"/>
        <w:rPr>
          <w:spacing w:val="0"/>
          <w:w w:val="100"/>
        </w:rPr>
      </w:pPr>
      <w:r>
        <w:rPr>
          <w:spacing w:val="0"/>
          <w:w w:val="100"/>
        </w:rPr>
        <w:t xml:space="preserve">Determining whether a customer is a New Zealand resident </w:t>
      </w:r>
    </w:p>
    <w:p w14:paraId="4540AA06" w14:textId="77777777" w:rsidR="00B01596" w:rsidRDefault="00B01596" w:rsidP="00B01596">
      <w:pPr>
        <w:pStyle w:val="RISheading"/>
        <w:spacing w:before="0" w:after="0"/>
        <w:rPr>
          <w:spacing w:val="0"/>
          <w:w w:val="100"/>
        </w:rPr>
      </w:pPr>
    </w:p>
    <w:p w14:paraId="4B4C2E79" w14:textId="56B0FCE8" w:rsidR="00976857" w:rsidRDefault="007A7F00" w:rsidP="00853DD4">
      <w:pPr>
        <w:pStyle w:val="Bullet-list"/>
        <w:numPr>
          <w:ilvl w:val="0"/>
          <w:numId w:val="3"/>
        </w:numPr>
        <w:tabs>
          <w:tab w:val="clear" w:pos="720"/>
          <w:tab w:val="num" w:pos="567"/>
        </w:tabs>
        <w:spacing w:after="0" w:line="240" w:lineRule="auto"/>
        <w:ind w:left="0" w:firstLine="0"/>
        <w:jc w:val="both"/>
      </w:pPr>
      <w:r w:rsidRPr="007D49C2">
        <w:rPr>
          <w:rFonts w:ascii="Times New Roman" w:hAnsi="Times New Roman"/>
          <w:sz w:val="24"/>
          <w:szCs w:val="24"/>
        </w:rPr>
        <w:t>The discussion document compared the EU approach, where an offshore supplier is required to determine where a customer has their residence based on two non-conflicting pieces of evidence</w:t>
      </w:r>
      <w:r w:rsidR="00677FE2" w:rsidRPr="00BD28E6">
        <w:rPr>
          <w:rFonts w:ascii="Times New Roman" w:hAnsi="Times New Roman"/>
          <w:sz w:val="24"/>
          <w:szCs w:val="24"/>
        </w:rPr>
        <w:t xml:space="preserve"> (for example, payment information, customer address, and Internet Protocol (IP) address)</w:t>
      </w:r>
      <w:r w:rsidRPr="00BD28E6">
        <w:rPr>
          <w:rFonts w:ascii="Times New Roman" w:hAnsi="Times New Roman"/>
          <w:sz w:val="24"/>
          <w:szCs w:val="24"/>
        </w:rPr>
        <w:t>, with the proposed Australian rules, which would require them to take ‘reasonable steps’ to determine the residency status of the consumer.</w:t>
      </w:r>
    </w:p>
    <w:tbl>
      <w:tblPr>
        <w:tblStyle w:val="TableGrid"/>
        <w:tblpPr w:leftFromText="180" w:rightFromText="180" w:vertAnchor="text" w:horzAnchor="margin" w:tblpX="-176" w:tblpY="194"/>
        <w:tblW w:w="9889" w:type="dxa"/>
        <w:tblLayout w:type="fixed"/>
        <w:tblLook w:val="04A0" w:firstRow="1" w:lastRow="0" w:firstColumn="1" w:lastColumn="0" w:noHBand="0" w:noVBand="1"/>
      </w:tblPr>
      <w:tblGrid>
        <w:gridCol w:w="1977"/>
        <w:gridCol w:w="1978"/>
        <w:gridCol w:w="1978"/>
        <w:gridCol w:w="1978"/>
        <w:gridCol w:w="1978"/>
      </w:tblGrid>
      <w:tr w:rsidR="007A7F00" w:rsidRPr="008B0E14" w14:paraId="44F80535" w14:textId="77777777" w:rsidTr="007A7F00">
        <w:trPr>
          <w:cantSplit/>
          <w:trHeight w:val="202"/>
        </w:trPr>
        <w:tc>
          <w:tcPr>
            <w:tcW w:w="1977" w:type="dxa"/>
          </w:tcPr>
          <w:p w14:paraId="77854608" w14:textId="5E9D156F" w:rsidR="007A7F00" w:rsidRPr="007D49C2" w:rsidRDefault="007A7F00" w:rsidP="007A7F00">
            <w:pPr>
              <w:pStyle w:val="Bullet-list"/>
              <w:keepNext/>
              <w:tabs>
                <w:tab w:val="num" w:pos="567"/>
              </w:tabs>
              <w:spacing w:after="0" w:line="240" w:lineRule="auto"/>
              <w:ind w:left="0" w:firstLine="0"/>
              <w:rPr>
                <w:rFonts w:ascii="Times New Roman" w:hAnsi="Times New Roman"/>
                <w:b/>
                <w:sz w:val="18"/>
                <w:szCs w:val="18"/>
              </w:rPr>
            </w:pPr>
            <w:r w:rsidRPr="007D49C2">
              <w:rPr>
                <w:rFonts w:ascii="Times New Roman" w:hAnsi="Times New Roman"/>
                <w:b/>
                <w:sz w:val="18"/>
                <w:szCs w:val="18"/>
              </w:rPr>
              <w:t>Issue</w:t>
            </w:r>
          </w:p>
        </w:tc>
        <w:tc>
          <w:tcPr>
            <w:tcW w:w="1978" w:type="dxa"/>
          </w:tcPr>
          <w:p w14:paraId="4EDC8BE7" w14:textId="77777777" w:rsidR="007A7F00" w:rsidRPr="00F75C7B" w:rsidRDefault="007A7F00" w:rsidP="007A7F00">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Options</w:t>
            </w:r>
            <w:r w:rsidRPr="00F75C7B">
              <w:rPr>
                <w:rFonts w:ascii="Times New Roman" w:hAnsi="Times New Roman"/>
                <w:b/>
                <w:sz w:val="18"/>
                <w:szCs w:val="18"/>
              </w:rPr>
              <w:t xml:space="preserve"> </w:t>
            </w:r>
          </w:p>
        </w:tc>
        <w:tc>
          <w:tcPr>
            <w:tcW w:w="1978" w:type="dxa"/>
          </w:tcPr>
          <w:p w14:paraId="7DF00571" w14:textId="77777777" w:rsidR="007A7F00" w:rsidRPr="008B0E14" w:rsidRDefault="007A7F00" w:rsidP="007A7F00">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Advantages</w:t>
            </w:r>
          </w:p>
        </w:tc>
        <w:tc>
          <w:tcPr>
            <w:tcW w:w="1978" w:type="dxa"/>
          </w:tcPr>
          <w:p w14:paraId="7C0DA8CC" w14:textId="77777777" w:rsidR="007A7F00" w:rsidRPr="008B0E14" w:rsidRDefault="007A7F00" w:rsidP="007A7F00">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Disadvantages</w:t>
            </w:r>
          </w:p>
        </w:tc>
        <w:tc>
          <w:tcPr>
            <w:tcW w:w="1978" w:type="dxa"/>
          </w:tcPr>
          <w:p w14:paraId="331197C4" w14:textId="77777777" w:rsidR="007A7F00" w:rsidRPr="008B0E14" w:rsidRDefault="007A7F00" w:rsidP="007A7F00">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Recommendations</w:t>
            </w:r>
          </w:p>
        </w:tc>
      </w:tr>
      <w:tr w:rsidR="007A7F00" w:rsidRPr="008B0E14" w14:paraId="5C582E5A" w14:textId="77777777" w:rsidTr="007A7F00">
        <w:trPr>
          <w:cantSplit/>
          <w:trHeight w:val="2191"/>
        </w:trPr>
        <w:tc>
          <w:tcPr>
            <w:tcW w:w="1977" w:type="dxa"/>
            <w:vMerge w:val="restart"/>
          </w:tcPr>
          <w:p w14:paraId="79EC9545" w14:textId="0FC3583C" w:rsidR="007A7F00" w:rsidRPr="008B0E14" w:rsidRDefault="007A7F00"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How should</w:t>
            </w:r>
            <w:r w:rsidR="00275DA1">
              <w:rPr>
                <w:rFonts w:ascii="Times New Roman" w:hAnsi="Times New Roman"/>
                <w:sz w:val="18"/>
                <w:szCs w:val="18"/>
              </w:rPr>
              <w:t xml:space="preserve"> an offshore supplier determine whether a customer is a New Zealand resident?</w:t>
            </w:r>
          </w:p>
        </w:tc>
        <w:tc>
          <w:tcPr>
            <w:tcW w:w="1978" w:type="dxa"/>
          </w:tcPr>
          <w:p w14:paraId="0427822A" w14:textId="5AF931C9" w:rsidR="007A7F00" w:rsidRPr="008B0E14" w:rsidRDefault="00275DA1"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A requirement to determine whether a customer is a New Zealand resident based on two non-conflicting pieces of evidence.  </w:t>
            </w:r>
          </w:p>
        </w:tc>
        <w:tc>
          <w:tcPr>
            <w:tcW w:w="1978" w:type="dxa"/>
          </w:tcPr>
          <w:p w14:paraId="2D69657D" w14:textId="45074FD9" w:rsidR="007A7F00" w:rsidRPr="008B0E14" w:rsidRDefault="009B179E"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has greater certainty and simplicity for offshore suppliers to apply. This option is also consistent with the rules that apply in the European Union</w:t>
            </w:r>
            <w:r w:rsidR="00677FE2">
              <w:rPr>
                <w:rFonts w:ascii="Times New Roman" w:hAnsi="Times New Roman"/>
                <w:sz w:val="18"/>
                <w:szCs w:val="18"/>
              </w:rPr>
              <w:t xml:space="preserve"> and therefore offshore suppliers are likely to have already developed systems to apply this option.</w:t>
            </w:r>
          </w:p>
        </w:tc>
        <w:tc>
          <w:tcPr>
            <w:tcW w:w="1978" w:type="dxa"/>
          </w:tcPr>
          <w:p w14:paraId="774C9EF0" w14:textId="5EE3283F" w:rsidR="007A7F00" w:rsidRPr="008B0E14" w:rsidRDefault="00677FE2"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Some offshore suppliers may not have access to two non-conflicting pieces of evidence. To address this issue it is proposed that the Commissioner of Inland Revenue be </w:t>
            </w:r>
            <w:r w:rsidR="0008063D" w:rsidRPr="0008063D">
              <w:rPr>
                <w:rFonts w:ascii="Times New Roman" w:hAnsi="Times New Roman"/>
                <w:sz w:val="18"/>
                <w:szCs w:val="18"/>
                <w:lang w:val="en-GB"/>
              </w:rPr>
              <w:t>able to prescribe an alternative method to determine whether a customer is a New Zealand resident</w:t>
            </w:r>
            <w:r w:rsidR="0008063D">
              <w:rPr>
                <w:rFonts w:ascii="Times New Roman" w:hAnsi="Times New Roman"/>
                <w:sz w:val="18"/>
                <w:szCs w:val="18"/>
                <w:lang w:val="en-GB"/>
              </w:rPr>
              <w:t>.</w:t>
            </w:r>
          </w:p>
        </w:tc>
        <w:tc>
          <w:tcPr>
            <w:tcW w:w="1978" w:type="dxa"/>
          </w:tcPr>
          <w:p w14:paraId="517A4FE7" w14:textId="3FFBFFBD" w:rsidR="007A7F00" w:rsidRPr="008B0E14" w:rsidRDefault="00677FE2"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Recommended</w:t>
            </w:r>
          </w:p>
        </w:tc>
      </w:tr>
      <w:tr w:rsidR="007A7F00" w:rsidRPr="008B0E14" w14:paraId="35DDBC7A" w14:textId="77777777" w:rsidTr="007A7F00">
        <w:trPr>
          <w:cantSplit/>
          <w:trHeight w:val="1762"/>
        </w:trPr>
        <w:tc>
          <w:tcPr>
            <w:tcW w:w="1977" w:type="dxa"/>
            <w:vMerge/>
          </w:tcPr>
          <w:p w14:paraId="3DF71FF1" w14:textId="77777777" w:rsidR="007A7F00" w:rsidRPr="008B0E14" w:rsidRDefault="007A7F00" w:rsidP="009C42BC">
            <w:pPr>
              <w:pStyle w:val="Bullet-list"/>
              <w:keepNext/>
              <w:tabs>
                <w:tab w:val="num" w:pos="567"/>
              </w:tabs>
              <w:spacing w:after="0" w:line="240" w:lineRule="auto"/>
              <w:ind w:left="0" w:firstLine="0"/>
              <w:jc w:val="left"/>
              <w:rPr>
                <w:rFonts w:ascii="Times New Roman" w:hAnsi="Times New Roman"/>
                <w:sz w:val="18"/>
                <w:szCs w:val="18"/>
              </w:rPr>
            </w:pPr>
          </w:p>
        </w:tc>
        <w:tc>
          <w:tcPr>
            <w:tcW w:w="1978" w:type="dxa"/>
          </w:tcPr>
          <w:p w14:paraId="4C9133F2" w14:textId="76CA2A97" w:rsidR="007A7F00" w:rsidRPr="00A35A6F" w:rsidRDefault="007A7F00" w:rsidP="009C42BC">
            <w:pPr>
              <w:pStyle w:val="Bullet-list"/>
              <w:keepNext/>
              <w:tabs>
                <w:tab w:val="num" w:pos="567"/>
              </w:tabs>
              <w:spacing w:after="0" w:line="240" w:lineRule="auto"/>
              <w:ind w:left="0" w:firstLine="0"/>
              <w:jc w:val="left"/>
              <w:rPr>
                <w:rFonts w:ascii="Times New Roman" w:hAnsi="Times New Roman"/>
                <w:b/>
                <w:i/>
                <w:color w:val="002469"/>
                <w:spacing w:val="20"/>
                <w:w w:val="90"/>
                <w:sz w:val="18"/>
                <w:szCs w:val="18"/>
              </w:rPr>
            </w:pPr>
            <w:r>
              <w:rPr>
                <w:rFonts w:ascii="Times New Roman" w:hAnsi="Times New Roman"/>
                <w:sz w:val="18"/>
                <w:szCs w:val="18"/>
              </w:rPr>
              <w:t xml:space="preserve">A requirement to take reasonable steps to determine whether a customer is a New Zealand resident </w:t>
            </w:r>
          </w:p>
        </w:tc>
        <w:tc>
          <w:tcPr>
            <w:tcW w:w="1978" w:type="dxa"/>
          </w:tcPr>
          <w:p w14:paraId="7982AB1E" w14:textId="0457F959" w:rsidR="007A7F00" w:rsidRPr="008B0E14" w:rsidRDefault="00677FE2"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This option allows more discretion for offshore suppliers to determine the residence of their customers.</w:t>
            </w:r>
          </w:p>
        </w:tc>
        <w:tc>
          <w:tcPr>
            <w:tcW w:w="1978" w:type="dxa"/>
          </w:tcPr>
          <w:p w14:paraId="24EBA6CB" w14:textId="5964322E" w:rsidR="007A7F00" w:rsidRPr="008B0E14" w:rsidRDefault="00677FE2"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The option </w:t>
            </w:r>
            <w:r w:rsidR="00976857">
              <w:rPr>
                <w:rFonts w:ascii="Times New Roman" w:hAnsi="Times New Roman"/>
                <w:sz w:val="18"/>
                <w:szCs w:val="18"/>
              </w:rPr>
              <w:t>creates un</w:t>
            </w:r>
            <w:r>
              <w:rPr>
                <w:rFonts w:ascii="Times New Roman" w:hAnsi="Times New Roman"/>
                <w:sz w:val="18"/>
                <w:szCs w:val="18"/>
              </w:rPr>
              <w:t>certain</w:t>
            </w:r>
            <w:r w:rsidR="00976857">
              <w:rPr>
                <w:rFonts w:ascii="Times New Roman" w:hAnsi="Times New Roman"/>
                <w:sz w:val="18"/>
                <w:szCs w:val="18"/>
              </w:rPr>
              <w:t>ty</w:t>
            </w:r>
            <w:r>
              <w:rPr>
                <w:rFonts w:ascii="Times New Roman" w:hAnsi="Times New Roman"/>
                <w:sz w:val="18"/>
                <w:szCs w:val="18"/>
              </w:rPr>
              <w:t xml:space="preserve"> </w:t>
            </w:r>
            <w:r w:rsidR="00976857">
              <w:rPr>
                <w:rFonts w:ascii="Times New Roman" w:hAnsi="Times New Roman"/>
                <w:sz w:val="18"/>
                <w:szCs w:val="18"/>
              </w:rPr>
              <w:t xml:space="preserve">about </w:t>
            </w:r>
            <w:r>
              <w:rPr>
                <w:rFonts w:ascii="Times New Roman" w:hAnsi="Times New Roman"/>
                <w:sz w:val="18"/>
                <w:szCs w:val="18"/>
              </w:rPr>
              <w:t xml:space="preserve">what would be acceptable </w:t>
            </w:r>
            <w:r w:rsidR="00976857">
              <w:rPr>
                <w:rFonts w:ascii="Times New Roman" w:hAnsi="Times New Roman"/>
                <w:sz w:val="18"/>
                <w:szCs w:val="18"/>
              </w:rPr>
              <w:t>as a</w:t>
            </w:r>
            <w:r>
              <w:rPr>
                <w:rFonts w:ascii="Times New Roman" w:hAnsi="Times New Roman"/>
                <w:sz w:val="18"/>
                <w:szCs w:val="18"/>
              </w:rPr>
              <w:t xml:space="preserve"> “reasonable step” to determine a customer’s residence.</w:t>
            </w:r>
            <w:r w:rsidR="00976857">
              <w:rPr>
                <w:rFonts w:ascii="Times New Roman" w:hAnsi="Times New Roman"/>
                <w:sz w:val="18"/>
                <w:szCs w:val="18"/>
              </w:rPr>
              <w:t xml:space="preserve"> This could increase </w:t>
            </w:r>
            <w:r w:rsidR="00355774">
              <w:rPr>
                <w:rFonts w:ascii="Times New Roman" w:hAnsi="Times New Roman"/>
                <w:sz w:val="18"/>
                <w:szCs w:val="18"/>
              </w:rPr>
              <w:t>offshore suppliers’</w:t>
            </w:r>
            <w:r w:rsidR="00976857">
              <w:rPr>
                <w:rFonts w:ascii="Times New Roman" w:hAnsi="Times New Roman"/>
                <w:sz w:val="18"/>
                <w:szCs w:val="18"/>
              </w:rPr>
              <w:t xml:space="preserve"> compliance costs.</w:t>
            </w:r>
          </w:p>
        </w:tc>
        <w:tc>
          <w:tcPr>
            <w:tcW w:w="1978" w:type="dxa"/>
          </w:tcPr>
          <w:p w14:paraId="7F6A8E30" w14:textId="4E2FFAC5" w:rsidR="007A7F00" w:rsidRPr="008B0E14" w:rsidRDefault="00677FE2"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Not recommended</w:t>
            </w:r>
          </w:p>
        </w:tc>
      </w:tr>
    </w:tbl>
    <w:p w14:paraId="18DB7193" w14:textId="694B44D8" w:rsidR="0008063D" w:rsidRDefault="0008063D" w:rsidP="00275DA1">
      <w:pPr>
        <w:pStyle w:val="Bullet-list"/>
        <w:spacing w:after="0" w:line="240" w:lineRule="auto"/>
        <w:ind w:left="0" w:firstLine="0"/>
        <w:jc w:val="both"/>
        <w:rPr>
          <w:rFonts w:ascii="Times New Roman" w:hAnsi="Times New Roman"/>
          <w:sz w:val="24"/>
          <w:szCs w:val="24"/>
        </w:rPr>
      </w:pPr>
    </w:p>
    <w:p w14:paraId="0F16D315" w14:textId="16945C03" w:rsidR="00275DA1" w:rsidRDefault="007A285A" w:rsidP="000F15EF">
      <w:pPr>
        <w:pStyle w:val="Bullet-list"/>
        <w:keepNext/>
        <w:spacing w:after="0" w:line="240" w:lineRule="auto"/>
        <w:ind w:left="0" w:firstLine="0"/>
        <w:jc w:val="both"/>
        <w:rPr>
          <w:rFonts w:ascii="Times New Roman" w:hAnsi="Times New Roman"/>
          <w:b/>
          <w:sz w:val="24"/>
          <w:szCs w:val="24"/>
          <w:lang w:val="en-GB"/>
        </w:rPr>
      </w:pPr>
      <w:r>
        <w:rPr>
          <w:rFonts w:ascii="Times New Roman" w:hAnsi="Times New Roman"/>
          <w:b/>
          <w:sz w:val="24"/>
          <w:szCs w:val="24"/>
          <w:lang w:val="en-GB"/>
        </w:rPr>
        <w:t>S</w:t>
      </w:r>
      <w:r w:rsidRPr="000F15EF" w:rsidDel="000E3E7B">
        <w:rPr>
          <w:rFonts w:ascii="Times New Roman" w:hAnsi="Times New Roman"/>
          <w:b/>
          <w:sz w:val="24"/>
          <w:szCs w:val="24"/>
          <w:lang w:val="en-GB"/>
        </w:rPr>
        <w:t>implified registration and return process</w:t>
      </w:r>
    </w:p>
    <w:p w14:paraId="1DC2B3A6" w14:textId="77777777" w:rsidR="007A285A" w:rsidRDefault="007A285A" w:rsidP="000F15EF">
      <w:pPr>
        <w:pStyle w:val="Bullet-list"/>
        <w:keepNext/>
        <w:spacing w:after="0" w:line="240" w:lineRule="auto"/>
        <w:ind w:left="0" w:firstLine="0"/>
        <w:jc w:val="both"/>
        <w:rPr>
          <w:rFonts w:ascii="Times New Roman" w:hAnsi="Times New Roman"/>
          <w:b/>
          <w:sz w:val="24"/>
          <w:szCs w:val="24"/>
          <w:lang w:val="en-GB"/>
        </w:rPr>
      </w:pPr>
    </w:p>
    <w:p w14:paraId="48A6D485" w14:textId="77777777" w:rsidR="00AA7F4F" w:rsidRDefault="007A285A" w:rsidP="000F15EF">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discussion document proposed that offshore suppliers could be required to register under the domestic system or have the option of registering under a simplified “pay only” system.</w:t>
      </w:r>
    </w:p>
    <w:p w14:paraId="337CBF9A" w14:textId="77777777" w:rsidR="00AA7F4F" w:rsidRDefault="00AA7F4F" w:rsidP="000F15EF">
      <w:pPr>
        <w:pStyle w:val="Bullet-list"/>
        <w:spacing w:after="0" w:line="240" w:lineRule="auto"/>
        <w:ind w:left="0" w:firstLine="0"/>
        <w:jc w:val="both"/>
        <w:rPr>
          <w:rFonts w:ascii="Times New Roman" w:hAnsi="Times New Roman"/>
          <w:sz w:val="24"/>
          <w:szCs w:val="24"/>
        </w:rPr>
      </w:pPr>
    </w:p>
    <w:p w14:paraId="5BDB021B" w14:textId="0AD202A9" w:rsidR="007A285A" w:rsidRPr="00E81899" w:rsidRDefault="00AA7F4F"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AA7F4F">
        <w:rPr>
          <w:rFonts w:ascii="Times New Roman" w:hAnsi="Times New Roman"/>
          <w:sz w:val="24"/>
          <w:szCs w:val="24"/>
          <w:lang w:val="en-GB"/>
        </w:rPr>
        <w:t>“Pay-only” registration systems are tailored for offshore suppliers that have no GST to claim and make payments only. The main benefit of a pay-only system is that the system can be very simple. Since these offshore suppliers are not claiming any GST they are relatively low-risk from a revenue perspective. The usual checks and balances focussed on ensuring that input tax deductions/refund claims are correct can be relaxed. The processes and information requirements around registering for GST could also be simplified</w:t>
      </w:r>
      <w:r>
        <w:rPr>
          <w:rFonts w:ascii="Times New Roman" w:hAnsi="Times New Roman"/>
          <w:sz w:val="24"/>
          <w:szCs w:val="24"/>
          <w:lang w:val="en-GB"/>
        </w:rPr>
        <w:t>.</w:t>
      </w:r>
    </w:p>
    <w:tbl>
      <w:tblPr>
        <w:tblStyle w:val="TableGrid"/>
        <w:tblpPr w:leftFromText="180" w:rightFromText="180" w:vertAnchor="text" w:horzAnchor="margin" w:tblpX="-176" w:tblpY="194"/>
        <w:tblW w:w="9889" w:type="dxa"/>
        <w:tblLayout w:type="fixed"/>
        <w:tblLook w:val="04A0" w:firstRow="1" w:lastRow="0" w:firstColumn="1" w:lastColumn="0" w:noHBand="0" w:noVBand="1"/>
      </w:tblPr>
      <w:tblGrid>
        <w:gridCol w:w="1977"/>
        <w:gridCol w:w="1978"/>
        <w:gridCol w:w="1978"/>
        <w:gridCol w:w="1978"/>
        <w:gridCol w:w="1978"/>
      </w:tblGrid>
      <w:tr w:rsidR="007A285A" w:rsidRPr="008B0E14" w14:paraId="29033952" w14:textId="77777777" w:rsidTr="007A285A">
        <w:trPr>
          <w:cantSplit/>
          <w:trHeight w:val="202"/>
        </w:trPr>
        <w:tc>
          <w:tcPr>
            <w:tcW w:w="1977" w:type="dxa"/>
          </w:tcPr>
          <w:p w14:paraId="7FA48A32" w14:textId="77777777" w:rsidR="007A285A" w:rsidRPr="00D66669" w:rsidRDefault="007A285A" w:rsidP="007A285A">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Issue</w:t>
            </w:r>
          </w:p>
        </w:tc>
        <w:tc>
          <w:tcPr>
            <w:tcW w:w="1978" w:type="dxa"/>
          </w:tcPr>
          <w:p w14:paraId="665690B4" w14:textId="77777777" w:rsidR="007A285A" w:rsidRPr="00F75C7B" w:rsidRDefault="007A285A" w:rsidP="007A285A">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Options</w:t>
            </w:r>
            <w:r w:rsidRPr="00F75C7B">
              <w:rPr>
                <w:rFonts w:ascii="Times New Roman" w:hAnsi="Times New Roman"/>
                <w:b/>
                <w:sz w:val="18"/>
                <w:szCs w:val="18"/>
              </w:rPr>
              <w:t xml:space="preserve"> </w:t>
            </w:r>
          </w:p>
        </w:tc>
        <w:tc>
          <w:tcPr>
            <w:tcW w:w="1978" w:type="dxa"/>
          </w:tcPr>
          <w:p w14:paraId="21FA42DA" w14:textId="77777777" w:rsidR="007A285A" w:rsidRPr="008B0E14" w:rsidRDefault="007A285A" w:rsidP="007A285A">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Advantages</w:t>
            </w:r>
          </w:p>
        </w:tc>
        <w:tc>
          <w:tcPr>
            <w:tcW w:w="1978" w:type="dxa"/>
          </w:tcPr>
          <w:p w14:paraId="18E36988" w14:textId="77777777" w:rsidR="007A285A" w:rsidRPr="008B0E14" w:rsidRDefault="007A285A" w:rsidP="007A285A">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Disadvantages</w:t>
            </w:r>
          </w:p>
        </w:tc>
        <w:tc>
          <w:tcPr>
            <w:tcW w:w="1978" w:type="dxa"/>
          </w:tcPr>
          <w:p w14:paraId="6754530E" w14:textId="77777777" w:rsidR="007A285A" w:rsidRPr="008B0E14" w:rsidRDefault="007A285A" w:rsidP="007A285A">
            <w:pPr>
              <w:pStyle w:val="Bullet-list"/>
              <w:keepNext/>
              <w:tabs>
                <w:tab w:val="num" w:pos="567"/>
              </w:tabs>
              <w:spacing w:after="0" w:line="240" w:lineRule="auto"/>
              <w:ind w:left="0" w:firstLine="0"/>
              <w:rPr>
                <w:rFonts w:ascii="Times New Roman" w:hAnsi="Times New Roman"/>
                <w:b/>
                <w:sz w:val="18"/>
                <w:szCs w:val="18"/>
              </w:rPr>
            </w:pPr>
            <w:r>
              <w:rPr>
                <w:rFonts w:ascii="Times New Roman" w:hAnsi="Times New Roman"/>
                <w:b/>
                <w:sz w:val="18"/>
                <w:szCs w:val="18"/>
              </w:rPr>
              <w:t>Recommendations</w:t>
            </w:r>
          </w:p>
        </w:tc>
      </w:tr>
      <w:tr w:rsidR="007A285A" w:rsidRPr="008B0E14" w14:paraId="7948A11B" w14:textId="77777777" w:rsidTr="007A285A">
        <w:trPr>
          <w:cantSplit/>
          <w:trHeight w:val="2191"/>
        </w:trPr>
        <w:tc>
          <w:tcPr>
            <w:tcW w:w="1977" w:type="dxa"/>
            <w:vMerge w:val="restart"/>
          </w:tcPr>
          <w:p w14:paraId="7BBAD494" w14:textId="1AA80C71" w:rsidR="007A285A" w:rsidRPr="008B0E14" w:rsidRDefault="007A285A"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What registration system should offshore suppliers </w:t>
            </w:r>
            <w:proofErr w:type="gramStart"/>
            <w:r>
              <w:rPr>
                <w:rFonts w:ascii="Times New Roman" w:hAnsi="Times New Roman"/>
                <w:sz w:val="18"/>
                <w:szCs w:val="18"/>
              </w:rPr>
              <w:t>be</w:t>
            </w:r>
            <w:proofErr w:type="gramEnd"/>
            <w:r>
              <w:rPr>
                <w:rFonts w:ascii="Times New Roman" w:hAnsi="Times New Roman"/>
                <w:sz w:val="18"/>
                <w:szCs w:val="18"/>
              </w:rPr>
              <w:t xml:space="preserve"> required to use.</w:t>
            </w:r>
          </w:p>
        </w:tc>
        <w:tc>
          <w:tcPr>
            <w:tcW w:w="1978" w:type="dxa"/>
          </w:tcPr>
          <w:p w14:paraId="497A3125" w14:textId="00864351" w:rsidR="007A285A" w:rsidRPr="008B0E14" w:rsidRDefault="007A285A"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Simplified ‘pay only’ registration system.</w:t>
            </w:r>
          </w:p>
        </w:tc>
        <w:tc>
          <w:tcPr>
            <w:tcW w:w="1978" w:type="dxa"/>
          </w:tcPr>
          <w:p w14:paraId="6FBC2A30" w14:textId="562283B1" w:rsidR="007A285A" w:rsidRPr="008B0E14" w:rsidRDefault="00AA7F4F"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A ‘pay only’</w:t>
            </w:r>
            <w:r w:rsidR="00CE4B14">
              <w:rPr>
                <w:rFonts w:ascii="Times New Roman" w:hAnsi="Times New Roman"/>
                <w:sz w:val="18"/>
                <w:szCs w:val="18"/>
              </w:rPr>
              <w:t xml:space="preserve"> registration system</w:t>
            </w:r>
            <w:r>
              <w:rPr>
                <w:rFonts w:ascii="Times New Roman" w:hAnsi="Times New Roman"/>
                <w:sz w:val="18"/>
                <w:szCs w:val="18"/>
              </w:rPr>
              <w:t xml:space="preserve"> may lower compliance costs for suppliers </w:t>
            </w:r>
            <w:r w:rsidR="00CE4B14">
              <w:rPr>
                <w:rFonts w:ascii="Times New Roman" w:hAnsi="Times New Roman"/>
                <w:sz w:val="18"/>
                <w:szCs w:val="18"/>
              </w:rPr>
              <w:t>that are in a pay only position. This should encourage compliance with the rules.</w:t>
            </w:r>
            <w:r>
              <w:rPr>
                <w:rFonts w:ascii="Times New Roman" w:hAnsi="Times New Roman"/>
                <w:sz w:val="18"/>
                <w:szCs w:val="18"/>
              </w:rPr>
              <w:t xml:space="preserve"> </w:t>
            </w:r>
          </w:p>
        </w:tc>
        <w:tc>
          <w:tcPr>
            <w:tcW w:w="1978" w:type="dxa"/>
          </w:tcPr>
          <w:p w14:paraId="20AB53CC" w14:textId="1E34A7BF" w:rsidR="007A285A" w:rsidRPr="008B0E14" w:rsidRDefault="00AA7F4F"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Administrative systems would be required to be developed. However, the development of a ‘pay only’ system can be </w:t>
            </w:r>
            <w:r w:rsidR="00CE4B14">
              <w:rPr>
                <w:rFonts w:ascii="Times New Roman" w:hAnsi="Times New Roman"/>
                <w:sz w:val="18"/>
                <w:szCs w:val="18"/>
              </w:rPr>
              <w:t>incorporated into the Inland Revenue business transformation process.</w:t>
            </w:r>
          </w:p>
        </w:tc>
        <w:tc>
          <w:tcPr>
            <w:tcW w:w="1978" w:type="dxa"/>
          </w:tcPr>
          <w:p w14:paraId="67BA8336" w14:textId="77777777" w:rsidR="007A285A" w:rsidRPr="008B0E14" w:rsidRDefault="007A285A"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Recommended</w:t>
            </w:r>
          </w:p>
        </w:tc>
      </w:tr>
      <w:tr w:rsidR="007A285A" w:rsidRPr="008B0E14" w14:paraId="396EEFF3" w14:textId="77777777" w:rsidTr="007A285A">
        <w:trPr>
          <w:cantSplit/>
          <w:trHeight w:val="1762"/>
        </w:trPr>
        <w:tc>
          <w:tcPr>
            <w:tcW w:w="1977" w:type="dxa"/>
            <w:vMerge/>
          </w:tcPr>
          <w:p w14:paraId="725977A0" w14:textId="77777777" w:rsidR="007A285A" w:rsidRPr="008B0E14" w:rsidRDefault="007A285A" w:rsidP="009C42BC">
            <w:pPr>
              <w:pStyle w:val="Bullet-list"/>
              <w:keepNext/>
              <w:tabs>
                <w:tab w:val="num" w:pos="567"/>
              </w:tabs>
              <w:spacing w:after="0" w:line="240" w:lineRule="auto"/>
              <w:ind w:left="0" w:firstLine="0"/>
              <w:jc w:val="left"/>
              <w:rPr>
                <w:rFonts w:ascii="Times New Roman" w:hAnsi="Times New Roman"/>
                <w:sz w:val="18"/>
                <w:szCs w:val="18"/>
              </w:rPr>
            </w:pPr>
          </w:p>
        </w:tc>
        <w:tc>
          <w:tcPr>
            <w:tcW w:w="1978" w:type="dxa"/>
          </w:tcPr>
          <w:p w14:paraId="6D4F27D6" w14:textId="39D11DA5" w:rsidR="007A285A" w:rsidRPr="000F15EF" w:rsidRDefault="007A285A"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sidRPr="000F15EF">
              <w:rPr>
                <w:rFonts w:ascii="Times New Roman" w:hAnsi="Times New Roman"/>
                <w:sz w:val="18"/>
                <w:szCs w:val="18"/>
              </w:rPr>
              <w:t>Domestic registration system.</w:t>
            </w:r>
          </w:p>
        </w:tc>
        <w:tc>
          <w:tcPr>
            <w:tcW w:w="1978" w:type="dxa"/>
          </w:tcPr>
          <w:p w14:paraId="38F5B784" w14:textId="49462A89" w:rsidR="007A285A" w:rsidRDefault="00976857"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Using the domestic registration system would </w:t>
            </w:r>
            <w:r w:rsidR="00CE4B14">
              <w:rPr>
                <w:rFonts w:ascii="Times New Roman" w:hAnsi="Times New Roman"/>
                <w:sz w:val="18"/>
                <w:szCs w:val="18"/>
              </w:rPr>
              <w:t>not require any new administrative system</w:t>
            </w:r>
            <w:r>
              <w:rPr>
                <w:rFonts w:ascii="Times New Roman" w:hAnsi="Times New Roman"/>
                <w:sz w:val="18"/>
                <w:szCs w:val="18"/>
              </w:rPr>
              <w:t>s</w:t>
            </w:r>
            <w:r w:rsidR="00CE4B14">
              <w:rPr>
                <w:rFonts w:ascii="Times New Roman" w:hAnsi="Times New Roman"/>
                <w:sz w:val="18"/>
                <w:szCs w:val="18"/>
              </w:rPr>
              <w:t>.</w:t>
            </w:r>
          </w:p>
          <w:p w14:paraId="7940DA6A" w14:textId="77777777" w:rsidR="00CE4B14" w:rsidRDefault="00CE4B14" w:rsidP="00D61445">
            <w:pPr>
              <w:pStyle w:val="Bullet-list"/>
              <w:keepNext/>
              <w:tabs>
                <w:tab w:val="num" w:pos="567"/>
              </w:tabs>
              <w:spacing w:after="0" w:line="240" w:lineRule="auto"/>
              <w:ind w:left="0" w:firstLine="0"/>
              <w:jc w:val="left"/>
              <w:rPr>
                <w:rFonts w:ascii="Times New Roman" w:hAnsi="Times New Roman"/>
                <w:sz w:val="18"/>
                <w:szCs w:val="18"/>
              </w:rPr>
            </w:pPr>
          </w:p>
          <w:p w14:paraId="159F0BD9" w14:textId="23DAA51C" w:rsidR="00CE4B14" w:rsidRDefault="00CE4B14"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New Zealand</w:t>
            </w:r>
            <w:r w:rsidR="00976857">
              <w:rPr>
                <w:rFonts w:ascii="Times New Roman" w:hAnsi="Times New Roman"/>
                <w:sz w:val="18"/>
                <w:szCs w:val="18"/>
              </w:rPr>
              <w:t>’s</w:t>
            </w:r>
            <w:r>
              <w:rPr>
                <w:rFonts w:ascii="Times New Roman" w:hAnsi="Times New Roman"/>
                <w:sz w:val="18"/>
                <w:szCs w:val="18"/>
              </w:rPr>
              <w:t xml:space="preserve"> domestic registration system is already, by international standards, very </w:t>
            </w:r>
            <w:r w:rsidR="00976857">
              <w:rPr>
                <w:rFonts w:ascii="Times New Roman" w:hAnsi="Times New Roman"/>
                <w:sz w:val="18"/>
                <w:szCs w:val="18"/>
              </w:rPr>
              <w:t xml:space="preserve">simple </w:t>
            </w:r>
            <w:r>
              <w:rPr>
                <w:rFonts w:ascii="Times New Roman" w:hAnsi="Times New Roman"/>
                <w:sz w:val="18"/>
                <w:szCs w:val="18"/>
              </w:rPr>
              <w:t>to comply with.</w:t>
            </w:r>
          </w:p>
          <w:p w14:paraId="119630CB" w14:textId="77777777" w:rsidR="00CE4B14" w:rsidRDefault="00CE4B14" w:rsidP="00D61445">
            <w:pPr>
              <w:pStyle w:val="Bullet-list"/>
              <w:keepNext/>
              <w:tabs>
                <w:tab w:val="num" w:pos="567"/>
              </w:tabs>
              <w:spacing w:after="0" w:line="240" w:lineRule="auto"/>
              <w:ind w:left="0" w:firstLine="0"/>
              <w:jc w:val="left"/>
              <w:rPr>
                <w:rFonts w:ascii="Times New Roman" w:hAnsi="Times New Roman"/>
                <w:sz w:val="18"/>
                <w:szCs w:val="18"/>
              </w:rPr>
            </w:pPr>
          </w:p>
          <w:p w14:paraId="10B8408B" w14:textId="6BF8E465" w:rsidR="00CE4B14" w:rsidRPr="008B0E14" w:rsidRDefault="00CE4B14"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 xml:space="preserve">Offshore suppliers are treated </w:t>
            </w:r>
            <w:r w:rsidR="00976857">
              <w:rPr>
                <w:rFonts w:ascii="Times New Roman" w:hAnsi="Times New Roman"/>
                <w:sz w:val="18"/>
                <w:szCs w:val="18"/>
              </w:rPr>
              <w:t xml:space="preserve">in </w:t>
            </w:r>
            <w:r>
              <w:rPr>
                <w:rFonts w:ascii="Times New Roman" w:hAnsi="Times New Roman"/>
                <w:sz w:val="18"/>
                <w:szCs w:val="18"/>
              </w:rPr>
              <w:t xml:space="preserve">the same </w:t>
            </w:r>
            <w:r w:rsidR="00976857">
              <w:rPr>
                <w:rFonts w:ascii="Times New Roman" w:hAnsi="Times New Roman"/>
                <w:sz w:val="18"/>
                <w:szCs w:val="18"/>
              </w:rPr>
              <w:t xml:space="preserve">way </w:t>
            </w:r>
            <w:r>
              <w:rPr>
                <w:rFonts w:ascii="Times New Roman" w:hAnsi="Times New Roman"/>
                <w:sz w:val="18"/>
                <w:szCs w:val="18"/>
              </w:rPr>
              <w:t>as domestic suppliers.</w:t>
            </w:r>
          </w:p>
        </w:tc>
        <w:tc>
          <w:tcPr>
            <w:tcW w:w="1978" w:type="dxa"/>
          </w:tcPr>
          <w:p w14:paraId="0790DB75" w14:textId="44CE91B4" w:rsidR="007A285A" w:rsidRPr="008B0E14" w:rsidRDefault="005E3FFE"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O</w:t>
            </w:r>
            <w:r w:rsidR="00CE4B14">
              <w:rPr>
                <w:rFonts w:ascii="Times New Roman" w:hAnsi="Times New Roman"/>
                <w:sz w:val="18"/>
                <w:szCs w:val="18"/>
              </w:rPr>
              <w:t xml:space="preserve">ffshore suppliers </w:t>
            </w:r>
            <w:r>
              <w:rPr>
                <w:rFonts w:ascii="Times New Roman" w:hAnsi="Times New Roman"/>
                <w:sz w:val="18"/>
                <w:szCs w:val="18"/>
              </w:rPr>
              <w:t xml:space="preserve">who </w:t>
            </w:r>
            <w:r w:rsidR="00CE4B14">
              <w:rPr>
                <w:rFonts w:ascii="Times New Roman" w:hAnsi="Times New Roman"/>
                <w:sz w:val="18"/>
                <w:szCs w:val="18"/>
              </w:rPr>
              <w:t xml:space="preserve">are only required to return GST will be subject to the same requirements and processes that are in place for suppliers </w:t>
            </w:r>
            <w:r>
              <w:rPr>
                <w:rFonts w:ascii="Times New Roman" w:hAnsi="Times New Roman"/>
                <w:sz w:val="18"/>
                <w:szCs w:val="18"/>
              </w:rPr>
              <w:t xml:space="preserve">who </w:t>
            </w:r>
            <w:r w:rsidR="00CE4B14">
              <w:rPr>
                <w:rFonts w:ascii="Times New Roman" w:hAnsi="Times New Roman"/>
                <w:sz w:val="18"/>
                <w:szCs w:val="18"/>
              </w:rPr>
              <w:t>return and claim GST. This may increase the compliance costs imposed on ‘pay only’ offshore suppliers.</w:t>
            </w:r>
          </w:p>
        </w:tc>
        <w:tc>
          <w:tcPr>
            <w:tcW w:w="1978" w:type="dxa"/>
          </w:tcPr>
          <w:p w14:paraId="761D1E50" w14:textId="6F7C1F5F" w:rsidR="005E3FFE" w:rsidRDefault="005E3FFE"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The domestic registration system will initially be available until a ‘pay only’ system is developed as part of the Business Transformation Programme.</w:t>
            </w:r>
          </w:p>
          <w:p w14:paraId="5B3FCB81" w14:textId="3D8D7061" w:rsidR="007A285A" w:rsidRPr="008B0E14" w:rsidRDefault="00CE4B14" w:rsidP="009C42BC">
            <w:pPr>
              <w:pStyle w:val="Bullet-list"/>
              <w:keepNext/>
              <w:tabs>
                <w:tab w:val="num" w:pos="567"/>
              </w:tabs>
              <w:spacing w:after="0" w:line="240" w:lineRule="auto"/>
              <w:ind w:left="0" w:firstLine="0"/>
              <w:jc w:val="left"/>
              <w:rPr>
                <w:rFonts w:ascii="Times New Roman" w:hAnsi="Times New Roman"/>
                <w:b/>
                <w:color w:val="002469"/>
                <w:spacing w:val="20"/>
                <w:w w:val="90"/>
                <w:sz w:val="18"/>
                <w:szCs w:val="18"/>
              </w:rPr>
            </w:pPr>
            <w:r>
              <w:rPr>
                <w:rFonts w:ascii="Times New Roman" w:hAnsi="Times New Roman"/>
                <w:sz w:val="18"/>
                <w:szCs w:val="18"/>
              </w:rPr>
              <w:t>Still available for offshore suppliers that want to return and claim GST.</w:t>
            </w:r>
          </w:p>
        </w:tc>
      </w:tr>
    </w:tbl>
    <w:p w14:paraId="5172ADA9" w14:textId="5620E48A" w:rsidR="007A285A" w:rsidRDefault="007A285A" w:rsidP="00275DA1">
      <w:pPr>
        <w:pStyle w:val="Bullet-list"/>
        <w:spacing w:after="0" w:line="240" w:lineRule="auto"/>
        <w:ind w:left="0" w:firstLine="0"/>
        <w:jc w:val="both"/>
        <w:rPr>
          <w:rFonts w:ascii="Times New Roman" w:hAnsi="Times New Roman"/>
          <w:b/>
          <w:sz w:val="24"/>
          <w:szCs w:val="24"/>
          <w:lang w:val="en-GB"/>
        </w:rPr>
      </w:pPr>
    </w:p>
    <w:p w14:paraId="072FD1D4" w14:textId="4E773432" w:rsidR="007B092F" w:rsidRDefault="00380430" w:rsidP="006030CB">
      <w:pPr>
        <w:pStyle w:val="Bullet-list"/>
        <w:keepNext/>
        <w:spacing w:after="0" w:line="240" w:lineRule="auto"/>
        <w:ind w:left="0" w:firstLine="0"/>
        <w:jc w:val="both"/>
        <w:rPr>
          <w:rFonts w:ascii="Times New Roman" w:hAnsi="Times New Roman"/>
          <w:b/>
          <w:sz w:val="24"/>
          <w:szCs w:val="24"/>
          <w:lang w:val="en-GB"/>
        </w:rPr>
      </w:pPr>
      <w:r>
        <w:rPr>
          <w:rFonts w:ascii="Times New Roman" w:hAnsi="Times New Roman"/>
          <w:b/>
          <w:sz w:val="24"/>
          <w:szCs w:val="24"/>
          <w:lang w:val="en-GB"/>
        </w:rPr>
        <w:t>Electronic</w:t>
      </w:r>
      <w:r w:rsidR="007B092F">
        <w:rPr>
          <w:rFonts w:ascii="Times New Roman" w:hAnsi="Times New Roman"/>
          <w:b/>
          <w:sz w:val="24"/>
          <w:szCs w:val="24"/>
          <w:lang w:val="en-GB"/>
        </w:rPr>
        <w:t xml:space="preserve"> market places</w:t>
      </w:r>
    </w:p>
    <w:p w14:paraId="377D1BBD" w14:textId="77777777" w:rsidR="007A285A" w:rsidRPr="000F15EF" w:rsidRDefault="007A285A" w:rsidP="0097279A">
      <w:pPr>
        <w:pStyle w:val="Bullet-list"/>
        <w:keepNext/>
        <w:spacing w:after="0" w:line="240" w:lineRule="auto"/>
        <w:ind w:left="0" w:firstLine="0"/>
        <w:jc w:val="both"/>
        <w:rPr>
          <w:rFonts w:ascii="Times New Roman" w:hAnsi="Times New Roman"/>
          <w:b/>
          <w:sz w:val="24"/>
          <w:szCs w:val="24"/>
        </w:rPr>
      </w:pPr>
    </w:p>
    <w:p w14:paraId="49E44ECE" w14:textId="6A963FAA" w:rsidR="007B092F" w:rsidRPr="000F15EF" w:rsidRDefault="00380430" w:rsidP="0097279A">
      <w:pPr>
        <w:pStyle w:val="Bullet-list"/>
        <w:keepNex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To further reduce compliance costs</w:t>
      </w:r>
      <w:r w:rsidR="007B092F">
        <w:rPr>
          <w:rFonts w:ascii="Times New Roman" w:hAnsi="Times New Roman"/>
          <w:sz w:val="24"/>
          <w:szCs w:val="24"/>
        </w:rPr>
        <w:t xml:space="preserve"> o</w:t>
      </w:r>
      <w:r w:rsidR="007A7F00" w:rsidRPr="000F15EF">
        <w:rPr>
          <w:rFonts w:ascii="Times New Roman" w:hAnsi="Times New Roman"/>
          <w:sz w:val="24"/>
          <w:szCs w:val="24"/>
        </w:rPr>
        <w:t xml:space="preserve">ffshore suppliers </w:t>
      </w:r>
      <w:r w:rsidR="005E3FFE">
        <w:rPr>
          <w:rFonts w:ascii="Times New Roman" w:hAnsi="Times New Roman"/>
          <w:sz w:val="24"/>
          <w:szCs w:val="24"/>
        </w:rPr>
        <w:t>who</w:t>
      </w:r>
      <w:r w:rsidR="005E3FFE" w:rsidRPr="000F15EF">
        <w:rPr>
          <w:rFonts w:ascii="Times New Roman" w:hAnsi="Times New Roman"/>
          <w:sz w:val="24"/>
          <w:szCs w:val="24"/>
        </w:rPr>
        <w:t xml:space="preserve"> </w:t>
      </w:r>
      <w:r w:rsidR="007A7F00" w:rsidRPr="000F15EF">
        <w:rPr>
          <w:rFonts w:ascii="Times New Roman" w:hAnsi="Times New Roman"/>
          <w:sz w:val="24"/>
          <w:szCs w:val="24"/>
        </w:rPr>
        <w:t xml:space="preserve">supply services via an </w:t>
      </w:r>
      <w:r w:rsidR="007A7F00" w:rsidRPr="000F15EF">
        <w:rPr>
          <w:rFonts w:ascii="Times New Roman" w:hAnsi="Times New Roman"/>
          <w:sz w:val="24"/>
          <w:szCs w:val="24"/>
          <w:lang w:val="en-NZ"/>
        </w:rPr>
        <w:t xml:space="preserve">electronic marketplace </w:t>
      </w:r>
      <w:r w:rsidR="005E3FFE">
        <w:rPr>
          <w:rFonts w:ascii="Times New Roman" w:hAnsi="Times New Roman"/>
          <w:sz w:val="24"/>
          <w:szCs w:val="24"/>
          <w:lang w:val="en-NZ"/>
        </w:rPr>
        <w:t>w</w:t>
      </w:r>
      <w:r w:rsidR="005E3FFE" w:rsidRPr="000F15EF">
        <w:rPr>
          <w:rFonts w:ascii="Times New Roman" w:hAnsi="Times New Roman"/>
          <w:sz w:val="24"/>
          <w:szCs w:val="24"/>
          <w:lang w:val="en-NZ"/>
        </w:rPr>
        <w:t xml:space="preserve">ould </w:t>
      </w:r>
      <w:r w:rsidR="007A7F00" w:rsidRPr="000F15EF">
        <w:rPr>
          <w:rFonts w:ascii="Times New Roman" w:hAnsi="Times New Roman"/>
          <w:sz w:val="24"/>
          <w:szCs w:val="24"/>
          <w:lang w:val="en-NZ"/>
        </w:rPr>
        <w:t xml:space="preserve">not be required to register and return GST. The marketplace </w:t>
      </w:r>
      <w:r w:rsidR="007B092F">
        <w:rPr>
          <w:rFonts w:ascii="Times New Roman" w:hAnsi="Times New Roman"/>
          <w:sz w:val="24"/>
          <w:szCs w:val="24"/>
          <w:lang w:val="en-NZ"/>
        </w:rPr>
        <w:t xml:space="preserve">(such as an app store) </w:t>
      </w:r>
      <w:r w:rsidR="007A7F00" w:rsidRPr="000F15EF">
        <w:rPr>
          <w:rFonts w:ascii="Times New Roman" w:hAnsi="Times New Roman"/>
          <w:sz w:val="24"/>
          <w:szCs w:val="24"/>
          <w:lang w:val="en-NZ"/>
        </w:rPr>
        <w:t>would instead be treated as the supplier and be required to register.</w:t>
      </w:r>
      <w:r w:rsidR="007A7F00" w:rsidRPr="000F15EF">
        <w:rPr>
          <w:rFonts w:ascii="Times New Roman" w:hAnsi="Times New Roman"/>
          <w:sz w:val="24"/>
          <w:szCs w:val="24"/>
        </w:rPr>
        <w:t xml:space="preserve"> </w:t>
      </w:r>
      <w:r w:rsidR="007A7F00" w:rsidRPr="000F15EF">
        <w:rPr>
          <w:rFonts w:ascii="Times New Roman" w:hAnsi="Times New Roman"/>
          <w:sz w:val="24"/>
          <w:szCs w:val="24"/>
          <w:lang w:val="en-NZ"/>
        </w:rPr>
        <w:t>The electronic marketplace is generally in a better position to register and return GST on supplies compared with the underlying supplier.  Typically, the electronic marketplace would be larger, better resourced and have a closer relationship with the customer.  Requiring the electronic marketplace to register therefore may reduce compliance costs</w:t>
      </w:r>
      <w:r w:rsidR="005E3FFE">
        <w:rPr>
          <w:rFonts w:ascii="Times New Roman" w:hAnsi="Times New Roman"/>
          <w:sz w:val="24"/>
          <w:szCs w:val="24"/>
          <w:lang w:val="en-NZ"/>
        </w:rPr>
        <w:t xml:space="preserve"> as</w:t>
      </w:r>
      <w:r w:rsidR="007A7F00" w:rsidRPr="000F15EF">
        <w:rPr>
          <w:rFonts w:ascii="Times New Roman" w:hAnsi="Times New Roman"/>
          <w:sz w:val="24"/>
          <w:szCs w:val="24"/>
          <w:lang w:val="en-NZ"/>
        </w:rPr>
        <w:t xml:space="preserve"> a large number of smaller suppliers may not be required to register.</w:t>
      </w:r>
    </w:p>
    <w:p w14:paraId="07CDD59B" w14:textId="77777777" w:rsidR="0001309F" w:rsidRPr="000F15EF" w:rsidRDefault="0001309F" w:rsidP="000F15EF">
      <w:pPr>
        <w:pStyle w:val="Bullet-list"/>
        <w:spacing w:after="0" w:line="240" w:lineRule="auto"/>
        <w:ind w:left="0" w:firstLine="0"/>
        <w:jc w:val="both"/>
        <w:rPr>
          <w:rFonts w:ascii="Times New Roman" w:hAnsi="Times New Roman"/>
          <w:sz w:val="24"/>
          <w:szCs w:val="24"/>
        </w:rPr>
      </w:pPr>
    </w:p>
    <w:p w14:paraId="2DB376FA" w14:textId="77777777" w:rsidR="000545DC" w:rsidRPr="004342F0" w:rsidRDefault="00D943DD" w:rsidP="004342F0">
      <w:pPr>
        <w:pStyle w:val="RISheading"/>
        <w:rPr>
          <w:spacing w:val="0"/>
          <w:w w:val="100"/>
        </w:rPr>
      </w:pPr>
      <w:r w:rsidRPr="004342F0">
        <w:rPr>
          <w:spacing w:val="0"/>
          <w:w w:val="100"/>
        </w:rPr>
        <w:t>CONSULTATION</w:t>
      </w:r>
      <w:bookmarkEnd w:id="22"/>
      <w:bookmarkEnd w:id="23"/>
      <w:bookmarkEnd w:id="24"/>
      <w:bookmarkEnd w:id="25"/>
      <w:bookmarkEnd w:id="26"/>
    </w:p>
    <w:p w14:paraId="6F45D0D1" w14:textId="53406DF1" w:rsidR="00E81899" w:rsidRDefault="00E81899"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sidRPr="000D5FF8">
        <w:rPr>
          <w:rFonts w:ascii="Times New Roman" w:hAnsi="Times New Roman"/>
          <w:sz w:val="24"/>
          <w:szCs w:val="24"/>
        </w:rPr>
        <w:t xml:space="preserve">discussion document </w:t>
      </w:r>
      <w:r w:rsidRPr="000D5FF8">
        <w:rPr>
          <w:rFonts w:ascii="Times New Roman" w:hAnsi="Times New Roman"/>
          <w:i/>
          <w:sz w:val="24"/>
          <w:szCs w:val="24"/>
        </w:rPr>
        <w:t>GST: Cross-border services, intangibles and goods</w:t>
      </w:r>
      <w:r w:rsidRPr="000D5FF8">
        <w:rPr>
          <w:rFonts w:ascii="Times New Roman" w:hAnsi="Times New Roman"/>
          <w:sz w:val="24"/>
          <w:szCs w:val="24"/>
        </w:rPr>
        <w:t xml:space="preserve"> </w:t>
      </w:r>
      <w:r>
        <w:rPr>
          <w:rFonts w:ascii="Times New Roman" w:hAnsi="Times New Roman"/>
          <w:sz w:val="24"/>
          <w:szCs w:val="24"/>
        </w:rPr>
        <w:t xml:space="preserve">was </w:t>
      </w:r>
      <w:r w:rsidRPr="000D5FF8">
        <w:rPr>
          <w:rFonts w:ascii="Times New Roman" w:hAnsi="Times New Roman"/>
          <w:sz w:val="24"/>
          <w:szCs w:val="24"/>
        </w:rPr>
        <w:t xml:space="preserve">released on </w:t>
      </w:r>
      <w:r w:rsidRPr="000D5FF8">
        <w:rPr>
          <w:rFonts w:ascii="Times New Roman" w:hAnsi="Times New Roman"/>
          <w:sz w:val="24"/>
          <w:szCs w:val="24"/>
          <w:lang w:val="en-GB"/>
        </w:rPr>
        <w:t xml:space="preserve">18 August 2015, </w:t>
      </w:r>
      <w:r w:rsidR="005E3FFE">
        <w:rPr>
          <w:rFonts w:ascii="Times New Roman" w:hAnsi="Times New Roman"/>
          <w:sz w:val="24"/>
          <w:szCs w:val="24"/>
          <w:lang w:val="en-GB"/>
        </w:rPr>
        <w:t>and</w:t>
      </w:r>
      <w:r w:rsidR="005E3FFE" w:rsidRPr="000D5FF8">
        <w:rPr>
          <w:rFonts w:ascii="Times New Roman" w:hAnsi="Times New Roman"/>
          <w:sz w:val="24"/>
          <w:szCs w:val="24"/>
          <w:lang w:val="en-GB"/>
        </w:rPr>
        <w:t xml:space="preserve"> </w:t>
      </w:r>
      <w:r w:rsidRPr="000D5FF8">
        <w:rPr>
          <w:rFonts w:ascii="Times New Roman" w:hAnsi="Times New Roman"/>
          <w:sz w:val="24"/>
          <w:szCs w:val="24"/>
          <w:lang w:val="en-GB"/>
        </w:rPr>
        <w:t xml:space="preserve">sought public feedback on </w:t>
      </w:r>
      <w:r>
        <w:rPr>
          <w:rFonts w:ascii="Times New Roman" w:hAnsi="Times New Roman"/>
          <w:sz w:val="24"/>
          <w:szCs w:val="24"/>
          <w:lang w:val="en-GB"/>
        </w:rPr>
        <w:t>the proposal to require</w:t>
      </w:r>
      <w:r w:rsidRPr="000D5FF8">
        <w:rPr>
          <w:rFonts w:ascii="Times New Roman" w:hAnsi="Times New Roman"/>
          <w:sz w:val="24"/>
          <w:szCs w:val="24"/>
          <w:lang w:val="en-GB"/>
        </w:rPr>
        <w:t xml:space="preserve"> offshore suppliers of </w:t>
      </w:r>
      <w:r w:rsidRPr="000D5FF8">
        <w:rPr>
          <w:rFonts w:ascii="Times New Roman" w:hAnsi="Times New Roman"/>
          <w:sz w:val="24"/>
          <w:szCs w:val="24"/>
        </w:rPr>
        <w:t>services and intangibles</w:t>
      </w:r>
      <w:r>
        <w:rPr>
          <w:rFonts w:ascii="Times New Roman" w:hAnsi="Times New Roman"/>
          <w:sz w:val="24"/>
          <w:szCs w:val="24"/>
        </w:rPr>
        <w:t xml:space="preserve"> to register and return the GST</w:t>
      </w:r>
      <w:r w:rsidR="005E3FFE">
        <w:rPr>
          <w:rFonts w:ascii="Times New Roman" w:hAnsi="Times New Roman"/>
          <w:sz w:val="24"/>
          <w:szCs w:val="24"/>
        </w:rPr>
        <w:t xml:space="preserve"> along with </w:t>
      </w:r>
      <w:r>
        <w:rPr>
          <w:rFonts w:ascii="Times New Roman" w:hAnsi="Times New Roman"/>
          <w:sz w:val="24"/>
          <w:szCs w:val="24"/>
        </w:rPr>
        <w:t xml:space="preserve">a number of key design features. </w:t>
      </w:r>
    </w:p>
    <w:p w14:paraId="6468E546" w14:textId="77777777" w:rsidR="00E81899" w:rsidRPr="004342F0" w:rsidRDefault="00E81899" w:rsidP="000F15EF">
      <w:pPr>
        <w:pStyle w:val="Bullet-list"/>
        <w:spacing w:after="0" w:line="240" w:lineRule="auto"/>
        <w:ind w:left="0" w:firstLine="0"/>
        <w:jc w:val="both"/>
        <w:rPr>
          <w:rFonts w:ascii="Times New Roman" w:hAnsi="Times New Roman"/>
          <w:sz w:val="24"/>
          <w:szCs w:val="24"/>
        </w:rPr>
      </w:pPr>
    </w:p>
    <w:p w14:paraId="691E769B" w14:textId="77777777" w:rsidR="00CE4B14" w:rsidRDefault="00E81899"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number of telephone conferences were held with </w:t>
      </w:r>
      <w:r w:rsidR="00E93E81">
        <w:rPr>
          <w:rFonts w:ascii="Times New Roman" w:hAnsi="Times New Roman"/>
          <w:sz w:val="24"/>
          <w:szCs w:val="24"/>
        </w:rPr>
        <w:t>members of</w:t>
      </w:r>
      <w:r>
        <w:rPr>
          <w:rFonts w:ascii="Times New Roman" w:hAnsi="Times New Roman"/>
          <w:sz w:val="24"/>
          <w:szCs w:val="24"/>
        </w:rPr>
        <w:t xml:space="preserve"> the Business and Industry Advisory Committee to the OECD and the Tax Executives Institu</w:t>
      </w:r>
      <w:r w:rsidR="00E93E81">
        <w:rPr>
          <w:rFonts w:ascii="Times New Roman" w:hAnsi="Times New Roman"/>
          <w:sz w:val="24"/>
          <w:szCs w:val="24"/>
        </w:rPr>
        <w:t>te (Indirect Tax chapter)</w:t>
      </w:r>
      <w:r w:rsidR="000B0153">
        <w:rPr>
          <w:rFonts w:ascii="Times New Roman" w:hAnsi="Times New Roman"/>
          <w:sz w:val="24"/>
          <w:szCs w:val="24"/>
        </w:rPr>
        <w:t xml:space="preserve">. This included a </w:t>
      </w:r>
      <w:r w:rsidR="00E93E81">
        <w:rPr>
          <w:rFonts w:ascii="Times New Roman" w:hAnsi="Times New Roman"/>
          <w:sz w:val="24"/>
          <w:szCs w:val="24"/>
        </w:rPr>
        <w:t xml:space="preserve">number of representatives of offshore suppliers that supply to </w:t>
      </w:r>
      <w:bookmarkStart w:id="27" w:name="_Preferred_option_[optional]"/>
      <w:bookmarkStart w:id="28" w:name="_Toc244580367"/>
      <w:bookmarkStart w:id="29" w:name="_Toc244587043"/>
      <w:bookmarkStart w:id="30" w:name="_Toc244857277"/>
      <w:bookmarkStart w:id="31" w:name="_Toc244912542"/>
      <w:bookmarkStart w:id="32" w:name="_Toc244916999"/>
      <w:bookmarkEnd w:id="27"/>
      <w:r w:rsidR="000B0153">
        <w:rPr>
          <w:rFonts w:ascii="Times New Roman" w:hAnsi="Times New Roman"/>
          <w:sz w:val="24"/>
          <w:szCs w:val="24"/>
        </w:rPr>
        <w:t>the global marketplace, and therefore have experience with the offshore supplier registration systems that have been adopted in other countries.</w:t>
      </w:r>
    </w:p>
    <w:p w14:paraId="05109DC8" w14:textId="77777777" w:rsidR="002524D6" w:rsidRDefault="002524D6" w:rsidP="000F15EF">
      <w:pPr>
        <w:pStyle w:val="Bullet-list"/>
        <w:spacing w:after="0" w:line="240" w:lineRule="auto"/>
        <w:ind w:left="0" w:firstLine="0"/>
        <w:jc w:val="both"/>
        <w:rPr>
          <w:rFonts w:ascii="Times New Roman" w:hAnsi="Times New Roman"/>
          <w:sz w:val="24"/>
          <w:szCs w:val="24"/>
        </w:rPr>
      </w:pPr>
    </w:p>
    <w:p w14:paraId="2CD39595" w14:textId="3D561F77" w:rsidR="002524D6" w:rsidRPr="000F15EF" w:rsidRDefault="002524D6"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0F15EF">
        <w:rPr>
          <w:rFonts w:ascii="Times New Roman" w:hAnsi="Times New Roman"/>
          <w:sz w:val="24"/>
          <w:szCs w:val="24"/>
        </w:rPr>
        <w:t xml:space="preserve">A total of 76 submissions were received in response to the discussion document. The proposals in the discussion document were received well, with most submissions supporting the proposed approach for taxing cross-border services and intangibles. </w:t>
      </w:r>
      <w:r w:rsidR="00C13664">
        <w:rPr>
          <w:rFonts w:ascii="Times New Roman" w:hAnsi="Times New Roman"/>
          <w:sz w:val="24"/>
          <w:szCs w:val="24"/>
        </w:rPr>
        <w:t>A strong theme was the importance of minimising compliance costs for offshore suppliers, to maximise compliance and reduce the risk the rules could restrict the supply of services and intangibles to New Zealand.</w:t>
      </w:r>
    </w:p>
    <w:p w14:paraId="79344D18" w14:textId="77777777" w:rsidR="002524D6" w:rsidRPr="000F15EF" w:rsidRDefault="002524D6" w:rsidP="000F15EF">
      <w:pPr>
        <w:pStyle w:val="Bullet-list"/>
        <w:spacing w:after="0" w:line="240" w:lineRule="auto"/>
        <w:ind w:left="0" w:firstLine="0"/>
        <w:jc w:val="both"/>
        <w:rPr>
          <w:rFonts w:ascii="Times New Roman" w:hAnsi="Times New Roman"/>
          <w:sz w:val="24"/>
          <w:szCs w:val="24"/>
        </w:rPr>
      </w:pPr>
    </w:p>
    <w:p w14:paraId="667E8C99" w14:textId="523CB417" w:rsidR="002524D6" w:rsidRPr="000F15EF" w:rsidRDefault="002524D6"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0F15EF">
        <w:rPr>
          <w:rFonts w:ascii="Times New Roman" w:hAnsi="Times New Roman"/>
          <w:sz w:val="24"/>
          <w:szCs w:val="24"/>
        </w:rPr>
        <w:t xml:space="preserve">Of the 76 submissions, 23 were from individuals (30%), 8 were from offshore businesses and professional associations (11%), and 25 were from New Zealand businesses and professional associations (40%). An additional 15 submissions followed </w:t>
      </w:r>
      <w:r w:rsidR="000605C5">
        <w:rPr>
          <w:rFonts w:ascii="Times New Roman" w:hAnsi="Times New Roman"/>
          <w:sz w:val="24"/>
          <w:szCs w:val="24"/>
        </w:rPr>
        <w:t>a</w:t>
      </w:r>
      <w:r w:rsidRPr="000F15EF">
        <w:rPr>
          <w:rFonts w:ascii="Times New Roman" w:hAnsi="Times New Roman"/>
          <w:sz w:val="24"/>
          <w:szCs w:val="24"/>
        </w:rPr>
        <w:t xml:space="preserve"> standard form provided by </w:t>
      </w:r>
      <w:r>
        <w:rPr>
          <w:rFonts w:ascii="Times New Roman" w:hAnsi="Times New Roman"/>
          <w:sz w:val="24"/>
          <w:szCs w:val="24"/>
        </w:rPr>
        <w:t>a domestic industry representative.</w:t>
      </w:r>
      <w:r w:rsidRPr="000F15EF">
        <w:rPr>
          <w:rFonts w:ascii="Times New Roman" w:hAnsi="Times New Roman"/>
          <w:sz w:val="24"/>
          <w:szCs w:val="24"/>
        </w:rPr>
        <w:t xml:space="preserve"> </w:t>
      </w:r>
    </w:p>
    <w:p w14:paraId="05C33E50" w14:textId="1FA1C491" w:rsidR="00D943DD" w:rsidRDefault="00D943DD" w:rsidP="000F15EF">
      <w:pPr>
        <w:pStyle w:val="Bullet-list"/>
        <w:spacing w:after="0" w:line="240" w:lineRule="auto"/>
        <w:ind w:left="0" w:firstLine="0"/>
        <w:jc w:val="both"/>
        <w:rPr>
          <w:rFonts w:ascii="Times New Roman" w:hAnsi="Times New Roman"/>
          <w:sz w:val="24"/>
          <w:szCs w:val="24"/>
        </w:rPr>
      </w:pPr>
    </w:p>
    <w:p w14:paraId="609E5069" w14:textId="0BD5E80C" w:rsidR="00CE4B14" w:rsidRDefault="00CE4B14"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table below outlines the </w:t>
      </w:r>
      <w:r w:rsidR="002524D6">
        <w:rPr>
          <w:rFonts w:ascii="Times New Roman" w:hAnsi="Times New Roman"/>
          <w:sz w:val="24"/>
          <w:szCs w:val="24"/>
        </w:rPr>
        <w:t xml:space="preserve">some of the initial proposals contained in the discussion document, the submissions received on the proposal and the recommend action </w:t>
      </w:r>
      <w:r w:rsidR="005E3FFE">
        <w:rPr>
          <w:rFonts w:ascii="Times New Roman" w:hAnsi="Times New Roman"/>
          <w:sz w:val="24"/>
          <w:szCs w:val="24"/>
        </w:rPr>
        <w:t>following consideration of the</w:t>
      </w:r>
      <w:r w:rsidR="002524D6">
        <w:rPr>
          <w:rFonts w:ascii="Times New Roman" w:hAnsi="Times New Roman"/>
          <w:sz w:val="24"/>
          <w:szCs w:val="24"/>
        </w:rPr>
        <w:t xml:space="preserve"> submissions:</w:t>
      </w:r>
    </w:p>
    <w:p w14:paraId="0EF83542" w14:textId="77777777" w:rsidR="00CE4B14" w:rsidRDefault="00CE4B14" w:rsidP="000F15EF">
      <w:pPr>
        <w:pStyle w:val="Bullet-list"/>
        <w:spacing w:after="0" w:line="240" w:lineRule="auto"/>
        <w:ind w:left="0"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205"/>
        <w:gridCol w:w="3118"/>
      </w:tblGrid>
      <w:tr w:rsidR="00CE4B14" w14:paraId="7BB3C8AF" w14:textId="77777777" w:rsidTr="00702267">
        <w:trPr>
          <w:trHeight w:val="268"/>
        </w:trPr>
        <w:tc>
          <w:tcPr>
            <w:tcW w:w="3424" w:type="dxa"/>
            <w:shd w:val="clear" w:color="auto" w:fill="D9D9D9" w:themeFill="background1" w:themeFillShade="D9"/>
          </w:tcPr>
          <w:p w14:paraId="0CEDA3FC" w14:textId="77777777" w:rsidR="00CE4B14" w:rsidRPr="00A569D8" w:rsidRDefault="00CE4B14" w:rsidP="00CE4B14">
            <w:pPr>
              <w:pStyle w:val="TRBodyText"/>
              <w:tabs>
                <w:tab w:val="left" w:pos="567"/>
              </w:tabs>
              <w:jc w:val="left"/>
              <w:rPr>
                <w:b/>
                <w:bCs/>
              </w:rPr>
            </w:pPr>
            <w:r w:rsidRPr="000F15EF">
              <w:rPr>
                <w:b/>
              </w:rPr>
              <w:t>Initial proposal</w:t>
            </w:r>
          </w:p>
        </w:tc>
        <w:tc>
          <w:tcPr>
            <w:tcW w:w="3205" w:type="dxa"/>
            <w:shd w:val="clear" w:color="auto" w:fill="D9D9D9" w:themeFill="background1" w:themeFillShade="D9"/>
          </w:tcPr>
          <w:p w14:paraId="13B89F91" w14:textId="77777777" w:rsidR="00CE4B14" w:rsidRPr="00A569D8" w:rsidRDefault="00CE4B14" w:rsidP="00CE4B14">
            <w:pPr>
              <w:pStyle w:val="TRBodyText"/>
              <w:tabs>
                <w:tab w:val="left" w:pos="567"/>
              </w:tabs>
              <w:jc w:val="left"/>
              <w:rPr>
                <w:b/>
                <w:bCs/>
              </w:rPr>
            </w:pPr>
            <w:r w:rsidRPr="000F15EF">
              <w:rPr>
                <w:b/>
              </w:rPr>
              <w:t>Submissions</w:t>
            </w:r>
          </w:p>
        </w:tc>
        <w:tc>
          <w:tcPr>
            <w:tcW w:w="3118" w:type="dxa"/>
            <w:shd w:val="clear" w:color="auto" w:fill="D9D9D9" w:themeFill="background1" w:themeFillShade="D9"/>
          </w:tcPr>
          <w:p w14:paraId="2CCE26D0" w14:textId="39CFDA94" w:rsidR="00CE4B14" w:rsidRPr="00A569D8" w:rsidRDefault="002524D6" w:rsidP="00CE4B14">
            <w:pPr>
              <w:pStyle w:val="TRBodyText"/>
              <w:tabs>
                <w:tab w:val="left" w:pos="567"/>
              </w:tabs>
              <w:jc w:val="left"/>
              <w:rPr>
                <w:b/>
                <w:bCs/>
              </w:rPr>
            </w:pPr>
            <w:r w:rsidRPr="000F15EF">
              <w:rPr>
                <w:b/>
              </w:rPr>
              <w:t>Preferred approach</w:t>
            </w:r>
          </w:p>
        </w:tc>
      </w:tr>
      <w:tr w:rsidR="00CE4B14" w14:paraId="5C9C6D74" w14:textId="77777777" w:rsidTr="00702267">
        <w:trPr>
          <w:trHeight w:val="86"/>
        </w:trPr>
        <w:tc>
          <w:tcPr>
            <w:tcW w:w="9747" w:type="dxa"/>
            <w:gridSpan w:val="3"/>
          </w:tcPr>
          <w:p w14:paraId="3B26DA96" w14:textId="77777777" w:rsidR="00CE4B14" w:rsidRPr="00A569D8" w:rsidRDefault="00CE4B14" w:rsidP="00CE4B14">
            <w:pPr>
              <w:pStyle w:val="TRBodyText"/>
              <w:tabs>
                <w:tab w:val="left" w:pos="567"/>
              </w:tabs>
              <w:rPr>
                <w:b/>
                <w:bCs/>
              </w:rPr>
            </w:pPr>
            <w:r w:rsidRPr="000F15EF">
              <w:rPr>
                <w:b/>
              </w:rPr>
              <w:t>Basic framework of the rules</w:t>
            </w:r>
          </w:p>
        </w:tc>
      </w:tr>
      <w:tr w:rsidR="00CE4B14" w14:paraId="3D13BD5C" w14:textId="77777777" w:rsidTr="00702267">
        <w:trPr>
          <w:trHeight w:val="414"/>
        </w:trPr>
        <w:tc>
          <w:tcPr>
            <w:tcW w:w="3424" w:type="dxa"/>
          </w:tcPr>
          <w:p w14:paraId="7B0072E9" w14:textId="6F24D113" w:rsidR="00CE4B14" w:rsidRPr="00B01596" w:rsidRDefault="00CE4B14" w:rsidP="00CE4B14">
            <w:pPr>
              <w:pStyle w:val="TRBodyText"/>
              <w:tabs>
                <w:tab w:val="left" w:pos="567"/>
              </w:tabs>
              <w:jc w:val="left"/>
              <w:rPr>
                <w:bCs/>
                <w:lang w:val="en-US"/>
              </w:rPr>
            </w:pPr>
            <w:r w:rsidRPr="000F15EF">
              <w:t xml:space="preserve">The discussion document proposed that supplies of remote services and intangibles by an offshore supplier to New Zealand-resident consumers will be subject to GST. A broad definition of “services” was proposed, which includes both digital services and more traditional services. </w:t>
            </w:r>
          </w:p>
        </w:tc>
        <w:tc>
          <w:tcPr>
            <w:tcW w:w="3205" w:type="dxa"/>
          </w:tcPr>
          <w:p w14:paraId="5B454004" w14:textId="09B01488" w:rsidR="00CE4B14" w:rsidRPr="009156D4" w:rsidRDefault="00CE4B14" w:rsidP="00B01596">
            <w:pPr>
              <w:pStyle w:val="TRBodyText"/>
              <w:tabs>
                <w:tab w:val="left" w:pos="567"/>
              </w:tabs>
              <w:jc w:val="left"/>
              <w:rPr>
                <w:lang w:val="en-US"/>
              </w:rPr>
            </w:pPr>
            <w:r w:rsidRPr="002B043B">
              <w:t>78% of submissions agreed with the proposal for services and intangibles</w:t>
            </w:r>
            <w:r w:rsidRPr="009156D4">
              <w:t>, with 92% of submissions on the point supporting a distinction between “remote” and “on-the-spot” services. 81% of submissions agreed with a broad definition of services.</w:t>
            </w:r>
          </w:p>
        </w:tc>
        <w:tc>
          <w:tcPr>
            <w:tcW w:w="3118" w:type="dxa"/>
          </w:tcPr>
          <w:p w14:paraId="0AB5BE89" w14:textId="77777777" w:rsidR="00CE4B14" w:rsidRPr="0050329A" w:rsidRDefault="00CE4B14" w:rsidP="00CE4B14">
            <w:pPr>
              <w:pStyle w:val="TRBodyText"/>
              <w:tabs>
                <w:tab w:val="left" w:pos="567"/>
              </w:tabs>
              <w:jc w:val="left"/>
              <w:rPr>
                <w:lang w:val="en-US"/>
              </w:rPr>
            </w:pPr>
            <w:r>
              <w:t>The proposal in the discussion document should be retained.</w:t>
            </w:r>
          </w:p>
          <w:p w14:paraId="795B4284" w14:textId="77777777" w:rsidR="00CE4B14" w:rsidRDefault="00CE4B14" w:rsidP="00CE4B14">
            <w:pPr>
              <w:pStyle w:val="TRBodyText"/>
              <w:tabs>
                <w:tab w:val="left" w:pos="567"/>
              </w:tabs>
              <w:rPr>
                <w:lang w:val="en-US"/>
              </w:rPr>
            </w:pPr>
          </w:p>
        </w:tc>
      </w:tr>
      <w:tr w:rsidR="00CE4B14" w14:paraId="72EFED25" w14:textId="77777777" w:rsidTr="00702267">
        <w:trPr>
          <w:trHeight w:val="289"/>
        </w:trPr>
        <w:tc>
          <w:tcPr>
            <w:tcW w:w="9747" w:type="dxa"/>
            <w:gridSpan w:val="3"/>
          </w:tcPr>
          <w:p w14:paraId="3954528E" w14:textId="77777777" w:rsidR="00CE4B14" w:rsidRPr="00A569D8" w:rsidRDefault="00CE4B14" w:rsidP="00CE4B14">
            <w:pPr>
              <w:pStyle w:val="TRBodyText"/>
              <w:tabs>
                <w:tab w:val="left" w:pos="567"/>
              </w:tabs>
              <w:rPr>
                <w:b/>
                <w:bCs/>
              </w:rPr>
            </w:pPr>
            <w:r w:rsidRPr="000F15EF">
              <w:rPr>
                <w:b/>
              </w:rPr>
              <w:t>Supplies to New Zealand registered businesses</w:t>
            </w:r>
          </w:p>
        </w:tc>
      </w:tr>
      <w:tr w:rsidR="00CE4B14" w14:paraId="1A35B1DC" w14:textId="77777777" w:rsidTr="00702267">
        <w:trPr>
          <w:trHeight w:val="241"/>
        </w:trPr>
        <w:tc>
          <w:tcPr>
            <w:tcW w:w="3424" w:type="dxa"/>
          </w:tcPr>
          <w:p w14:paraId="64AA6204" w14:textId="2FCD3988" w:rsidR="00CE4B14" w:rsidRPr="00B01596" w:rsidRDefault="00CE4B14" w:rsidP="00CE4B14">
            <w:pPr>
              <w:pStyle w:val="TRBodyText"/>
              <w:tabs>
                <w:tab w:val="left" w:pos="567"/>
              </w:tabs>
              <w:jc w:val="left"/>
              <w:rPr>
                <w:bCs/>
                <w:lang w:val="en-US"/>
              </w:rPr>
            </w:pPr>
            <w:r w:rsidRPr="000F15EF">
              <w:t xml:space="preserve">Submissions were sought on whether offshore suppliers should be required to return GST when they supply services and intangibles remotely to New Zealand GST-registered businesses. </w:t>
            </w:r>
          </w:p>
        </w:tc>
        <w:tc>
          <w:tcPr>
            <w:tcW w:w="3205" w:type="dxa"/>
          </w:tcPr>
          <w:p w14:paraId="777F1156" w14:textId="43106266" w:rsidR="00CE4B14" w:rsidRDefault="00CE4B14" w:rsidP="00B01596">
            <w:pPr>
              <w:pStyle w:val="TRBodyText"/>
              <w:tabs>
                <w:tab w:val="left" w:pos="567"/>
              </w:tabs>
              <w:jc w:val="left"/>
              <w:rPr>
                <w:lang w:val="en-US"/>
              </w:rPr>
            </w:pPr>
            <w:r>
              <w:t>90% of submissions supported excluding supplies to GST-registered businesses.</w:t>
            </w:r>
          </w:p>
        </w:tc>
        <w:tc>
          <w:tcPr>
            <w:tcW w:w="3118" w:type="dxa"/>
          </w:tcPr>
          <w:p w14:paraId="60C900EF" w14:textId="52353B7C" w:rsidR="00CE4B14" w:rsidRDefault="00CE4B14" w:rsidP="00355774">
            <w:pPr>
              <w:pStyle w:val="TRBodyText"/>
              <w:tabs>
                <w:tab w:val="left" w:pos="567"/>
              </w:tabs>
              <w:jc w:val="left"/>
              <w:rPr>
                <w:lang w:val="en-US"/>
              </w:rPr>
            </w:pPr>
            <w:r>
              <w:t xml:space="preserve">Supplies of remote services and intangibles to GST-registered businesses should </w:t>
            </w:r>
            <w:r w:rsidR="00355774">
              <w:t xml:space="preserve">not be subject to GST, unless the supplier and recipient agree that the supply is zero-rated. </w:t>
            </w:r>
            <w:r>
              <w:t xml:space="preserve"> </w:t>
            </w:r>
          </w:p>
        </w:tc>
      </w:tr>
      <w:tr w:rsidR="00CE4B14" w14:paraId="0A34C3DC" w14:textId="77777777" w:rsidTr="00702267">
        <w:trPr>
          <w:trHeight w:val="241"/>
        </w:trPr>
        <w:tc>
          <w:tcPr>
            <w:tcW w:w="9747" w:type="dxa"/>
            <w:gridSpan w:val="3"/>
          </w:tcPr>
          <w:p w14:paraId="18F50104" w14:textId="77777777" w:rsidR="00CE4B14" w:rsidRPr="00A569D8" w:rsidRDefault="00CE4B14" w:rsidP="00CE4B14">
            <w:pPr>
              <w:pStyle w:val="TRBodyText"/>
              <w:tabs>
                <w:tab w:val="left" w:pos="567"/>
              </w:tabs>
              <w:jc w:val="left"/>
              <w:rPr>
                <w:b/>
                <w:bCs/>
              </w:rPr>
            </w:pPr>
            <w:r w:rsidRPr="000F15EF">
              <w:rPr>
                <w:b/>
              </w:rPr>
              <w:t>Registration threshold</w:t>
            </w:r>
          </w:p>
        </w:tc>
      </w:tr>
      <w:tr w:rsidR="00CE4B14" w14:paraId="3FBAB5EE" w14:textId="77777777" w:rsidTr="00702267">
        <w:trPr>
          <w:trHeight w:val="241"/>
        </w:trPr>
        <w:tc>
          <w:tcPr>
            <w:tcW w:w="3424" w:type="dxa"/>
          </w:tcPr>
          <w:p w14:paraId="254A7463" w14:textId="77777777" w:rsidR="00CE4B14" w:rsidRPr="000F15EF" w:rsidRDefault="00CE4B14" w:rsidP="00CE4B14">
            <w:pPr>
              <w:tabs>
                <w:tab w:val="left" w:pos="567"/>
              </w:tabs>
              <w:spacing w:line="300" w:lineRule="atLeast"/>
              <w:rPr>
                <w:rFonts w:ascii="Times New Roman" w:hAnsi="Times New Roman"/>
                <w:bCs/>
                <w:sz w:val="24"/>
                <w:lang w:val="en-NZ" w:eastAsia="en-AU"/>
              </w:rPr>
            </w:pPr>
            <w:r w:rsidRPr="000F15EF">
              <w:rPr>
                <w:rFonts w:ascii="Times New Roman" w:hAnsi="Times New Roman"/>
                <w:sz w:val="24"/>
                <w:lang w:val="en-NZ" w:eastAsia="en-AU"/>
              </w:rPr>
              <w:t>The discussion document sought submissions on the level of the registration threshold, specifically whether a lower threshold (such as $10,000) or a threshold based on the domestic registration threshold ($60,000) is preferred.</w:t>
            </w:r>
          </w:p>
        </w:tc>
        <w:tc>
          <w:tcPr>
            <w:tcW w:w="3205" w:type="dxa"/>
          </w:tcPr>
          <w:p w14:paraId="5A44E368" w14:textId="5F37E41A" w:rsidR="00CE4B14" w:rsidRPr="000F15EF" w:rsidRDefault="00CE4B14" w:rsidP="00B01596">
            <w:pPr>
              <w:tabs>
                <w:tab w:val="left" w:pos="567"/>
              </w:tabs>
              <w:spacing w:after="0" w:line="300" w:lineRule="atLeast"/>
              <w:rPr>
                <w:rFonts w:ascii="Times New Roman" w:hAnsi="Times New Roman"/>
                <w:sz w:val="24"/>
              </w:rPr>
            </w:pPr>
            <w:r w:rsidRPr="000F15EF">
              <w:rPr>
                <w:rFonts w:ascii="Times New Roman" w:hAnsi="Times New Roman"/>
                <w:sz w:val="24"/>
                <w:lang w:val="en-NZ" w:eastAsia="en-AU"/>
              </w:rPr>
              <w:t xml:space="preserve">19 submissions preferred a nil threshold, 1 submission preferred a $10,000 threshold and 20 submissions preferred the </w:t>
            </w:r>
            <w:r w:rsidR="00A967AD">
              <w:rPr>
                <w:rFonts w:ascii="Times New Roman" w:hAnsi="Times New Roman"/>
                <w:sz w:val="24"/>
                <w:lang w:val="en-NZ" w:eastAsia="en-AU"/>
              </w:rPr>
              <w:t xml:space="preserve">domestic </w:t>
            </w:r>
            <w:r w:rsidRPr="000F15EF">
              <w:rPr>
                <w:rFonts w:ascii="Times New Roman" w:hAnsi="Times New Roman"/>
                <w:sz w:val="24"/>
                <w:lang w:val="en-NZ" w:eastAsia="en-AU"/>
              </w:rPr>
              <w:t>registration threshold of $60,000 or higher. 9 submissions considered that the threshold should not count supplies to GST-registered businesses.</w:t>
            </w:r>
          </w:p>
        </w:tc>
        <w:tc>
          <w:tcPr>
            <w:tcW w:w="3118" w:type="dxa"/>
          </w:tcPr>
          <w:p w14:paraId="44E27BF8" w14:textId="7778C563" w:rsidR="00CE4B14" w:rsidRPr="00BD28E6" w:rsidRDefault="00CE4B14" w:rsidP="00355774">
            <w:pPr>
              <w:tabs>
                <w:tab w:val="left" w:pos="567"/>
              </w:tabs>
              <w:spacing w:line="300" w:lineRule="atLeast"/>
              <w:rPr>
                <w:rFonts w:ascii="Times New Roman" w:hAnsi="Times New Roman"/>
                <w:sz w:val="24"/>
              </w:rPr>
            </w:pPr>
            <w:r w:rsidRPr="000F15EF">
              <w:rPr>
                <w:rFonts w:ascii="Times New Roman" w:hAnsi="Times New Roman"/>
                <w:sz w:val="24"/>
              </w:rPr>
              <w:t>Offshore suppliers should be required to register when their</w:t>
            </w:r>
            <w:r w:rsidR="00355774">
              <w:rPr>
                <w:rFonts w:ascii="Times New Roman" w:hAnsi="Times New Roman"/>
                <w:sz w:val="24"/>
              </w:rPr>
              <w:t xml:space="preserve"> total</w:t>
            </w:r>
            <w:r w:rsidRPr="000F15EF">
              <w:rPr>
                <w:rFonts w:ascii="Times New Roman" w:hAnsi="Times New Roman"/>
                <w:sz w:val="24"/>
              </w:rPr>
              <w:t xml:space="preserve"> supplies of remote services and intangibles to New Zealand residents exceed $60,000</w:t>
            </w:r>
            <w:r w:rsidR="00355774">
              <w:rPr>
                <w:rFonts w:ascii="Times New Roman" w:hAnsi="Times New Roman"/>
                <w:sz w:val="24"/>
              </w:rPr>
              <w:t>.</w:t>
            </w:r>
            <w:r w:rsidR="00BD28E6" w:rsidRPr="00BD28E6">
              <w:rPr>
                <w:rFonts w:ascii="Times New Roman" w:hAnsi="Times New Roman"/>
                <w:sz w:val="24"/>
                <w:szCs w:val="24"/>
                <w:lang w:val="en-US" w:eastAsia="en-US"/>
              </w:rPr>
              <w:t xml:space="preserve"> </w:t>
            </w:r>
          </w:p>
        </w:tc>
      </w:tr>
      <w:tr w:rsidR="00CE4B14" w14:paraId="56774E8B" w14:textId="77777777" w:rsidTr="00702267">
        <w:trPr>
          <w:trHeight w:val="241"/>
        </w:trPr>
        <w:tc>
          <w:tcPr>
            <w:tcW w:w="9747" w:type="dxa"/>
            <w:gridSpan w:val="3"/>
          </w:tcPr>
          <w:p w14:paraId="46701F8D" w14:textId="77777777" w:rsidR="00CE4B14" w:rsidRPr="00A569D8" w:rsidRDefault="00CE4B14" w:rsidP="00CE4B14">
            <w:pPr>
              <w:pStyle w:val="TRBodyText"/>
              <w:tabs>
                <w:tab w:val="left" w:pos="567"/>
              </w:tabs>
              <w:jc w:val="left"/>
              <w:rPr>
                <w:b/>
                <w:bCs/>
              </w:rPr>
            </w:pPr>
            <w:r w:rsidRPr="000F15EF">
              <w:rPr>
                <w:b/>
              </w:rPr>
              <w:t>Identifying whether a customer is resident in New Zealand</w:t>
            </w:r>
          </w:p>
        </w:tc>
      </w:tr>
      <w:tr w:rsidR="00CE4B14" w14:paraId="440D19A9" w14:textId="77777777" w:rsidTr="00702267">
        <w:trPr>
          <w:trHeight w:val="241"/>
        </w:trPr>
        <w:tc>
          <w:tcPr>
            <w:tcW w:w="3424" w:type="dxa"/>
          </w:tcPr>
          <w:p w14:paraId="3A0D2109" w14:textId="77777777" w:rsidR="00CE4B14" w:rsidRPr="000F15EF" w:rsidRDefault="00CE4B14" w:rsidP="00CE4B14">
            <w:pPr>
              <w:pStyle w:val="TRBodyText"/>
              <w:tabs>
                <w:tab w:val="left" w:pos="567"/>
              </w:tabs>
              <w:jc w:val="left"/>
              <w:rPr>
                <w:bCs/>
                <w:lang w:val="en-US"/>
              </w:rPr>
            </w:pPr>
            <w:r w:rsidRPr="000F15EF">
              <w:t>The discussion document compared the European Union (EU) rules, where an offshore supplier is required to determine place of residence based on two non-conflicting pieces of evidence, with the proposed Australia rules, which require ‘reasonable steps’ to be taken.</w:t>
            </w:r>
          </w:p>
          <w:p w14:paraId="24B91762" w14:textId="77777777" w:rsidR="00CE4B14" w:rsidRPr="009156D4" w:rsidRDefault="00CE4B14" w:rsidP="00CE4B14">
            <w:pPr>
              <w:pStyle w:val="TRBodyText"/>
              <w:tabs>
                <w:tab w:val="left" w:pos="567"/>
              </w:tabs>
              <w:jc w:val="left"/>
              <w:rPr>
                <w:b/>
                <w:bCs/>
                <w:lang w:val="en-US"/>
              </w:rPr>
            </w:pPr>
          </w:p>
        </w:tc>
        <w:tc>
          <w:tcPr>
            <w:tcW w:w="3205" w:type="dxa"/>
          </w:tcPr>
          <w:p w14:paraId="6BC2DE85" w14:textId="0241898C" w:rsidR="00CE4B14" w:rsidRDefault="00CE4B14" w:rsidP="00CE4B14">
            <w:pPr>
              <w:pStyle w:val="TRBodyText"/>
              <w:tabs>
                <w:tab w:val="left" w:pos="567"/>
              </w:tabs>
              <w:jc w:val="left"/>
              <w:rPr>
                <w:lang w:val="en-US"/>
              </w:rPr>
            </w:pPr>
            <w:r>
              <w:t>Offshore suppliers expressed a preference for rules that provide certainty and use commercially available information, including the EU rules. Submissions requested extra flexibility where two non-conflicting pieces of information are not available.</w:t>
            </w:r>
          </w:p>
          <w:p w14:paraId="2DDF7EF1" w14:textId="77777777" w:rsidR="00CE4B14" w:rsidRPr="009156D4" w:rsidRDefault="00CE4B14" w:rsidP="00CE4B14">
            <w:pPr>
              <w:pStyle w:val="TRBodyText"/>
              <w:tabs>
                <w:tab w:val="left" w:pos="567"/>
              </w:tabs>
              <w:jc w:val="left"/>
              <w:rPr>
                <w:lang w:val="en-US"/>
              </w:rPr>
            </w:pPr>
          </w:p>
        </w:tc>
        <w:tc>
          <w:tcPr>
            <w:tcW w:w="3118" w:type="dxa"/>
          </w:tcPr>
          <w:p w14:paraId="7215A94E" w14:textId="029E7124" w:rsidR="00CE4B14" w:rsidRPr="009156D4" w:rsidRDefault="00CE4B14" w:rsidP="001D4288">
            <w:pPr>
              <w:pStyle w:val="TRBodyText"/>
              <w:tabs>
                <w:tab w:val="left" w:pos="567"/>
              </w:tabs>
              <w:jc w:val="left"/>
              <w:rPr>
                <w:lang w:val="en-US"/>
              </w:rPr>
            </w:pPr>
            <w:r>
              <w:t>It is proposed that offshore suppliers be able to determine whether a customer is a New Zealand resident based on two non-conflicting pieces of evidence</w:t>
            </w:r>
            <w:r w:rsidR="00BD28E6">
              <w:t>. The Commissioner of I</w:t>
            </w:r>
            <w:r w:rsidR="001D4288">
              <w:t xml:space="preserve">nland </w:t>
            </w:r>
            <w:r w:rsidR="00BD28E6">
              <w:t>R</w:t>
            </w:r>
            <w:r w:rsidR="001D4288">
              <w:t>evenue</w:t>
            </w:r>
            <w:r w:rsidR="00BD28E6">
              <w:t xml:space="preserve"> would also be able to prescribe an alternative method, in cases where two pieces of non-conflicting evidence are not commercially available. </w:t>
            </w:r>
          </w:p>
        </w:tc>
      </w:tr>
      <w:tr w:rsidR="00380430" w14:paraId="636528BC" w14:textId="77777777" w:rsidTr="00702267">
        <w:trPr>
          <w:trHeight w:val="241"/>
        </w:trPr>
        <w:tc>
          <w:tcPr>
            <w:tcW w:w="9747" w:type="dxa"/>
            <w:gridSpan w:val="3"/>
          </w:tcPr>
          <w:p w14:paraId="19EAE523" w14:textId="1C13B6C6" w:rsidR="00380430" w:rsidRPr="000F15EF" w:rsidRDefault="00380430" w:rsidP="00CE4B14">
            <w:pPr>
              <w:pStyle w:val="TRBodyText"/>
              <w:tabs>
                <w:tab w:val="left" w:pos="567"/>
              </w:tabs>
              <w:jc w:val="left"/>
              <w:rPr>
                <w:b/>
              </w:rPr>
            </w:pPr>
            <w:r w:rsidRPr="000F15EF">
              <w:rPr>
                <w:b/>
              </w:rPr>
              <w:t>New Zealand GST-registered businesses inadvertently charged GST</w:t>
            </w:r>
          </w:p>
        </w:tc>
      </w:tr>
      <w:tr w:rsidR="00380430" w14:paraId="11124BCF" w14:textId="77777777" w:rsidTr="00702267">
        <w:trPr>
          <w:trHeight w:val="241"/>
        </w:trPr>
        <w:tc>
          <w:tcPr>
            <w:tcW w:w="3424" w:type="dxa"/>
          </w:tcPr>
          <w:p w14:paraId="05F2FBE0" w14:textId="77777777" w:rsidR="00380430" w:rsidRPr="000F15EF" w:rsidRDefault="00380430" w:rsidP="00380430">
            <w:pPr>
              <w:pStyle w:val="TRBodyText"/>
              <w:tabs>
                <w:tab w:val="left" w:pos="567"/>
              </w:tabs>
              <w:rPr>
                <w:bCs/>
                <w:lang w:val="en-US"/>
              </w:rPr>
            </w:pPr>
            <w:r w:rsidRPr="000F15EF">
              <w:t xml:space="preserve">If a GST-registered business is inadvertently charged GST, the business would be required to seek a refund from them, rather than claim a deduction in their GST return. </w:t>
            </w:r>
          </w:p>
          <w:p w14:paraId="6013008B" w14:textId="77777777" w:rsidR="00380430" w:rsidRPr="001A42DF" w:rsidRDefault="00380430" w:rsidP="00CE4B14">
            <w:pPr>
              <w:pStyle w:val="TRBodyText"/>
              <w:tabs>
                <w:tab w:val="left" w:pos="567"/>
              </w:tabs>
              <w:jc w:val="left"/>
            </w:pPr>
          </w:p>
        </w:tc>
        <w:tc>
          <w:tcPr>
            <w:tcW w:w="3205" w:type="dxa"/>
          </w:tcPr>
          <w:p w14:paraId="5408B17B" w14:textId="63A903E1" w:rsidR="00380430" w:rsidRDefault="00380430" w:rsidP="006030CB">
            <w:pPr>
              <w:pStyle w:val="TRBodyText"/>
              <w:tabs>
                <w:tab w:val="left" w:pos="567"/>
              </w:tabs>
              <w:jc w:val="left"/>
            </w:pPr>
            <w:r>
              <w:t>4 submissions supported this proposal</w:t>
            </w:r>
            <w:r w:rsidR="00A967AD">
              <w:t xml:space="preserve">, </w:t>
            </w:r>
            <w:r>
              <w:t xml:space="preserve">6 submissions </w:t>
            </w:r>
            <w:r w:rsidRPr="005271A8">
              <w:t>argued that if a registered business is incorrectly charged GST, they should be entitled to claim an input tax deduction in their GST return.</w:t>
            </w:r>
          </w:p>
        </w:tc>
        <w:tc>
          <w:tcPr>
            <w:tcW w:w="3118" w:type="dxa"/>
          </w:tcPr>
          <w:p w14:paraId="6C8DA57B" w14:textId="28D3B232" w:rsidR="00A13A96" w:rsidRDefault="00380430" w:rsidP="00622496">
            <w:pPr>
              <w:pStyle w:val="TRBodyText"/>
              <w:tabs>
                <w:tab w:val="left" w:pos="567"/>
              </w:tabs>
              <w:jc w:val="left"/>
            </w:pPr>
            <w:r>
              <w:t>If a GST-registered business is inadvertently charged GST, they should seek a refund</w:t>
            </w:r>
            <w:r w:rsidR="00A967AD">
              <w:t xml:space="preserve"> from the supplier</w:t>
            </w:r>
            <w:r>
              <w:t xml:space="preserve">. If the value of the supply is less than $1,000, the offshore supplier could </w:t>
            </w:r>
            <w:r w:rsidR="00A967AD">
              <w:t xml:space="preserve">instead </w:t>
            </w:r>
            <w:r>
              <w:t xml:space="preserve">provide a tax invoice </w:t>
            </w:r>
            <w:r w:rsidR="00A967AD">
              <w:t xml:space="preserve">which would allow the GST-registered purchaser to </w:t>
            </w:r>
            <w:r>
              <w:t xml:space="preserve">claim </w:t>
            </w:r>
            <w:r w:rsidR="00A967AD">
              <w:t>back the GST in their normal GST return</w:t>
            </w:r>
            <w:r>
              <w:t>.</w:t>
            </w:r>
          </w:p>
        </w:tc>
      </w:tr>
    </w:tbl>
    <w:p w14:paraId="429696A2" w14:textId="77777777" w:rsidR="00C13664" w:rsidRDefault="00C13664" w:rsidP="000F15EF">
      <w:pPr>
        <w:pStyle w:val="Bullet-list"/>
        <w:spacing w:after="0" w:line="240" w:lineRule="auto"/>
        <w:ind w:left="0" w:firstLine="0"/>
        <w:jc w:val="both"/>
        <w:rPr>
          <w:rFonts w:ascii="Times New Roman" w:hAnsi="Times New Roman"/>
          <w:sz w:val="24"/>
          <w:szCs w:val="24"/>
        </w:rPr>
      </w:pPr>
    </w:p>
    <w:p w14:paraId="52B36E87" w14:textId="2D8AD275" w:rsidR="00BD28E6" w:rsidRPr="0062327A" w:rsidRDefault="00BD28E6" w:rsidP="00853DD4">
      <w:pPr>
        <w:pStyle w:val="Bullet-list"/>
        <w:numPr>
          <w:ilvl w:val="0"/>
          <w:numId w:val="3"/>
        </w:numPr>
        <w:tabs>
          <w:tab w:val="clear" w:pos="720"/>
          <w:tab w:val="num" w:pos="567"/>
        </w:tabs>
        <w:spacing w:after="0" w:line="240" w:lineRule="auto"/>
        <w:ind w:left="0" w:firstLine="0"/>
        <w:jc w:val="both"/>
      </w:pPr>
      <w:r w:rsidRPr="00853DD4">
        <w:rPr>
          <w:rFonts w:ascii="Times New Roman" w:hAnsi="Times New Roman"/>
          <w:sz w:val="24"/>
          <w:szCs w:val="24"/>
        </w:rPr>
        <w:t xml:space="preserve">A strong theme was the importance of minimising compliance costs for offshore suppliers, to maximise compliance and reduce the risk that the rules could restrict the supply of services and intangibles to New Zealand. This risk has been mitigated by designing the rules to make it as easy as possible for offshore suppliers to comply, which will be complemented by simplified registration and return processes. In addition, the registration threshold would prevent many small suppliers from being required to register under the rules. </w:t>
      </w:r>
    </w:p>
    <w:p w14:paraId="3744E005" w14:textId="77777777" w:rsidR="00BD28E6" w:rsidRDefault="00BD28E6" w:rsidP="000F15EF">
      <w:pPr>
        <w:pStyle w:val="Bullet-list"/>
        <w:spacing w:after="0" w:line="240" w:lineRule="auto"/>
        <w:ind w:left="0" w:firstLine="0"/>
        <w:jc w:val="both"/>
        <w:rPr>
          <w:rFonts w:ascii="Times New Roman" w:hAnsi="Times New Roman"/>
          <w:sz w:val="24"/>
          <w:szCs w:val="24"/>
        </w:rPr>
      </w:pPr>
    </w:p>
    <w:p w14:paraId="77A66AED" w14:textId="21539D79" w:rsidR="006030CB" w:rsidRDefault="006030CB" w:rsidP="0097279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97279A">
        <w:rPr>
          <w:rFonts w:ascii="Times New Roman" w:hAnsi="Times New Roman"/>
          <w:sz w:val="24"/>
          <w:szCs w:val="24"/>
        </w:rPr>
        <w:t xml:space="preserve">In response to submissions, several legislative requirements would be relaxed to </w:t>
      </w:r>
      <w:r w:rsidR="00BD28E6">
        <w:rPr>
          <w:rFonts w:ascii="Times New Roman" w:hAnsi="Times New Roman"/>
          <w:sz w:val="24"/>
          <w:szCs w:val="24"/>
        </w:rPr>
        <w:t xml:space="preserve">further </w:t>
      </w:r>
      <w:r w:rsidRPr="0097279A">
        <w:rPr>
          <w:rFonts w:ascii="Times New Roman" w:hAnsi="Times New Roman"/>
          <w:sz w:val="24"/>
          <w:szCs w:val="24"/>
        </w:rPr>
        <w:t>reduce compliance costs for offshore suppliers, who would:</w:t>
      </w:r>
    </w:p>
    <w:p w14:paraId="74396BEE" w14:textId="77777777" w:rsidR="00702267" w:rsidRPr="0097279A" w:rsidRDefault="00702267" w:rsidP="00702267">
      <w:pPr>
        <w:pStyle w:val="Bullet-list"/>
        <w:spacing w:after="0" w:line="240" w:lineRule="auto"/>
        <w:ind w:left="0" w:firstLine="0"/>
        <w:jc w:val="both"/>
        <w:rPr>
          <w:rFonts w:ascii="Times New Roman" w:hAnsi="Times New Roman"/>
          <w:sz w:val="24"/>
          <w:szCs w:val="24"/>
        </w:rPr>
      </w:pPr>
    </w:p>
    <w:p w14:paraId="4660F584" w14:textId="77777777" w:rsidR="006030CB" w:rsidRDefault="006030CB" w:rsidP="006030CB">
      <w:pPr>
        <w:pStyle w:val="Numberparagraph"/>
        <w:numPr>
          <w:ilvl w:val="0"/>
          <w:numId w:val="21"/>
        </w:numPr>
      </w:pPr>
      <w:r>
        <w:t>not be required to issue tax invoices, as supplies of GST-registered businesses would not be subject to GST at the 15% rate;</w:t>
      </w:r>
    </w:p>
    <w:p w14:paraId="10B7A6B1" w14:textId="77777777" w:rsidR="006030CB" w:rsidRDefault="006030CB" w:rsidP="006030CB">
      <w:pPr>
        <w:pStyle w:val="Numberparagraph"/>
        <w:numPr>
          <w:ilvl w:val="0"/>
          <w:numId w:val="21"/>
        </w:numPr>
      </w:pPr>
      <w:r>
        <w:t>generally be able to make adjustments in their GST return to take into account refunds of inadvertently charged GST to GST-registered business customers, within two years of the original supply; and</w:t>
      </w:r>
    </w:p>
    <w:p w14:paraId="708290B1" w14:textId="77777777" w:rsidR="006030CB" w:rsidRPr="0097279A" w:rsidRDefault="006030CB" w:rsidP="006030CB">
      <w:pPr>
        <w:pStyle w:val="ListParagraph"/>
        <w:numPr>
          <w:ilvl w:val="0"/>
          <w:numId w:val="21"/>
        </w:numPr>
        <w:jc w:val="left"/>
        <w:rPr>
          <w:rFonts w:ascii="Times New Roman" w:hAnsi="Times New Roman"/>
          <w:sz w:val="24"/>
          <w:szCs w:val="24"/>
          <w:lang w:eastAsia="en-AU"/>
        </w:rPr>
      </w:pPr>
      <w:proofErr w:type="gramStart"/>
      <w:r w:rsidRPr="0097279A">
        <w:rPr>
          <w:rFonts w:ascii="Times New Roman" w:hAnsi="Times New Roman"/>
          <w:sz w:val="24"/>
          <w:szCs w:val="24"/>
          <w:lang w:eastAsia="en-AU"/>
        </w:rPr>
        <w:t>have</w:t>
      </w:r>
      <w:proofErr w:type="gramEnd"/>
      <w:r w:rsidRPr="0097279A">
        <w:rPr>
          <w:rFonts w:ascii="Times New Roman" w:hAnsi="Times New Roman"/>
          <w:sz w:val="24"/>
          <w:szCs w:val="24"/>
          <w:lang w:eastAsia="en-AU"/>
        </w:rPr>
        <w:t xml:space="preserve"> an automatic exception from the requirement to keep records in New Zealand and to keep records in English.</w:t>
      </w:r>
    </w:p>
    <w:p w14:paraId="5F987AA8" w14:textId="77777777" w:rsidR="006030CB" w:rsidRDefault="006030CB" w:rsidP="000F15EF">
      <w:pPr>
        <w:pStyle w:val="Bullet-list"/>
        <w:spacing w:after="0" w:line="240" w:lineRule="auto"/>
        <w:ind w:left="0" w:firstLine="0"/>
        <w:jc w:val="both"/>
        <w:rPr>
          <w:rFonts w:ascii="Times New Roman" w:hAnsi="Times New Roman"/>
          <w:sz w:val="24"/>
          <w:szCs w:val="24"/>
        </w:rPr>
      </w:pPr>
    </w:p>
    <w:p w14:paraId="0E818258" w14:textId="535C19FC" w:rsidR="006030CB" w:rsidRPr="0097279A" w:rsidRDefault="006030CB" w:rsidP="0097279A">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97279A">
        <w:rPr>
          <w:rFonts w:ascii="Times New Roman" w:hAnsi="Times New Roman"/>
          <w:sz w:val="24"/>
          <w:szCs w:val="24"/>
        </w:rPr>
        <w:t>Recent amendments require an offshore supplier to have a fully functional New Zealand bank account in order to obtain an IRD number, in order to ensure that an offshore person is first subjected to New Zealand’s anti-money laundering and Countering Financing of Terrorism rules. Offshore suppliers should be exc</w:t>
      </w:r>
      <w:r>
        <w:rPr>
          <w:rFonts w:ascii="Times New Roman" w:hAnsi="Times New Roman"/>
          <w:sz w:val="24"/>
          <w:szCs w:val="24"/>
        </w:rPr>
        <w:t>luded</w:t>
      </w:r>
      <w:r w:rsidRPr="0097279A">
        <w:rPr>
          <w:rFonts w:ascii="Times New Roman" w:hAnsi="Times New Roman"/>
          <w:sz w:val="24"/>
          <w:szCs w:val="24"/>
        </w:rPr>
        <w:t xml:space="preserve"> from this requirement in order to reduce the compliance costs associated with registering for GST. </w:t>
      </w:r>
    </w:p>
    <w:p w14:paraId="197225FD" w14:textId="77777777" w:rsidR="006030CB" w:rsidRPr="0097279A" w:rsidRDefault="006030CB" w:rsidP="0097279A">
      <w:pPr>
        <w:pStyle w:val="Bullet-list"/>
        <w:spacing w:after="0" w:line="240" w:lineRule="auto"/>
        <w:ind w:left="0" w:firstLine="0"/>
        <w:jc w:val="both"/>
        <w:rPr>
          <w:rFonts w:ascii="Times New Roman" w:hAnsi="Times New Roman"/>
          <w:sz w:val="24"/>
          <w:szCs w:val="24"/>
        </w:rPr>
      </w:pPr>
    </w:p>
    <w:p w14:paraId="41B8A321" w14:textId="3F15F57E" w:rsidR="00BD28E6" w:rsidRPr="00BD28E6" w:rsidRDefault="006030CB" w:rsidP="00BD28E6">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97279A">
        <w:rPr>
          <w:rFonts w:ascii="Times New Roman" w:hAnsi="Times New Roman"/>
          <w:sz w:val="24"/>
          <w:szCs w:val="24"/>
        </w:rPr>
        <w:t>Currently, registered businesses are required to express amounts in New Zealand dollars at the time of supply. As offshore suppliers often charge customers in a foreign currency, this would involve significant compliance and transaction costs. Therefore, this requirement would be relaxed, allowing offshore suppliers to elect to convert amounts into NZD at the time of filing their return. A two year ‘lock-in’ rule would ensure that an offshore supplier could not gain an advantage from switching between these methods.</w:t>
      </w:r>
    </w:p>
    <w:p w14:paraId="6E24A2AC" w14:textId="77777777" w:rsidR="006030CB" w:rsidRDefault="006030CB" w:rsidP="006030CB">
      <w:pPr>
        <w:pStyle w:val="Bullet-list"/>
        <w:spacing w:after="0" w:line="240" w:lineRule="auto"/>
        <w:ind w:left="0" w:firstLine="0"/>
        <w:jc w:val="both"/>
        <w:rPr>
          <w:rFonts w:ascii="Times New Roman" w:hAnsi="Times New Roman"/>
          <w:sz w:val="24"/>
          <w:szCs w:val="24"/>
        </w:rPr>
      </w:pPr>
    </w:p>
    <w:p w14:paraId="2E3A2455" w14:textId="77777777" w:rsidR="000545DC" w:rsidRPr="004342F0" w:rsidRDefault="00D943DD" w:rsidP="004342F0">
      <w:pPr>
        <w:pStyle w:val="RISheading"/>
        <w:rPr>
          <w:spacing w:val="0"/>
          <w:w w:val="100"/>
        </w:rPr>
      </w:pPr>
      <w:r w:rsidRPr="004342F0">
        <w:rPr>
          <w:spacing w:val="0"/>
          <w:w w:val="100"/>
        </w:rPr>
        <w:t>CONCLUSIONS AND RECOMMENDATIONS</w:t>
      </w:r>
      <w:bookmarkEnd w:id="28"/>
      <w:bookmarkEnd w:id="29"/>
      <w:bookmarkEnd w:id="30"/>
      <w:bookmarkEnd w:id="31"/>
      <w:bookmarkEnd w:id="32"/>
    </w:p>
    <w:p w14:paraId="74D9AA05" w14:textId="73130BBC" w:rsidR="00AC54C1" w:rsidRDefault="00820B6F"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bookmarkStart w:id="33" w:name="_Toc244580368"/>
      <w:bookmarkStart w:id="34" w:name="_Toc244587044"/>
      <w:bookmarkStart w:id="35" w:name="_Toc244857278"/>
      <w:bookmarkStart w:id="36" w:name="_Toc244912543"/>
      <w:bookmarkStart w:id="37" w:name="_Toc244917000"/>
      <w:r w:rsidRPr="000F15EF">
        <w:rPr>
          <w:rFonts w:ascii="Times New Roman" w:hAnsi="Times New Roman"/>
          <w:sz w:val="24"/>
          <w:szCs w:val="24"/>
        </w:rPr>
        <w:t>The recommended option is to implement option one as outlined in this RIS</w:t>
      </w:r>
      <w:r w:rsidR="00AC54C1" w:rsidRPr="000F15EF">
        <w:rPr>
          <w:rFonts w:ascii="Times New Roman" w:hAnsi="Times New Roman"/>
          <w:sz w:val="24"/>
          <w:szCs w:val="24"/>
        </w:rPr>
        <w:t>, specifically</w:t>
      </w:r>
      <w:r w:rsidRPr="000F15EF">
        <w:rPr>
          <w:rFonts w:ascii="Times New Roman" w:hAnsi="Times New Roman"/>
          <w:sz w:val="24"/>
          <w:szCs w:val="24"/>
        </w:rPr>
        <w:t xml:space="preserve"> offshore suppliers</w:t>
      </w:r>
      <w:r w:rsidR="007B092F">
        <w:rPr>
          <w:rFonts w:ascii="Times New Roman" w:hAnsi="Times New Roman"/>
          <w:sz w:val="24"/>
          <w:szCs w:val="24"/>
        </w:rPr>
        <w:t xml:space="preserve"> or an offshore </w:t>
      </w:r>
      <w:r w:rsidR="00355774">
        <w:rPr>
          <w:rFonts w:ascii="Times New Roman" w:hAnsi="Times New Roman"/>
          <w:sz w:val="24"/>
          <w:szCs w:val="24"/>
        </w:rPr>
        <w:t xml:space="preserve">electronic </w:t>
      </w:r>
      <w:r w:rsidR="007B092F">
        <w:rPr>
          <w:rFonts w:ascii="Times New Roman" w:hAnsi="Times New Roman"/>
          <w:sz w:val="24"/>
          <w:szCs w:val="24"/>
        </w:rPr>
        <w:t>marketplace</w:t>
      </w:r>
      <w:r w:rsidRPr="000F15EF">
        <w:rPr>
          <w:rFonts w:ascii="Times New Roman" w:hAnsi="Times New Roman"/>
          <w:sz w:val="24"/>
          <w:szCs w:val="24"/>
        </w:rPr>
        <w:t xml:space="preserve"> would be required to register and return GST on </w:t>
      </w:r>
      <w:r w:rsidR="00A967AD">
        <w:rPr>
          <w:rFonts w:ascii="Times New Roman" w:hAnsi="Times New Roman"/>
          <w:sz w:val="24"/>
          <w:szCs w:val="24"/>
        </w:rPr>
        <w:t xml:space="preserve">remote </w:t>
      </w:r>
      <w:r w:rsidRPr="000F15EF">
        <w:rPr>
          <w:rFonts w:ascii="Times New Roman" w:hAnsi="Times New Roman"/>
          <w:sz w:val="24"/>
          <w:szCs w:val="24"/>
        </w:rPr>
        <w:t>services and intangibles supplied to New Zealand resident consumers.</w:t>
      </w:r>
      <w:r w:rsidR="00AC54C1" w:rsidRPr="000F15EF">
        <w:rPr>
          <w:rFonts w:ascii="Times New Roman" w:hAnsi="Times New Roman"/>
          <w:sz w:val="24"/>
          <w:szCs w:val="24"/>
        </w:rPr>
        <w:t xml:space="preserve"> Offshore suppliers would only be required to register if their total supplies of remote services and intangibles to New Zealand residents exceed</w:t>
      </w:r>
      <w:r w:rsidR="00A967AD">
        <w:rPr>
          <w:rFonts w:ascii="Times New Roman" w:hAnsi="Times New Roman"/>
          <w:sz w:val="24"/>
          <w:szCs w:val="24"/>
        </w:rPr>
        <w:t>ed</w:t>
      </w:r>
      <w:r w:rsidR="00AC54C1" w:rsidRPr="000F15EF">
        <w:rPr>
          <w:rFonts w:ascii="Times New Roman" w:hAnsi="Times New Roman"/>
          <w:sz w:val="24"/>
          <w:szCs w:val="24"/>
        </w:rPr>
        <w:t xml:space="preserve"> $60,000 in a 12-month period, unless the offshore supplier is only making supplies to New Zealand GST-registered businesses.</w:t>
      </w:r>
    </w:p>
    <w:p w14:paraId="3E908709" w14:textId="77777777" w:rsidR="00AC54C1" w:rsidRDefault="00AC54C1" w:rsidP="000F15EF">
      <w:pPr>
        <w:pStyle w:val="Bullet-list"/>
        <w:spacing w:after="0" w:line="240" w:lineRule="auto"/>
        <w:ind w:left="0" w:firstLine="0"/>
        <w:jc w:val="both"/>
        <w:rPr>
          <w:rFonts w:ascii="Times New Roman" w:hAnsi="Times New Roman"/>
          <w:sz w:val="24"/>
          <w:szCs w:val="24"/>
        </w:rPr>
      </w:pPr>
    </w:p>
    <w:p w14:paraId="52578C89" w14:textId="05CA3360" w:rsidR="00AC54C1" w:rsidRPr="000F15EF" w:rsidRDefault="00AC54C1"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w:t>
      </w:r>
      <w:r w:rsidRPr="000F15EF">
        <w:rPr>
          <w:rFonts w:ascii="Times New Roman" w:hAnsi="Times New Roman"/>
          <w:sz w:val="24"/>
          <w:szCs w:val="24"/>
        </w:rPr>
        <w:t xml:space="preserve">broad </w:t>
      </w:r>
      <w:r>
        <w:rPr>
          <w:rFonts w:ascii="Times New Roman" w:hAnsi="Times New Roman"/>
          <w:sz w:val="24"/>
          <w:szCs w:val="24"/>
        </w:rPr>
        <w:t>definition</w:t>
      </w:r>
      <w:r w:rsidRPr="000F15EF">
        <w:rPr>
          <w:rFonts w:ascii="Times New Roman" w:hAnsi="Times New Roman"/>
          <w:sz w:val="24"/>
          <w:szCs w:val="24"/>
        </w:rPr>
        <w:t xml:space="preserve"> </w:t>
      </w:r>
      <w:r>
        <w:rPr>
          <w:rFonts w:ascii="Times New Roman" w:hAnsi="Times New Roman"/>
          <w:sz w:val="24"/>
          <w:szCs w:val="24"/>
        </w:rPr>
        <w:t xml:space="preserve">of services </w:t>
      </w:r>
      <w:r w:rsidRPr="000F15EF">
        <w:rPr>
          <w:rFonts w:ascii="Times New Roman" w:hAnsi="Times New Roman"/>
          <w:sz w:val="24"/>
          <w:szCs w:val="24"/>
        </w:rPr>
        <w:t>would be adopted that</w:t>
      </w:r>
      <w:r>
        <w:rPr>
          <w:rFonts w:ascii="Times New Roman" w:hAnsi="Times New Roman"/>
          <w:sz w:val="24"/>
          <w:szCs w:val="24"/>
        </w:rPr>
        <w:t xml:space="preserve"> would</w:t>
      </w:r>
      <w:r w:rsidRPr="000F15EF">
        <w:rPr>
          <w:rFonts w:ascii="Times New Roman" w:hAnsi="Times New Roman"/>
          <w:sz w:val="24"/>
          <w:szCs w:val="24"/>
        </w:rPr>
        <w:t xml:space="preserve"> appl</w:t>
      </w:r>
      <w:r>
        <w:rPr>
          <w:rFonts w:ascii="Times New Roman" w:hAnsi="Times New Roman"/>
          <w:sz w:val="24"/>
          <w:szCs w:val="24"/>
        </w:rPr>
        <w:t>y</w:t>
      </w:r>
      <w:r w:rsidRPr="000F15EF">
        <w:rPr>
          <w:rFonts w:ascii="Times New Roman" w:hAnsi="Times New Roman"/>
          <w:sz w:val="24"/>
          <w:szCs w:val="24"/>
        </w:rPr>
        <w:t xml:space="preserve"> GST to all cross-border supplies of remote services and intangibles</w:t>
      </w:r>
      <w:r>
        <w:rPr>
          <w:rFonts w:ascii="Times New Roman" w:hAnsi="Times New Roman"/>
          <w:sz w:val="24"/>
          <w:szCs w:val="24"/>
        </w:rPr>
        <w:t xml:space="preserve"> (this would include digital services and more traditional services, such as legal and accounting services)</w:t>
      </w:r>
      <w:r w:rsidRPr="000F15EF">
        <w:rPr>
          <w:rFonts w:ascii="Times New Roman" w:hAnsi="Times New Roman"/>
          <w:sz w:val="24"/>
          <w:szCs w:val="24"/>
        </w:rPr>
        <w:t>.</w:t>
      </w:r>
      <w:r w:rsidRPr="000F15EF">
        <w:rPr>
          <w:rFonts w:ascii="Times New Roman" w:hAnsi="Times New Roman"/>
          <w:sz w:val="24"/>
          <w:szCs w:val="24"/>
          <w:lang w:val="en-GB"/>
        </w:rPr>
        <w:t xml:space="preserve"> </w:t>
      </w:r>
      <w:r w:rsidR="007B092F" w:rsidRPr="000F15EF">
        <w:rPr>
          <w:rFonts w:ascii="Times New Roman" w:hAnsi="Times New Roman"/>
          <w:sz w:val="24"/>
          <w:szCs w:val="24"/>
          <w:lang w:val="en-GB"/>
        </w:rPr>
        <w:t xml:space="preserve">This approach is consistent with New Zealand’s broad-based GST system. </w:t>
      </w:r>
      <w:r>
        <w:rPr>
          <w:rFonts w:ascii="Times New Roman" w:hAnsi="Times New Roman"/>
          <w:sz w:val="24"/>
          <w:szCs w:val="24"/>
          <w:lang w:val="en-GB"/>
        </w:rPr>
        <w:t>O</w:t>
      </w:r>
      <w:r w:rsidRPr="000F15EF">
        <w:rPr>
          <w:rFonts w:ascii="Times New Roman" w:hAnsi="Times New Roman"/>
          <w:sz w:val="24"/>
          <w:szCs w:val="24"/>
          <w:lang w:val="en-GB"/>
        </w:rPr>
        <w:t xml:space="preserve">ffshore suppliers </w:t>
      </w:r>
      <w:r>
        <w:rPr>
          <w:rFonts w:ascii="Times New Roman" w:hAnsi="Times New Roman"/>
          <w:sz w:val="24"/>
          <w:szCs w:val="24"/>
          <w:lang w:val="en-GB"/>
        </w:rPr>
        <w:t>would be required to</w:t>
      </w:r>
      <w:r w:rsidRPr="000F15EF">
        <w:rPr>
          <w:rFonts w:ascii="Times New Roman" w:hAnsi="Times New Roman"/>
          <w:sz w:val="24"/>
          <w:szCs w:val="24"/>
          <w:lang w:val="en-GB"/>
        </w:rPr>
        <w:t xml:space="preserve"> determine whether a customer is a New Zealand resident on the basis of two non-conflicting pieces of evidence, or to agree with the Commissioner of Inland Revenue on an alternative method</w:t>
      </w:r>
      <w:r>
        <w:rPr>
          <w:rFonts w:ascii="Times New Roman" w:hAnsi="Times New Roman"/>
          <w:sz w:val="24"/>
          <w:szCs w:val="24"/>
          <w:lang w:val="en-GB"/>
        </w:rPr>
        <w:t>.</w:t>
      </w:r>
    </w:p>
    <w:p w14:paraId="3C5E8EA2" w14:textId="77777777" w:rsidR="00AC54C1" w:rsidRPr="00355774" w:rsidRDefault="00AC54C1">
      <w:pPr>
        <w:pStyle w:val="Bullet-list"/>
        <w:spacing w:after="0" w:line="240" w:lineRule="auto"/>
        <w:ind w:left="0" w:firstLine="0"/>
        <w:jc w:val="both"/>
        <w:rPr>
          <w:rFonts w:ascii="Times New Roman" w:hAnsi="Times New Roman"/>
          <w:sz w:val="24"/>
          <w:szCs w:val="24"/>
        </w:rPr>
      </w:pPr>
    </w:p>
    <w:p w14:paraId="4D085F7B" w14:textId="23CD32EB" w:rsidR="00AC54C1" w:rsidRPr="00734E17" w:rsidRDefault="00AC54C1" w:rsidP="009C42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734E17">
        <w:rPr>
          <w:rFonts w:ascii="Times New Roman" w:hAnsi="Times New Roman"/>
          <w:sz w:val="24"/>
          <w:szCs w:val="24"/>
        </w:rPr>
        <w:t xml:space="preserve">Supplies of remote services and intangibles to GST-registered businesses </w:t>
      </w:r>
      <w:r w:rsidR="00355774" w:rsidRPr="00734E17">
        <w:rPr>
          <w:rFonts w:ascii="Times New Roman" w:hAnsi="Times New Roman"/>
          <w:sz w:val="24"/>
          <w:szCs w:val="24"/>
        </w:rPr>
        <w:t xml:space="preserve">should not be subject to GST, </w:t>
      </w:r>
      <w:r w:rsidR="00734E17" w:rsidRPr="00734E17">
        <w:rPr>
          <w:rFonts w:ascii="Times New Roman" w:hAnsi="Times New Roman"/>
          <w:sz w:val="24"/>
          <w:szCs w:val="24"/>
        </w:rPr>
        <w:t xml:space="preserve">unless the offshore supplier and GST-registered recipient agree to zero-rate the supply. </w:t>
      </w:r>
      <w:r w:rsidR="00355774" w:rsidRPr="009C42BC">
        <w:rPr>
          <w:rFonts w:ascii="Times New Roman" w:hAnsi="Times New Roman"/>
          <w:sz w:val="24"/>
          <w:szCs w:val="24"/>
        </w:rPr>
        <w:t>The option to zero-rate these supplies will allow non-resident businesses to claim back any New Zealand GST incurred in making these supplies</w:t>
      </w:r>
      <w:r w:rsidR="00734E17">
        <w:rPr>
          <w:rFonts w:ascii="Times New Roman" w:hAnsi="Times New Roman"/>
          <w:sz w:val="24"/>
          <w:szCs w:val="24"/>
        </w:rPr>
        <w:t>,</w:t>
      </w:r>
      <w:r w:rsidR="00355774" w:rsidRPr="009C42BC">
        <w:rPr>
          <w:rFonts w:ascii="Times New Roman" w:hAnsi="Times New Roman"/>
          <w:sz w:val="24"/>
          <w:szCs w:val="24"/>
        </w:rPr>
        <w:t xml:space="preserve"> which ensures GST is neutral for these businesses.</w:t>
      </w:r>
    </w:p>
    <w:p w14:paraId="24DDE59D" w14:textId="77777777" w:rsidR="00AC54C1" w:rsidRDefault="00AC54C1" w:rsidP="000F15EF">
      <w:pPr>
        <w:pStyle w:val="Bullet-list"/>
        <w:spacing w:after="0" w:line="240" w:lineRule="auto"/>
        <w:ind w:left="0" w:firstLine="0"/>
        <w:jc w:val="both"/>
        <w:rPr>
          <w:rFonts w:ascii="Times New Roman" w:hAnsi="Times New Roman"/>
          <w:sz w:val="24"/>
          <w:szCs w:val="24"/>
        </w:rPr>
      </w:pPr>
    </w:p>
    <w:p w14:paraId="06B51772" w14:textId="5B0B8CB8" w:rsidR="0030462E" w:rsidRPr="000F15EF" w:rsidRDefault="0030462E"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rPr>
        <w:t>Out of the options considered, o</w:t>
      </w:r>
      <w:r w:rsidR="00AC54C1" w:rsidRPr="000F15EF">
        <w:rPr>
          <w:rFonts w:ascii="Times New Roman" w:hAnsi="Times New Roman"/>
          <w:sz w:val="24"/>
        </w:rPr>
        <w:t xml:space="preserve">ption one best achieves the objectives and is consistent </w:t>
      </w:r>
      <w:r w:rsidR="00B956AC">
        <w:rPr>
          <w:rFonts w:ascii="Times New Roman" w:hAnsi="Times New Roman"/>
          <w:sz w:val="24"/>
        </w:rPr>
        <w:t xml:space="preserve">with draft </w:t>
      </w:r>
      <w:r w:rsidRPr="000F15EF">
        <w:rPr>
          <w:rFonts w:ascii="Times New Roman" w:hAnsi="Times New Roman"/>
          <w:sz w:val="24"/>
        </w:rPr>
        <w:t xml:space="preserve">OECD guidelines on taxing cross-border services and intangibles, as well as being consistent </w:t>
      </w:r>
      <w:r w:rsidR="00AC54C1" w:rsidRPr="000F15EF">
        <w:rPr>
          <w:rFonts w:ascii="Times New Roman" w:hAnsi="Times New Roman"/>
          <w:sz w:val="24"/>
        </w:rPr>
        <w:t xml:space="preserve">with international practice. </w:t>
      </w:r>
      <w:r w:rsidRPr="000F15EF">
        <w:rPr>
          <w:rFonts w:ascii="Times New Roman" w:hAnsi="Times New Roman"/>
          <w:sz w:val="24"/>
          <w:szCs w:val="24"/>
        </w:rPr>
        <w:t>When similar rules have been applied in other countries</w:t>
      </w:r>
      <w:r w:rsidR="00B956AC">
        <w:rPr>
          <w:rFonts w:ascii="Times New Roman" w:hAnsi="Times New Roman"/>
          <w:sz w:val="24"/>
          <w:szCs w:val="24"/>
        </w:rPr>
        <w:t xml:space="preserve"> anecdotal evidence is that</w:t>
      </w:r>
      <w:r w:rsidRPr="000F15EF">
        <w:rPr>
          <w:rFonts w:ascii="Times New Roman" w:hAnsi="Times New Roman"/>
          <w:sz w:val="24"/>
          <w:szCs w:val="24"/>
        </w:rPr>
        <w:t xml:space="preserve"> they have been relatively successful at collecting the forgone GST. </w:t>
      </w:r>
      <w:r w:rsidRPr="000F15EF">
        <w:rPr>
          <w:rFonts w:ascii="Times New Roman" w:hAnsi="Times New Roman"/>
          <w:sz w:val="24"/>
          <w:szCs w:val="24"/>
          <w:lang w:val="en-GB"/>
        </w:rPr>
        <w:t xml:space="preserve">To generate a similar level of compliance for New Zealand </w:t>
      </w:r>
      <w:r>
        <w:rPr>
          <w:rFonts w:ascii="Times New Roman" w:hAnsi="Times New Roman"/>
          <w:sz w:val="24"/>
          <w:szCs w:val="24"/>
          <w:lang w:val="en-GB"/>
        </w:rPr>
        <w:t>the recommended option</w:t>
      </w:r>
      <w:r w:rsidRPr="000F15EF">
        <w:rPr>
          <w:rFonts w:ascii="Times New Roman" w:hAnsi="Times New Roman"/>
          <w:sz w:val="24"/>
          <w:szCs w:val="24"/>
          <w:lang w:val="en-GB"/>
        </w:rPr>
        <w:t xml:space="preserve"> aim</w:t>
      </w:r>
      <w:r>
        <w:rPr>
          <w:rFonts w:ascii="Times New Roman" w:hAnsi="Times New Roman"/>
          <w:sz w:val="24"/>
          <w:szCs w:val="24"/>
          <w:lang w:val="en-GB"/>
        </w:rPr>
        <w:t>s</w:t>
      </w:r>
      <w:r w:rsidRPr="000F15EF">
        <w:rPr>
          <w:rFonts w:ascii="Times New Roman" w:hAnsi="Times New Roman"/>
          <w:sz w:val="24"/>
          <w:szCs w:val="24"/>
          <w:lang w:val="en-GB"/>
        </w:rPr>
        <w:t xml:space="preserve"> to adopt similar and consistent rules with the rules that apply in other countries</w:t>
      </w:r>
      <w:r>
        <w:rPr>
          <w:rFonts w:ascii="Times New Roman" w:hAnsi="Times New Roman"/>
          <w:sz w:val="24"/>
          <w:szCs w:val="24"/>
          <w:lang w:val="en-GB"/>
        </w:rPr>
        <w:t>.</w:t>
      </w:r>
    </w:p>
    <w:p w14:paraId="366F642B" w14:textId="77777777" w:rsidR="0030462E" w:rsidRPr="000F15EF" w:rsidRDefault="0030462E" w:rsidP="000F15EF">
      <w:pPr>
        <w:pStyle w:val="Bullet-list"/>
        <w:spacing w:after="0" w:line="240" w:lineRule="auto"/>
        <w:ind w:left="0" w:firstLine="0"/>
        <w:jc w:val="both"/>
        <w:rPr>
          <w:rFonts w:ascii="Times New Roman" w:hAnsi="Times New Roman"/>
          <w:sz w:val="24"/>
          <w:szCs w:val="24"/>
        </w:rPr>
      </w:pPr>
    </w:p>
    <w:p w14:paraId="555ED85D" w14:textId="6522484E" w:rsidR="0030462E" w:rsidRPr="000F15EF" w:rsidRDefault="0030462E" w:rsidP="000F15EF">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lang w:val="en-GB"/>
        </w:rPr>
        <w:t xml:space="preserve">Given the simplicity of </w:t>
      </w:r>
      <w:r w:rsidR="00B956AC">
        <w:rPr>
          <w:rFonts w:ascii="Times New Roman" w:hAnsi="Times New Roman"/>
          <w:sz w:val="24"/>
          <w:szCs w:val="24"/>
          <w:lang w:val="en-GB"/>
        </w:rPr>
        <w:t xml:space="preserve">the </w:t>
      </w:r>
      <w:r>
        <w:rPr>
          <w:rFonts w:ascii="Times New Roman" w:hAnsi="Times New Roman"/>
          <w:sz w:val="24"/>
          <w:szCs w:val="24"/>
          <w:lang w:val="en-GB"/>
        </w:rPr>
        <w:t>New Zealand GST system, the rules should be relatively simply to comply with compared with other countries that have different GST/VAT rates and multiple exemptions. This should further promote compliance with the rules.</w:t>
      </w:r>
    </w:p>
    <w:p w14:paraId="221D3CA6" w14:textId="77777777" w:rsidR="00C13664" w:rsidRPr="000F15EF" w:rsidRDefault="00C13664" w:rsidP="000F15EF">
      <w:pPr>
        <w:pStyle w:val="Bullet-list"/>
        <w:spacing w:after="0" w:line="240" w:lineRule="auto"/>
        <w:ind w:left="0" w:firstLine="0"/>
        <w:jc w:val="both"/>
        <w:rPr>
          <w:rFonts w:ascii="Times New Roman" w:hAnsi="Times New Roman"/>
          <w:sz w:val="24"/>
          <w:szCs w:val="24"/>
        </w:rPr>
      </w:pPr>
    </w:p>
    <w:p w14:paraId="4C084880" w14:textId="77777777" w:rsidR="000545DC" w:rsidRPr="004342F0" w:rsidRDefault="00D943DD" w:rsidP="004342F0">
      <w:pPr>
        <w:pStyle w:val="RISheading"/>
        <w:rPr>
          <w:spacing w:val="0"/>
          <w:w w:val="100"/>
        </w:rPr>
      </w:pPr>
      <w:r w:rsidRPr="004342F0">
        <w:rPr>
          <w:spacing w:val="0"/>
          <w:w w:val="100"/>
        </w:rPr>
        <w:t>IMPLEMENTATION</w:t>
      </w:r>
      <w:bookmarkEnd w:id="33"/>
      <w:bookmarkEnd w:id="34"/>
      <w:bookmarkEnd w:id="35"/>
      <w:bookmarkEnd w:id="36"/>
      <w:bookmarkEnd w:id="37"/>
      <w:r w:rsidRPr="004342F0">
        <w:rPr>
          <w:spacing w:val="0"/>
          <w:w w:val="100"/>
        </w:rPr>
        <w:t xml:space="preserve"> </w:t>
      </w:r>
    </w:p>
    <w:p w14:paraId="630798A5" w14:textId="31EF549D" w:rsidR="00621F13" w:rsidRDefault="00621F13" w:rsidP="00621F13">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Minsters</w:t>
      </w:r>
      <w:r w:rsidR="001D4288">
        <w:rPr>
          <w:rFonts w:ascii="Times New Roman" w:hAnsi="Times New Roman"/>
          <w:sz w:val="24"/>
          <w:szCs w:val="24"/>
        </w:rPr>
        <w:t>’</w:t>
      </w:r>
      <w:r>
        <w:rPr>
          <w:rFonts w:ascii="Times New Roman" w:hAnsi="Times New Roman"/>
          <w:sz w:val="24"/>
          <w:szCs w:val="24"/>
        </w:rPr>
        <w:t xml:space="preserve"> preference is to implement the rules on 1 October 2016. Considering legislation is expected to be introduced in November 2015 (and if that legislation is enacted in the first half of 2016), this timeframe should give offshore supplies around 6 months to adapt their systems to comply with the new rules. This timeframe is consistent with submissions that suggested that offshore suppliers would need </w:t>
      </w:r>
      <w:r w:rsidR="00622496">
        <w:rPr>
          <w:rFonts w:ascii="Times New Roman" w:hAnsi="Times New Roman"/>
          <w:sz w:val="24"/>
          <w:szCs w:val="24"/>
        </w:rPr>
        <w:t xml:space="preserve">at least </w:t>
      </w:r>
      <w:r>
        <w:rPr>
          <w:rFonts w:ascii="Times New Roman" w:hAnsi="Times New Roman"/>
          <w:sz w:val="24"/>
          <w:szCs w:val="24"/>
        </w:rPr>
        <w:t>6 months to adapt their systems depending upon the complexity of the rules.</w:t>
      </w:r>
      <w:r w:rsidR="005425AF">
        <w:rPr>
          <w:rFonts w:ascii="Times New Roman" w:hAnsi="Times New Roman"/>
          <w:sz w:val="24"/>
          <w:szCs w:val="24"/>
        </w:rPr>
        <w:t xml:space="preserve"> I</w:t>
      </w:r>
      <w:r w:rsidR="00E542F4">
        <w:rPr>
          <w:rFonts w:ascii="Times New Roman" w:hAnsi="Times New Roman"/>
          <w:sz w:val="24"/>
          <w:szCs w:val="24"/>
        </w:rPr>
        <w:t xml:space="preserve">f there is a delay in the enactment of the legislation there is a risk that some offshore suppliers may not </w:t>
      </w:r>
      <w:r w:rsidR="005425AF">
        <w:rPr>
          <w:rFonts w:ascii="Times New Roman" w:hAnsi="Times New Roman"/>
          <w:sz w:val="24"/>
          <w:szCs w:val="24"/>
        </w:rPr>
        <w:t>have</w:t>
      </w:r>
      <w:r w:rsidR="00E542F4">
        <w:rPr>
          <w:rFonts w:ascii="Times New Roman" w:hAnsi="Times New Roman"/>
          <w:sz w:val="24"/>
          <w:szCs w:val="24"/>
        </w:rPr>
        <w:t xml:space="preserve"> enough time to adapt their system to comply with the new rules.</w:t>
      </w:r>
    </w:p>
    <w:p w14:paraId="7DBFD004" w14:textId="77777777" w:rsidR="00380430" w:rsidRDefault="00380430" w:rsidP="00D61445">
      <w:pPr>
        <w:pStyle w:val="Bullet-list"/>
        <w:spacing w:after="0" w:line="240" w:lineRule="auto"/>
        <w:ind w:left="0" w:firstLine="0"/>
        <w:jc w:val="both"/>
        <w:rPr>
          <w:rFonts w:ascii="Times New Roman" w:hAnsi="Times New Roman"/>
          <w:sz w:val="24"/>
          <w:szCs w:val="24"/>
        </w:rPr>
      </w:pPr>
    </w:p>
    <w:p w14:paraId="01857356" w14:textId="7B1F4AB1" w:rsidR="00D61445" w:rsidRDefault="00D61445" w:rsidP="009C42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To implement the </w:t>
      </w:r>
      <w:r w:rsidR="005425AF">
        <w:rPr>
          <w:rFonts w:ascii="Times New Roman" w:hAnsi="Times New Roman"/>
          <w:sz w:val="24"/>
          <w:szCs w:val="24"/>
        </w:rPr>
        <w:t>proposals</w:t>
      </w:r>
      <w:r>
        <w:rPr>
          <w:rFonts w:ascii="Times New Roman" w:hAnsi="Times New Roman"/>
          <w:sz w:val="24"/>
          <w:szCs w:val="24"/>
        </w:rPr>
        <w:t xml:space="preserve">, Inland Revenue </w:t>
      </w:r>
      <w:r w:rsidRPr="009C42BC">
        <w:rPr>
          <w:rFonts w:ascii="Times New Roman" w:hAnsi="Times New Roman"/>
          <w:sz w:val="24"/>
          <w:szCs w:val="24"/>
        </w:rPr>
        <w:t>is</w:t>
      </w:r>
      <w:r>
        <w:rPr>
          <w:rFonts w:ascii="Times New Roman" w:hAnsi="Times New Roman"/>
          <w:sz w:val="24"/>
          <w:szCs w:val="24"/>
        </w:rPr>
        <w:t xml:space="preserve"> develop</w:t>
      </w:r>
      <w:r w:rsidRPr="009C42BC">
        <w:rPr>
          <w:rFonts w:ascii="Times New Roman" w:hAnsi="Times New Roman"/>
          <w:sz w:val="24"/>
          <w:szCs w:val="24"/>
        </w:rPr>
        <w:t>ing</w:t>
      </w:r>
      <w:r>
        <w:rPr>
          <w:rFonts w:ascii="Times New Roman" w:hAnsi="Times New Roman"/>
          <w:sz w:val="24"/>
          <w:szCs w:val="24"/>
        </w:rPr>
        <w:t xml:space="preserve"> a simplified registration system</w:t>
      </w:r>
      <w:r w:rsidRPr="009C42BC">
        <w:rPr>
          <w:rFonts w:ascii="Times New Roman" w:hAnsi="Times New Roman"/>
          <w:sz w:val="24"/>
          <w:szCs w:val="24"/>
        </w:rPr>
        <w:t xml:space="preserve"> </w:t>
      </w:r>
      <w:r>
        <w:rPr>
          <w:rFonts w:ascii="Times New Roman" w:hAnsi="Times New Roman"/>
          <w:sz w:val="24"/>
          <w:szCs w:val="24"/>
        </w:rPr>
        <w:t xml:space="preserve">that will be tailored to the requirements of offshore suppliers, informed by best practice in other countries and the recommendations in the draft OECD guidelines. </w:t>
      </w:r>
    </w:p>
    <w:p w14:paraId="77A66954" w14:textId="77777777" w:rsidR="00D61445" w:rsidRDefault="00D61445" w:rsidP="009C42BC">
      <w:pPr>
        <w:pStyle w:val="Bullet-list"/>
        <w:spacing w:after="0" w:line="240" w:lineRule="auto"/>
        <w:ind w:left="0" w:firstLine="0"/>
        <w:jc w:val="both"/>
        <w:rPr>
          <w:rFonts w:ascii="Times New Roman" w:hAnsi="Times New Roman"/>
          <w:sz w:val="24"/>
          <w:szCs w:val="24"/>
        </w:rPr>
      </w:pPr>
    </w:p>
    <w:p w14:paraId="4623B979" w14:textId="77777777" w:rsidR="00D61445" w:rsidRDefault="00D61445" w:rsidP="009C42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sidRPr="009C42BC">
        <w:rPr>
          <w:rFonts w:ascii="Times New Roman" w:hAnsi="Times New Roman"/>
          <w:sz w:val="24"/>
          <w:szCs w:val="24"/>
        </w:rPr>
        <w:t xml:space="preserve">A </w:t>
      </w:r>
      <w:r>
        <w:rPr>
          <w:rFonts w:ascii="Times New Roman" w:hAnsi="Times New Roman"/>
          <w:sz w:val="24"/>
          <w:szCs w:val="24"/>
        </w:rPr>
        <w:t xml:space="preserve">simplified </w:t>
      </w:r>
      <w:r w:rsidRPr="009C42BC">
        <w:rPr>
          <w:rFonts w:ascii="Times New Roman" w:hAnsi="Times New Roman"/>
          <w:sz w:val="24"/>
          <w:szCs w:val="24"/>
        </w:rPr>
        <w:t>‘pay only’ GST return</w:t>
      </w:r>
      <w:r>
        <w:rPr>
          <w:rFonts w:ascii="Times New Roman" w:hAnsi="Times New Roman"/>
          <w:sz w:val="24"/>
          <w:szCs w:val="24"/>
        </w:rPr>
        <w:t xml:space="preserve"> will</w:t>
      </w:r>
      <w:r w:rsidRPr="009C42BC">
        <w:rPr>
          <w:rFonts w:ascii="Times New Roman" w:hAnsi="Times New Roman"/>
          <w:sz w:val="24"/>
          <w:szCs w:val="24"/>
        </w:rPr>
        <w:t xml:space="preserve"> </w:t>
      </w:r>
      <w:r>
        <w:rPr>
          <w:rFonts w:ascii="Times New Roman" w:hAnsi="Times New Roman"/>
          <w:sz w:val="24"/>
          <w:szCs w:val="24"/>
        </w:rPr>
        <w:t>be developed as part of Inland Revenue’s Business Transformation Programme. Th</w:t>
      </w:r>
      <w:r w:rsidRPr="009C42BC">
        <w:rPr>
          <w:rFonts w:ascii="Times New Roman" w:hAnsi="Times New Roman"/>
          <w:sz w:val="24"/>
          <w:szCs w:val="24"/>
        </w:rPr>
        <w:t>e</w:t>
      </w:r>
      <w:r>
        <w:rPr>
          <w:rFonts w:ascii="Times New Roman" w:hAnsi="Times New Roman"/>
          <w:sz w:val="24"/>
          <w:szCs w:val="24"/>
        </w:rPr>
        <w:t xml:space="preserve"> system </w:t>
      </w:r>
      <w:r w:rsidRPr="009C42BC">
        <w:rPr>
          <w:rFonts w:ascii="Times New Roman" w:hAnsi="Times New Roman"/>
          <w:sz w:val="24"/>
          <w:szCs w:val="24"/>
        </w:rPr>
        <w:t>for processing GST returns</w:t>
      </w:r>
      <w:r>
        <w:rPr>
          <w:rFonts w:ascii="Times New Roman" w:hAnsi="Times New Roman"/>
          <w:sz w:val="24"/>
          <w:szCs w:val="24"/>
        </w:rPr>
        <w:t xml:space="preserve"> is scheduled to be replaced with </w:t>
      </w:r>
      <w:r w:rsidRPr="009C42BC">
        <w:rPr>
          <w:rFonts w:ascii="Times New Roman" w:hAnsi="Times New Roman"/>
          <w:sz w:val="24"/>
          <w:szCs w:val="24"/>
        </w:rPr>
        <w:t>a</w:t>
      </w:r>
      <w:r>
        <w:rPr>
          <w:rFonts w:ascii="Times New Roman" w:hAnsi="Times New Roman"/>
          <w:sz w:val="24"/>
          <w:szCs w:val="24"/>
        </w:rPr>
        <w:t xml:space="preserve"> new system</w:t>
      </w:r>
      <w:r w:rsidRPr="009C42BC">
        <w:rPr>
          <w:rFonts w:ascii="Times New Roman" w:hAnsi="Times New Roman"/>
          <w:sz w:val="24"/>
          <w:szCs w:val="24"/>
        </w:rPr>
        <w:t xml:space="preserve"> </w:t>
      </w:r>
      <w:r>
        <w:rPr>
          <w:rFonts w:ascii="Times New Roman" w:hAnsi="Times New Roman"/>
          <w:sz w:val="24"/>
          <w:szCs w:val="24"/>
        </w:rPr>
        <w:t xml:space="preserve">during the first quarter of 2017. Therefore, it is proposed that offshore suppliers could initially begin with a default six-monthly taxable period, running from 1 October 2016 to 31 March 2017. This would mean the first return offshore suppliers will file </w:t>
      </w:r>
      <w:r w:rsidRPr="009C42BC">
        <w:rPr>
          <w:rFonts w:ascii="Times New Roman" w:hAnsi="Times New Roman"/>
          <w:sz w:val="24"/>
          <w:szCs w:val="24"/>
        </w:rPr>
        <w:t xml:space="preserve">will use the simplified ‘pay only’ GST return. </w:t>
      </w:r>
    </w:p>
    <w:p w14:paraId="638F22DC" w14:textId="77777777" w:rsidR="00D61445" w:rsidRDefault="00D61445" w:rsidP="009C42BC">
      <w:pPr>
        <w:pStyle w:val="Bullet-list"/>
        <w:spacing w:after="0" w:line="240" w:lineRule="auto"/>
        <w:ind w:left="0" w:firstLine="0"/>
        <w:jc w:val="both"/>
        <w:rPr>
          <w:rFonts w:ascii="Times New Roman" w:hAnsi="Times New Roman"/>
          <w:sz w:val="24"/>
          <w:szCs w:val="24"/>
        </w:rPr>
      </w:pPr>
    </w:p>
    <w:p w14:paraId="05392BD7" w14:textId="736FD285" w:rsidR="00D61445" w:rsidRDefault="00D61445" w:rsidP="009C42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 default six-monthly taxable period would also provide a ‘soft start’ to the new rules, for example</w:t>
      </w:r>
      <w:r w:rsidR="00B27AE0">
        <w:rPr>
          <w:rFonts w:ascii="Times New Roman" w:hAnsi="Times New Roman"/>
          <w:sz w:val="24"/>
          <w:szCs w:val="24"/>
        </w:rPr>
        <w:t>,</w:t>
      </w:r>
      <w:r>
        <w:rPr>
          <w:rFonts w:ascii="Times New Roman" w:hAnsi="Times New Roman"/>
          <w:sz w:val="24"/>
          <w:szCs w:val="24"/>
        </w:rPr>
        <w:t xml:space="preserve"> if an offshore supplier is late to register for GST, they would be able to backdate their registration to 1 October 2016 for up to six months without interest or penalties. During this interim period, two-monthly filing could also be allowed as an option as otherwise offshore suppliers may face foreign exchange risk during the </w:t>
      </w:r>
      <w:r w:rsidRPr="009C42BC">
        <w:rPr>
          <w:rFonts w:ascii="Times New Roman" w:hAnsi="Times New Roman"/>
          <w:sz w:val="24"/>
          <w:szCs w:val="24"/>
        </w:rPr>
        <w:t xml:space="preserve">longer </w:t>
      </w:r>
      <w:r>
        <w:rPr>
          <w:rFonts w:ascii="Times New Roman" w:hAnsi="Times New Roman"/>
          <w:sz w:val="24"/>
          <w:szCs w:val="24"/>
        </w:rPr>
        <w:t>6-month period.</w:t>
      </w:r>
    </w:p>
    <w:p w14:paraId="7D538961" w14:textId="77777777" w:rsidR="00D61445" w:rsidRDefault="00D61445" w:rsidP="009C42BC">
      <w:pPr>
        <w:pStyle w:val="Bullet-list"/>
        <w:spacing w:after="0" w:line="240" w:lineRule="auto"/>
        <w:ind w:left="0" w:firstLine="0"/>
        <w:jc w:val="both"/>
        <w:rPr>
          <w:rFonts w:ascii="Times New Roman" w:hAnsi="Times New Roman"/>
          <w:sz w:val="24"/>
          <w:szCs w:val="24"/>
        </w:rPr>
      </w:pPr>
    </w:p>
    <w:p w14:paraId="08CA49E0" w14:textId="77777777" w:rsidR="00D61445" w:rsidRDefault="00D61445" w:rsidP="009C42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From 1 April 2017, offshore suppliers would file quarterly. This is intended to reduce compliance costs for offshore suppliers as quarterly filing periods align with filing requirements for equivalent rules in other jurisdictions.</w:t>
      </w:r>
    </w:p>
    <w:p w14:paraId="5380BE9C" w14:textId="77777777" w:rsidR="00D61445" w:rsidRDefault="00D61445" w:rsidP="009C42BC">
      <w:pPr>
        <w:pStyle w:val="Bullet-list"/>
        <w:spacing w:after="0" w:line="240" w:lineRule="auto"/>
        <w:ind w:left="0" w:firstLine="0"/>
        <w:jc w:val="both"/>
        <w:rPr>
          <w:rFonts w:ascii="Times New Roman" w:hAnsi="Times New Roman"/>
          <w:sz w:val="24"/>
          <w:szCs w:val="24"/>
        </w:rPr>
      </w:pPr>
    </w:p>
    <w:p w14:paraId="0D1D5545" w14:textId="77777777" w:rsidR="00D61445" w:rsidRDefault="00D61445" w:rsidP="009C42BC">
      <w:pPr>
        <w:pStyle w:val="Bullet-list"/>
        <w:numPr>
          <w:ilvl w:val="0"/>
          <w:numId w:val="3"/>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Compliance costs can be further minimised by releasing clear and helpful guidance as to the operation of the new rules. Inland Revenue resources will be allocated to develop and provide tailored educational material that will be easily accessible to offshore suppliers. </w:t>
      </w:r>
    </w:p>
    <w:p w14:paraId="32F27E08" w14:textId="1BD9CEC7" w:rsidR="00E93E81" w:rsidRPr="004342F0" w:rsidRDefault="00D943DD" w:rsidP="004342F0">
      <w:pPr>
        <w:pStyle w:val="RISheading"/>
        <w:rPr>
          <w:spacing w:val="0"/>
          <w:w w:val="100"/>
        </w:rPr>
      </w:pPr>
      <w:bookmarkStart w:id="38" w:name="_Toc244580369"/>
      <w:bookmarkStart w:id="39" w:name="_Toc244587045"/>
      <w:bookmarkStart w:id="40" w:name="_Toc244857279"/>
      <w:bookmarkStart w:id="41" w:name="_Toc244912544"/>
      <w:bookmarkStart w:id="42" w:name="_Toc244917001"/>
      <w:r w:rsidRPr="004342F0">
        <w:rPr>
          <w:spacing w:val="0"/>
          <w:w w:val="100"/>
        </w:rPr>
        <w:t>MONITORING, EVALUATION AND REVIEW</w:t>
      </w:r>
      <w:bookmarkEnd w:id="38"/>
      <w:bookmarkEnd w:id="39"/>
      <w:bookmarkEnd w:id="40"/>
      <w:bookmarkEnd w:id="41"/>
      <w:bookmarkEnd w:id="42"/>
    </w:p>
    <w:p w14:paraId="093E20A4" w14:textId="77777777" w:rsidR="0049354C" w:rsidRPr="00E93E81" w:rsidRDefault="0049354C" w:rsidP="0049354C">
      <w:pPr>
        <w:pStyle w:val="Bullet-list"/>
        <w:numPr>
          <w:ilvl w:val="0"/>
          <w:numId w:val="3"/>
        </w:numPr>
        <w:tabs>
          <w:tab w:val="clear" w:pos="720"/>
          <w:tab w:val="num" w:pos="360"/>
          <w:tab w:val="num" w:pos="567"/>
          <w:tab w:val="num" w:pos="644"/>
        </w:tabs>
        <w:spacing w:after="0" w:line="240" w:lineRule="auto"/>
        <w:ind w:left="0" w:firstLine="0"/>
        <w:jc w:val="both"/>
        <w:rPr>
          <w:rFonts w:ascii="Times New Roman" w:hAnsi="Times New Roman"/>
          <w:sz w:val="24"/>
          <w:szCs w:val="24"/>
        </w:rPr>
      </w:pPr>
      <w:r w:rsidRPr="00E93E81">
        <w:rPr>
          <w:rFonts w:ascii="Times New Roman" w:hAnsi="Times New Roman"/>
          <w:sz w:val="24"/>
          <w:szCs w:val="24"/>
        </w:rPr>
        <w:t>Inland Revenue will monitor the outcomes pursuant to the Generic Tax Policy Process ("GTTP") to confirm that they match the policy objectives. The GTPP is a multi-stage policy process that has been used to design tax policy in New Zealand since 1995.</w:t>
      </w:r>
    </w:p>
    <w:p w14:paraId="2F76E734" w14:textId="77777777" w:rsidR="0049354C" w:rsidRPr="00E93E81" w:rsidRDefault="0049354C" w:rsidP="0049354C">
      <w:pPr>
        <w:pStyle w:val="Bullet-list"/>
        <w:tabs>
          <w:tab w:val="num" w:pos="567"/>
        </w:tabs>
        <w:spacing w:after="0" w:line="240" w:lineRule="auto"/>
        <w:ind w:left="0" w:firstLine="0"/>
        <w:jc w:val="both"/>
        <w:rPr>
          <w:rFonts w:ascii="Times New Roman" w:hAnsi="Times New Roman"/>
          <w:sz w:val="24"/>
          <w:szCs w:val="24"/>
        </w:rPr>
      </w:pPr>
    </w:p>
    <w:p w14:paraId="68C420A5" w14:textId="2AC59C51" w:rsidR="0049354C" w:rsidRDefault="0049354C" w:rsidP="0049354C">
      <w:pPr>
        <w:pStyle w:val="Bullet-list"/>
        <w:numPr>
          <w:ilvl w:val="0"/>
          <w:numId w:val="3"/>
        </w:numPr>
        <w:tabs>
          <w:tab w:val="clear" w:pos="720"/>
          <w:tab w:val="num" w:pos="360"/>
          <w:tab w:val="num" w:pos="567"/>
          <w:tab w:val="num" w:pos="644"/>
        </w:tabs>
        <w:spacing w:after="0" w:line="240" w:lineRule="auto"/>
        <w:ind w:left="0" w:firstLine="0"/>
        <w:jc w:val="both"/>
        <w:rPr>
          <w:rFonts w:ascii="Times New Roman" w:hAnsi="Times New Roman"/>
          <w:sz w:val="24"/>
          <w:szCs w:val="24"/>
        </w:rPr>
      </w:pPr>
      <w:r w:rsidRPr="00E93E81">
        <w:rPr>
          <w:rFonts w:ascii="Times New Roman" w:hAnsi="Times New Roman"/>
          <w:sz w:val="24"/>
          <w:szCs w:val="24"/>
        </w:rPr>
        <w:t xml:space="preserve">The final step in the process is the implementation and review stage, which involves post-implementation review of legislation, and the identification of remedial issues. </w:t>
      </w:r>
      <w:r w:rsidR="003C22DA">
        <w:rPr>
          <w:rFonts w:ascii="Times New Roman" w:hAnsi="Times New Roman"/>
          <w:sz w:val="24"/>
          <w:szCs w:val="24"/>
        </w:rPr>
        <w:t xml:space="preserve">Post-implementation review </w:t>
      </w:r>
      <w:r w:rsidR="00B27AE0">
        <w:rPr>
          <w:rFonts w:ascii="Times New Roman" w:hAnsi="Times New Roman"/>
          <w:sz w:val="24"/>
          <w:szCs w:val="24"/>
        </w:rPr>
        <w:t xml:space="preserve">is expected to occur around 12 months after implementation. </w:t>
      </w:r>
      <w:r w:rsidRPr="00E93E81">
        <w:rPr>
          <w:rFonts w:ascii="Times New Roman" w:hAnsi="Times New Roman"/>
          <w:sz w:val="24"/>
          <w:szCs w:val="24"/>
        </w:rPr>
        <w:t>Opportunities for external consultation are built into this stage. Any necessary changes identified as a result of the review would be recommended for addition to the Government's tax policy work programme.</w:t>
      </w:r>
    </w:p>
    <w:p w14:paraId="03501D24" w14:textId="19A51B5A" w:rsidR="00594805" w:rsidRPr="00594805" w:rsidRDefault="00594805" w:rsidP="00594805">
      <w:pPr>
        <w:spacing w:after="0" w:line="240" w:lineRule="auto"/>
        <w:rPr>
          <w:rFonts w:ascii="Times New Roman" w:hAnsi="Times New Roman"/>
          <w:sz w:val="24"/>
          <w:szCs w:val="24"/>
          <w:lang w:val="en-NZ" w:eastAsia="en-AU"/>
        </w:rPr>
      </w:pPr>
    </w:p>
    <w:sectPr w:rsidR="00594805" w:rsidRPr="00594805" w:rsidSect="006474EE">
      <w:footerReference w:type="even" r:id="rId8"/>
      <w:footerReference w:type="default" r:id="rId9"/>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9189C" w14:textId="77777777" w:rsidR="00C74799" w:rsidRDefault="00C74799" w:rsidP="00F72085">
      <w:r>
        <w:separator/>
      </w:r>
    </w:p>
  </w:endnote>
  <w:endnote w:type="continuationSeparator" w:id="0">
    <w:p w14:paraId="4E898F39" w14:textId="77777777" w:rsidR="00C74799" w:rsidRDefault="00C74799"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C6A9" w14:textId="77777777" w:rsidR="00C74799" w:rsidRDefault="00C74799"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023EF53" w14:textId="77777777" w:rsidR="00C74799" w:rsidRPr="00281580" w:rsidRDefault="00C74799"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D70D" w14:textId="77777777" w:rsidR="00C74799" w:rsidRPr="00594805" w:rsidRDefault="00C74799"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941A48">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FB38" w14:textId="77777777" w:rsidR="00C74799" w:rsidRDefault="00C74799" w:rsidP="00F72085">
      <w:r>
        <w:separator/>
      </w:r>
    </w:p>
  </w:footnote>
  <w:footnote w:type="continuationSeparator" w:id="0">
    <w:p w14:paraId="31E7C569" w14:textId="77777777" w:rsidR="00C74799" w:rsidRDefault="00C74799" w:rsidP="00F72085">
      <w:r>
        <w:continuationSeparator/>
      </w:r>
    </w:p>
  </w:footnote>
  <w:footnote w:id="1">
    <w:p w14:paraId="1834390B" w14:textId="09466248" w:rsidR="00C74799" w:rsidRPr="0097279A" w:rsidRDefault="00C74799" w:rsidP="0097279A">
      <w:pPr>
        <w:pStyle w:val="FootnoteText"/>
        <w:ind w:left="0" w:firstLine="0"/>
        <w:rPr>
          <w:rFonts w:ascii="Times New Roman" w:hAnsi="Times New Roman"/>
          <w:sz w:val="20"/>
          <w:lang w:val="en-NZ"/>
        </w:rPr>
      </w:pPr>
      <w:r w:rsidRPr="0097279A">
        <w:rPr>
          <w:rStyle w:val="FootnoteReference"/>
          <w:rFonts w:ascii="Times New Roman" w:hAnsi="Times New Roman"/>
          <w:sz w:val="20"/>
        </w:rPr>
        <w:footnoteRef/>
      </w:r>
      <w:r w:rsidRPr="0097279A">
        <w:rPr>
          <w:rFonts w:ascii="Times New Roman" w:hAnsi="Times New Roman"/>
          <w:sz w:val="20"/>
        </w:rPr>
        <w:t xml:space="preserve"> </w:t>
      </w:r>
      <w:r w:rsidRPr="0097279A">
        <w:rPr>
          <w:rFonts w:ascii="Times New Roman" w:hAnsi="Times New Roman"/>
          <w:sz w:val="20"/>
          <w:lang w:val="en-NZ"/>
        </w:rPr>
        <w:t xml:space="preserve">International travel is currently zero-rated because it is a service </w:t>
      </w:r>
      <w:r>
        <w:rPr>
          <w:rFonts w:ascii="Times New Roman" w:hAnsi="Times New Roman"/>
          <w:sz w:val="20"/>
          <w:lang w:val="en-NZ"/>
        </w:rPr>
        <w:t xml:space="preserve">that is considered to be </w:t>
      </w:r>
      <w:r w:rsidRPr="0097279A">
        <w:rPr>
          <w:rFonts w:ascii="Times New Roman" w:hAnsi="Times New Roman"/>
          <w:sz w:val="20"/>
          <w:lang w:val="en-NZ"/>
        </w:rPr>
        <w:t>consumed outside of New Zealand.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70"/>
    <w:multiLevelType w:val="hybridMultilevel"/>
    <w:tmpl w:val="C69CF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635668"/>
    <w:multiLevelType w:val="hybridMultilevel"/>
    <w:tmpl w:val="457E8570"/>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Times New Roman"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Times New Roman"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Times New Roman" w:hint="default"/>
      </w:rPr>
    </w:lvl>
    <w:lvl w:ilvl="8" w:tplc="14090005">
      <w:start w:val="1"/>
      <w:numFmt w:val="bullet"/>
      <w:lvlText w:val=""/>
      <w:lvlJc w:val="left"/>
      <w:pPr>
        <w:ind w:left="6687" w:hanging="360"/>
      </w:pPr>
      <w:rPr>
        <w:rFonts w:ascii="Wingdings" w:hAnsi="Wingdings" w:hint="default"/>
      </w:rPr>
    </w:lvl>
  </w:abstractNum>
  <w:abstractNum w:abstractNumId="2">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EAC14AA"/>
    <w:multiLevelType w:val="hybridMultilevel"/>
    <w:tmpl w:val="FED6DAD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12711A4F"/>
    <w:multiLevelType w:val="hybridMultilevel"/>
    <w:tmpl w:val="D83881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1670033C"/>
    <w:multiLevelType w:val="hybridMultilevel"/>
    <w:tmpl w:val="8E2484CC"/>
    <w:lvl w:ilvl="0" w:tplc="207690D8">
      <w:start w:val="1"/>
      <w:numFmt w:val="decimal"/>
      <w:lvlText w:val="%1."/>
      <w:lvlJc w:val="left"/>
      <w:pPr>
        <w:tabs>
          <w:tab w:val="num" w:pos="720"/>
        </w:tabs>
        <w:ind w:left="720" w:hanging="360"/>
      </w:pPr>
      <w:rPr>
        <w:rFonts w:ascii="Times New Roman" w:hAnsi="Times New Roman" w:cs="Times New Roman" w:hint="default"/>
        <w:b w:val="0"/>
        <w:sz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AAB57E4"/>
    <w:multiLevelType w:val="hybridMultilevel"/>
    <w:tmpl w:val="2F4E22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0F22525"/>
    <w:multiLevelType w:val="hybridMultilevel"/>
    <w:tmpl w:val="4F560668"/>
    <w:lvl w:ilvl="0" w:tplc="14090001">
      <w:start w:val="1"/>
      <w:numFmt w:val="bullet"/>
      <w:lvlText w:val=""/>
      <w:lvlJc w:val="left"/>
      <w:pPr>
        <w:ind w:left="927" w:hanging="360"/>
      </w:pPr>
      <w:rPr>
        <w:rFonts w:ascii="Symbol" w:hAnsi="Symbol" w:hint="default"/>
      </w:rPr>
    </w:lvl>
    <w:lvl w:ilvl="1" w:tplc="14090001">
      <w:start w:val="1"/>
      <w:numFmt w:val="bullet"/>
      <w:lvlText w:val=""/>
      <w:lvlJc w:val="left"/>
      <w:pPr>
        <w:ind w:left="1647" w:hanging="360"/>
      </w:pPr>
      <w:rPr>
        <w:rFonts w:ascii="Symbol" w:hAnsi="Symbol"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nsid w:val="21323631"/>
    <w:multiLevelType w:val="multilevel"/>
    <w:tmpl w:val="5B148D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16E15"/>
    <w:multiLevelType w:val="hybridMultilevel"/>
    <w:tmpl w:val="17383A7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3046209A"/>
    <w:multiLevelType w:val="multilevel"/>
    <w:tmpl w:val="984AFC3C"/>
    <w:lvl w:ilvl="0">
      <w:start w:val="1"/>
      <w:numFmt w:val="decimal"/>
      <w:lvlText w:val="%1."/>
      <w:lvlJc w:val="left"/>
      <w:pPr>
        <w:ind w:left="360" w:hanging="360"/>
      </w:pPr>
      <w:rPr>
        <w:b w:val="0"/>
        <w:color w:val="000000" w:themeColor="text1"/>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nsid w:val="335F0215"/>
    <w:multiLevelType w:val="hybridMultilevel"/>
    <w:tmpl w:val="BE02C3BE"/>
    <w:lvl w:ilvl="0" w:tplc="CBA6574C">
      <w:start w:val="1"/>
      <w:numFmt w:val="decimal"/>
      <w:pStyle w:val="Numberparagraph"/>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3CB3A6A"/>
    <w:multiLevelType w:val="hybridMultilevel"/>
    <w:tmpl w:val="709EB8A0"/>
    <w:lvl w:ilvl="0" w:tplc="7700CF46">
      <w:start w:val="1"/>
      <w:numFmt w:val="decimal"/>
      <w:lvlText w:val="6.%1"/>
      <w:lvlJc w:val="left"/>
      <w:pPr>
        <w:tabs>
          <w:tab w:val="num" w:pos="851"/>
        </w:tabs>
        <w:ind w:left="851" w:hanging="851"/>
      </w:pPr>
      <w:rPr>
        <w:rFonts w:cs="Times New Roman"/>
        <w:b w:val="0"/>
        <w:i w:val="0"/>
        <w:color w:val="auto"/>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4">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A296D10"/>
    <w:multiLevelType w:val="hybridMultilevel"/>
    <w:tmpl w:val="AACE1E16"/>
    <w:lvl w:ilvl="0" w:tplc="9384C946">
      <w:numFmt w:val="bullet"/>
      <w:lvlText w:val="-"/>
      <w:lvlJc w:val="left"/>
      <w:pPr>
        <w:ind w:left="927" w:hanging="360"/>
      </w:pPr>
      <w:rPr>
        <w:rFonts w:ascii="Verdana" w:eastAsiaTheme="minorHAnsi" w:hAnsi="Verdana" w:cstheme="minorBidi" w:hint="default"/>
      </w:rPr>
    </w:lvl>
    <w:lvl w:ilvl="1" w:tplc="14090001">
      <w:start w:val="1"/>
      <w:numFmt w:val="bullet"/>
      <w:lvlText w:val=""/>
      <w:lvlJc w:val="left"/>
      <w:pPr>
        <w:ind w:left="1647" w:hanging="360"/>
      </w:pPr>
      <w:rPr>
        <w:rFonts w:ascii="Symbol" w:hAnsi="Symbol"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D870B23"/>
    <w:multiLevelType w:val="hybridMultilevel"/>
    <w:tmpl w:val="E7983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14F7994"/>
    <w:multiLevelType w:val="hybridMultilevel"/>
    <w:tmpl w:val="2F60E51C"/>
    <w:lvl w:ilvl="0" w:tplc="B1D8284C">
      <w:start w:val="1"/>
      <w:numFmt w:val="decimal"/>
      <w:pStyle w:val="Chapter1"/>
      <w:lvlText w:val="1.%1"/>
      <w:lvlJc w:val="left"/>
      <w:pPr>
        <w:tabs>
          <w:tab w:val="num" w:pos="1702"/>
        </w:tabs>
        <w:ind w:left="1702" w:hanging="851"/>
      </w:pPr>
      <w:rPr>
        <w:rFonts w:cs="Times New Roman"/>
        <w:b w:val="0"/>
        <w:i w:val="0"/>
        <w:color w:val="auto"/>
      </w:rPr>
    </w:lvl>
    <w:lvl w:ilvl="1" w:tplc="14090001">
      <w:start w:val="1"/>
      <w:numFmt w:val="bullet"/>
      <w:lvlText w:val=""/>
      <w:lvlJc w:val="left"/>
      <w:pPr>
        <w:tabs>
          <w:tab w:val="num" w:pos="305"/>
        </w:tabs>
        <w:ind w:left="305" w:hanging="360"/>
      </w:pPr>
      <w:rPr>
        <w:rFonts w:ascii="Symbol" w:hAnsi="Symbol" w:hint="default"/>
      </w:rPr>
    </w:lvl>
    <w:lvl w:ilvl="2" w:tplc="08090005">
      <w:start w:val="1"/>
      <w:numFmt w:val="lowerRoman"/>
      <w:lvlText w:val="%3."/>
      <w:lvlJc w:val="right"/>
      <w:pPr>
        <w:tabs>
          <w:tab w:val="num" w:pos="1025"/>
        </w:tabs>
        <w:ind w:left="1025" w:hanging="180"/>
      </w:pPr>
      <w:rPr>
        <w:rFonts w:cs="Times New Roman"/>
      </w:rPr>
    </w:lvl>
    <w:lvl w:ilvl="3" w:tplc="08090001">
      <w:start w:val="1"/>
      <w:numFmt w:val="decimal"/>
      <w:lvlText w:val="%4."/>
      <w:lvlJc w:val="left"/>
      <w:pPr>
        <w:tabs>
          <w:tab w:val="num" w:pos="1745"/>
        </w:tabs>
        <w:ind w:left="1745" w:hanging="360"/>
      </w:pPr>
      <w:rPr>
        <w:rFonts w:cs="Times New Roman"/>
      </w:rPr>
    </w:lvl>
    <w:lvl w:ilvl="4" w:tplc="08090003">
      <w:start w:val="1"/>
      <w:numFmt w:val="lowerLetter"/>
      <w:lvlText w:val="%5."/>
      <w:lvlJc w:val="left"/>
      <w:pPr>
        <w:tabs>
          <w:tab w:val="num" w:pos="2465"/>
        </w:tabs>
        <w:ind w:left="2465" w:hanging="360"/>
      </w:pPr>
      <w:rPr>
        <w:rFonts w:cs="Times New Roman"/>
      </w:rPr>
    </w:lvl>
    <w:lvl w:ilvl="5" w:tplc="08090005">
      <w:start w:val="1"/>
      <w:numFmt w:val="lowerRoman"/>
      <w:lvlText w:val="%6."/>
      <w:lvlJc w:val="right"/>
      <w:pPr>
        <w:tabs>
          <w:tab w:val="num" w:pos="3185"/>
        </w:tabs>
        <w:ind w:left="3185" w:hanging="180"/>
      </w:pPr>
      <w:rPr>
        <w:rFonts w:cs="Times New Roman"/>
      </w:rPr>
    </w:lvl>
    <w:lvl w:ilvl="6" w:tplc="08090001">
      <w:start w:val="1"/>
      <w:numFmt w:val="decimal"/>
      <w:lvlText w:val="%7."/>
      <w:lvlJc w:val="left"/>
      <w:pPr>
        <w:tabs>
          <w:tab w:val="num" w:pos="3905"/>
        </w:tabs>
        <w:ind w:left="3905" w:hanging="360"/>
      </w:pPr>
      <w:rPr>
        <w:rFonts w:cs="Times New Roman"/>
      </w:rPr>
    </w:lvl>
    <w:lvl w:ilvl="7" w:tplc="08090003">
      <w:start w:val="1"/>
      <w:numFmt w:val="lowerLetter"/>
      <w:lvlText w:val="%8."/>
      <w:lvlJc w:val="left"/>
      <w:pPr>
        <w:tabs>
          <w:tab w:val="num" w:pos="4625"/>
        </w:tabs>
        <w:ind w:left="4625" w:hanging="360"/>
      </w:pPr>
      <w:rPr>
        <w:rFonts w:cs="Times New Roman"/>
      </w:rPr>
    </w:lvl>
    <w:lvl w:ilvl="8" w:tplc="08090005">
      <w:start w:val="1"/>
      <w:numFmt w:val="lowerRoman"/>
      <w:lvlText w:val="%9."/>
      <w:lvlJc w:val="right"/>
      <w:pPr>
        <w:tabs>
          <w:tab w:val="num" w:pos="5345"/>
        </w:tabs>
        <w:ind w:left="5345" w:hanging="180"/>
      </w:pPr>
      <w:rPr>
        <w:rFonts w:cs="Times New Roman"/>
      </w:rPr>
    </w:lvl>
  </w:abstractNum>
  <w:abstractNum w:abstractNumId="19">
    <w:nsid w:val="5CBE297D"/>
    <w:multiLevelType w:val="hybridMultilevel"/>
    <w:tmpl w:val="7BD2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5"/>
  </w:num>
  <w:num w:numId="4">
    <w:abstractNumId w:val="2"/>
  </w:num>
  <w:num w:numId="5">
    <w:abstractNumId w:val="16"/>
  </w:num>
  <w:num w:numId="6">
    <w:abstractNumId w:val="6"/>
  </w:num>
  <w:num w:numId="7">
    <w:abstractNumId w:val="0"/>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9"/>
  </w:num>
  <w:num w:numId="13">
    <w:abstractNumId w:val="8"/>
  </w:num>
  <w:num w:numId="14">
    <w:abstractNumId w:val="4"/>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0"/>
  </w:num>
  <w:num w:numId="19">
    <w:abstractNumId w:val="17"/>
  </w:num>
  <w:num w:numId="20">
    <w:abstractNumId w:val="12"/>
  </w:num>
  <w:num w:numId="21">
    <w:abstractNumId w:val="19"/>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6F"/>
    <w:rsid w:val="00001539"/>
    <w:rsid w:val="00002433"/>
    <w:rsid w:val="000037F4"/>
    <w:rsid w:val="00003BE4"/>
    <w:rsid w:val="00004A8A"/>
    <w:rsid w:val="00005DC9"/>
    <w:rsid w:val="00010986"/>
    <w:rsid w:val="00010F7D"/>
    <w:rsid w:val="00012338"/>
    <w:rsid w:val="0001309F"/>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2DE6"/>
    <w:rsid w:val="00033950"/>
    <w:rsid w:val="000343E7"/>
    <w:rsid w:val="00035185"/>
    <w:rsid w:val="00036A3D"/>
    <w:rsid w:val="00036EE4"/>
    <w:rsid w:val="00041469"/>
    <w:rsid w:val="00041CD1"/>
    <w:rsid w:val="0004221C"/>
    <w:rsid w:val="000431FE"/>
    <w:rsid w:val="000435AD"/>
    <w:rsid w:val="00045AFC"/>
    <w:rsid w:val="00045F89"/>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5C5"/>
    <w:rsid w:val="000606D4"/>
    <w:rsid w:val="00060712"/>
    <w:rsid w:val="00060AAB"/>
    <w:rsid w:val="00060CD3"/>
    <w:rsid w:val="00062488"/>
    <w:rsid w:val="000655B2"/>
    <w:rsid w:val="00070193"/>
    <w:rsid w:val="00073A19"/>
    <w:rsid w:val="00073F31"/>
    <w:rsid w:val="000745D3"/>
    <w:rsid w:val="00074B13"/>
    <w:rsid w:val="00074D02"/>
    <w:rsid w:val="0007562B"/>
    <w:rsid w:val="0008063D"/>
    <w:rsid w:val="00080CE0"/>
    <w:rsid w:val="00080DE3"/>
    <w:rsid w:val="00082653"/>
    <w:rsid w:val="00082ABC"/>
    <w:rsid w:val="00083ADB"/>
    <w:rsid w:val="000850F2"/>
    <w:rsid w:val="000851EA"/>
    <w:rsid w:val="00085660"/>
    <w:rsid w:val="00086007"/>
    <w:rsid w:val="000863E2"/>
    <w:rsid w:val="00086898"/>
    <w:rsid w:val="0008712F"/>
    <w:rsid w:val="00087C41"/>
    <w:rsid w:val="000910A8"/>
    <w:rsid w:val="00095446"/>
    <w:rsid w:val="00096BFA"/>
    <w:rsid w:val="000A073E"/>
    <w:rsid w:val="000A20D1"/>
    <w:rsid w:val="000A39F4"/>
    <w:rsid w:val="000A43F8"/>
    <w:rsid w:val="000A4419"/>
    <w:rsid w:val="000B005C"/>
    <w:rsid w:val="000B0153"/>
    <w:rsid w:val="000B01CC"/>
    <w:rsid w:val="000B0480"/>
    <w:rsid w:val="000B0615"/>
    <w:rsid w:val="000B0C12"/>
    <w:rsid w:val="000B0D42"/>
    <w:rsid w:val="000B16BF"/>
    <w:rsid w:val="000B2052"/>
    <w:rsid w:val="000B50D8"/>
    <w:rsid w:val="000B5B1E"/>
    <w:rsid w:val="000C0912"/>
    <w:rsid w:val="000C2669"/>
    <w:rsid w:val="000C26E9"/>
    <w:rsid w:val="000C3EB5"/>
    <w:rsid w:val="000C43B6"/>
    <w:rsid w:val="000C684B"/>
    <w:rsid w:val="000C6EED"/>
    <w:rsid w:val="000C79FD"/>
    <w:rsid w:val="000D012A"/>
    <w:rsid w:val="000D01DE"/>
    <w:rsid w:val="000D0FA0"/>
    <w:rsid w:val="000D2A6B"/>
    <w:rsid w:val="000D31FE"/>
    <w:rsid w:val="000D5E01"/>
    <w:rsid w:val="000D5FF8"/>
    <w:rsid w:val="000D6393"/>
    <w:rsid w:val="000D670A"/>
    <w:rsid w:val="000D77C0"/>
    <w:rsid w:val="000D7C12"/>
    <w:rsid w:val="000E0036"/>
    <w:rsid w:val="000E310A"/>
    <w:rsid w:val="000E3979"/>
    <w:rsid w:val="000E3CE1"/>
    <w:rsid w:val="000E73FF"/>
    <w:rsid w:val="000E7C1C"/>
    <w:rsid w:val="000F03B0"/>
    <w:rsid w:val="000F15EF"/>
    <w:rsid w:val="000F162C"/>
    <w:rsid w:val="000F3333"/>
    <w:rsid w:val="000F6F99"/>
    <w:rsid w:val="000F7020"/>
    <w:rsid w:val="000F7E67"/>
    <w:rsid w:val="00101A24"/>
    <w:rsid w:val="00107B79"/>
    <w:rsid w:val="001101B8"/>
    <w:rsid w:val="00113146"/>
    <w:rsid w:val="00114F56"/>
    <w:rsid w:val="001158BA"/>
    <w:rsid w:val="00116006"/>
    <w:rsid w:val="00116B51"/>
    <w:rsid w:val="00117150"/>
    <w:rsid w:val="0012410B"/>
    <w:rsid w:val="00125812"/>
    <w:rsid w:val="00125ADD"/>
    <w:rsid w:val="00126CD1"/>
    <w:rsid w:val="00127757"/>
    <w:rsid w:val="00130E8F"/>
    <w:rsid w:val="001321F3"/>
    <w:rsid w:val="001336E3"/>
    <w:rsid w:val="001339BB"/>
    <w:rsid w:val="00136EED"/>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3730"/>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16B4"/>
    <w:rsid w:val="001C2214"/>
    <w:rsid w:val="001C2524"/>
    <w:rsid w:val="001C41C2"/>
    <w:rsid w:val="001C4388"/>
    <w:rsid w:val="001C6912"/>
    <w:rsid w:val="001D0A46"/>
    <w:rsid w:val="001D22ED"/>
    <w:rsid w:val="001D3440"/>
    <w:rsid w:val="001D37FB"/>
    <w:rsid w:val="001D4288"/>
    <w:rsid w:val="001D4D62"/>
    <w:rsid w:val="001D53A8"/>
    <w:rsid w:val="001D7325"/>
    <w:rsid w:val="001E12C8"/>
    <w:rsid w:val="001E1A8F"/>
    <w:rsid w:val="001E666D"/>
    <w:rsid w:val="001E6AFE"/>
    <w:rsid w:val="001E6EB6"/>
    <w:rsid w:val="001F0773"/>
    <w:rsid w:val="001F0DD3"/>
    <w:rsid w:val="001F1711"/>
    <w:rsid w:val="001F1A2D"/>
    <w:rsid w:val="001F21CB"/>
    <w:rsid w:val="001F6750"/>
    <w:rsid w:val="00200311"/>
    <w:rsid w:val="002008D1"/>
    <w:rsid w:val="00202E20"/>
    <w:rsid w:val="002036AA"/>
    <w:rsid w:val="00203789"/>
    <w:rsid w:val="00204A66"/>
    <w:rsid w:val="00205334"/>
    <w:rsid w:val="00213B41"/>
    <w:rsid w:val="00216DB5"/>
    <w:rsid w:val="00216F08"/>
    <w:rsid w:val="00217A19"/>
    <w:rsid w:val="00220E1C"/>
    <w:rsid w:val="00222CA5"/>
    <w:rsid w:val="00223298"/>
    <w:rsid w:val="00224A1F"/>
    <w:rsid w:val="00224BD6"/>
    <w:rsid w:val="002253E9"/>
    <w:rsid w:val="002258FC"/>
    <w:rsid w:val="00226226"/>
    <w:rsid w:val="00227D78"/>
    <w:rsid w:val="00227FE4"/>
    <w:rsid w:val="002317B4"/>
    <w:rsid w:val="0023228B"/>
    <w:rsid w:val="002331A0"/>
    <w:rsid w:val="00233DC9"/>
    <w:rsid w:val="0023447D"/>
    <w:rsid w:val="0023708B"/>
    <w:rsid w:val="00237318"/>
    <w:rsid w:val="00237FE9"/>
    <w:rsid w:val="0024128C"/>
    <w:rsid w:val="00245DA0"/>
    <w:rsid w:val="00247ADA"/>
    <w:rsid w:val="00251406"/>
    <w:rsid w:val="002524D6"/>
    <w:rsid w:val="00257836"/>
    <w:rsid w:val="00257879"/>
    <w:rsid w:val="00264EEE"/>
    <w:rsid w:val="0026530E"/>
    <w:rsid w:val="00265DED"/>
    <w:rsid w:val="00265E6C"/>
    <w:rsid w:val="00266A30"/>
    <w:rsid w:val="0026794D"/>
    <w:rsid w:val="00267FAB"/>
    <w:rsid w:val="00270CAF"/>
    <w:rsid w:val="002712C8"/>
    <w:rsid w:val="002719ED"/>
    <w:rsid w:val="00271EB7"/>
    <w:rsid w:val="00272321"/>
    <w:rsid w:val="0027239E"/>
    <w:rsid w:val="00272E82"/>
    <w:rsid w:val="00273D5C"/>
    <w:rsid w:val="00273ECF"/>
    <w:rsid w:val="00275209"/>
    <w:rsid w:val="0027527B"/>
    <w:rsid w:val="00275B26"/>
    <w:rsid w:val="00275DA1"/>
    <w:rsid w:val="0027706F"/>
    <w:rsid w:val="00281580"/>
    <w:rsid w:val="00282DD1"/>
    <w:rsid w:val="00283259"/>
    <w:rsid w:val="00283AFA"/>
    <w:rsid w:val="00283D22"/>
    <w:rsid w:val="00284C17"/>
    <w:rsid w:val="00287942"/>
    <w:rsid w:val="00292783"/>
    <w:rsid w:val="0029399F"/>
    <w:rsid w:val="00293E21"/>
    <w:rsid w:val="00295264"/>
    <w:rsid w:val="00295DFA"/>
    <w:rsid w:val="00296404"/>
    <w:rsid w:val="0029649F"/>
    <w:rsid w:val="002A05D3"/>
    <w:rsid w:val="002A06C6"/>
    <w:rsid w:val="002A107A"/>
    <w:rsid w:val="002A19B2"/>
    <w:rsid w:val="002A34A9"/>
    <w:rsid w:val="002A535E"/>
    <w:rsid w:val="002A5881"/>
    <w:rsid w:val="002A5E7A"/>
    <w:rsid w:val="002B0025"/>
    <w:rsid w:val="002B0801"/>
    <w:rsid w:val="002B0A3F"/>
    <w:rsid w:val="002B5324"/>
    <w:rsid w:val="002B56E7"/>
    <w:rsid w:val="002B5823"/>
    <w:rsid w:val="002B733A"/>
    <w:rsid w:val="002B7F4A"/>
    <w:rsid w:val="002C0074"/>
    <w:rsid w:val="002C097E"/>
    <w:rsid w:val="002C2315"/>
    <w:rsid w:val="002C301D"/>
    <w:rsid w:val="002C4A38"/>
    <w:rsid w:val="002C65B8"/>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584F"/>
    <w:rsid w:val="002E6495"/>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462E"/>
    <w:rsid w:val="00305726"/>
    <w:rsid w:val="00306E9B"/>
    <w:rsid w:val="003076FA"/>
    <w:rsid w:val="00310D70"/>
    <w:rsid w:val="0031214B"/>
    <w:rsid w:val="00313F3E"/>
    <w:rsid w:val="00314A19"/>
    <w:rsid w:val="00315307"/>
    <w:rsid w:val="00315D17"/>
    <w:rsid w:val="00316B54"/>
    <w:rsid w:val="003176BB"/>
    <w:rsid w:val="00317E1A"/>
    <w:rsid w:val="00320A3C"/>
    <w:rsid w:val="003232C2"/>
    <w:rsid w:val="003237B0"/>
    <w:rsid w:val="0032503F"/>
    <w:rsid w:val="003262CE"/>
    <w:rsid w:val="003264ED"/>
    <w:rsid w:val="003308B4"/>
    <w:rsid w:val="00333209"/>
    <w:rsid w:val="00334651"/>
    <w:rsid w:val="00334A4E"/>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774"/>
    <w:rsid w:val="00355DAA"/>
    <w:rsid w:val="003613F4"/>
    <w:rsid w:val="00361819"/>
    <w:rsid w:val="00361F3D"/>
    <w:rsid w:val="00362E2F"/>
    <w:rsid w:val="00362F57"/>
    <w:rsid w:val="00362FE1"/>
    <w:rsid w:val="00363DCE"/>
    <w:rsid w:val="00365680"/>
    <w:rsid w:val="00366A1A"/>
    <w:rsid w:val="00367B6E"/>
    <w:rsid w:val="00370B2E"/>
    <w:rsid w:val="00372D68"/>
    <w:rsid w:val="0037447C"/>
    <w:rsid w:val="0037458C"/>
    <w:rsid w:val="00374E9A"/>
    <w:rsid w:val="00375E7C"/>
    <w:rsid w:val="00375FFD"/>
    <w:rsid w:val="0038007D"/>
    <w:rsid w:val="00380430"/>
    <w:rsid w:val="00381DB8"/>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5B7"/>
    <w:rsid w:val="003A0DE0"/>
    <w:rsid w:val="003A0E47"/>
    <w:rsid w:val="003A4360"/>
    <w:rsid w:val="003A68AA"/>
    <w:rsid w:val="003A7561"/>
    <w:rsid w:val="003A76E4"/>
    <w:rsid w:val="003B09F2"/>
    <w:rsid w:val="003B1384"/>
    <w:rsid w:val="003B2FB7"/>
    <w:rsid w:val="003B35B8"/>
    <w:rsid w:val="003B4A9D"/>
    <w:rsid w:val="003B4B13"/>
    <w:rsid w:val="003B4D2C"/>
    <w:rsid w:val="003B53A6"/>
    <w:rsid w:val="003C0785"/>
    <w:rsid w:val="003C1764"/>
    <w:rsid w:val="003C22DA"/>
    <w:rsid w:val="003C3AD0"/>
    <w:rsid w:val="003C722C"/>
    <w:rsid w:val="003C7985"/>
    <w:rsid w:val="003C7CAC"/>
    <w:rsid w:val="003C7E67"/>
    <w:rsid w:val="003D20ED"/>
    <w:rsid w:val="003D3F07"/>
    <w:rsid w:val="003D4ED7"/>
    <w:rsid w:val="003D6531"/>
    <w:rsid w:val="003D6C84"/>
    <w:rsid w:val="003E017A"/>
    <w:rsid w:val="003E1FAF"/>
    <w:rsid w:val="003E20B9"/>
    <w:rsid w:val="003E3836"/>
    <w:rsid w:val="003E39B9"/>
    <w:rsid w:val="003E4AC8"/>
    <w:rsid w:val="003E4BB4"/>
    <w:rsid w:val="003E68B5"/>
    <w:rsid w:val="003F14AC"/>
    <w:rsid w:val="003F27A7"/>
    <w:rsid w:val="003F2D09"/>
    <w:rsid w:val="003F34BF"/>
    <w:rsid w:val="003F37EA"/>
    <w:rsid w:val="003F389B"/>
    <w:rsid w:val="003F47F5"/>
    <w:rsid w:val="003F59CC"/>
    <w:rsid w:val="003F5E57"/>
    <w:rsid w:val="003F5F9D"/>
    <w:rsid w:val="003F7652"/>
    <w:rsid w:val="003F7EDA"/>
    <w:rsid w:val="00401D87"/>
    <w:rsid w:val="00402BF8"/>
    <w:rsid w:val="00403755"/>
    <w:rsid w:val="0040387F"/>
    <w:rsid w:val="00404AF6"/>
    <w:rsid w:val="00406227"/>
    <w:rsid w:val="00407D3B"/>
    <w:rsid w:val="0041363C"/>
    <w:rsid w:val="00414E9A"/>
    <w:rsid w:val="00415CC4"/>
    <w:rsid w:val="00415FD6"/>
    <w:rsid w:val="0041696F"/>
    <w:rsid w:val="00420D4C"/>
    <w:rsid w:val="00423B79"/>
    <w:rsid w:val="004240D2"/>
    <w:rsid w:val="004244D5"/>
    <w:rsid w:val="00424ADF"/>
    <w:rsid w:val="00425C84"/>
    <w:rsid w:val="004303B8"/>
    <w:rsid w:val="00430492"/>
    <w:rsid w:val="00431677"/>
    <w:rsid w:val="004323E5"/>
    <w:rsid w:val="00433183"/>
    <w:rsid w:val="00433AED"/>
    <w:rsid w:val="004342F0"/>
    <w:rsid w:val="004353DD"/>
    <w:rsid w:val="00435F4A"/>
    <w:rsid w:val="00437C49"/>
    <w:rsid w:val="0044117C"/>
    <w:rsid w:val="004418F2"/>
    <w:rsid w:val="00443662"/>
    <w:rsid w:val="00443DF2"/>
    <w:rsid w:val="00444E78"/>
    <w:rsid w:val="004455A5"/>
    <w:rsid w:val="00445659"/>
    <w:rsid w:val="00445911"/>
    <w:rsid w:val="00445F4D"/>
    <w:rsid w:val="00446050"/>
    <w:rsid w:val="00446FC1"/>
    <w:rsid w:val="00447C26"/>
    <w:rsid w:val="00447F1A"/>
    <w:rsid w:val="0045085A"/>
    <w:rsid w:val="00450CBA"/>
    <w:rsid w:val="0045110A"/>
    <w:rsid w:val="00452B96"/>
    <w:rsid w:val="00452DA2"/>
    <w:rsid w:val="004532A3"/>
    <w:rsid w:val="00453823"/>
    <w:rsid w:val="00455363"/>
    <w:rsid w:val="00456B8F"/>
    <w:rsid w:val="00457045"/>
    <w:rsid w:val="004574C4"/>
    <w:rsid w:val="00457A91"/>
    <w:rsid w:val="004604E9"/>
    <w:rsid w:val="00460A55"/>
    <w:rsid w:val="004610FB"/>
    <w:rsid w:val="004611E5"/>
    <w:rsid w:val="0046180A"/>
    <w:rsid w:val="00462BC6"/>
    <w:rsid w:val="00463FEB"/>
    <w:rsid w:val="004660F2"/>
    <w:rsid w:val="00470C11"/>
    <w:rsid w:val="00471759"/>
    <w:rsid w:val="0047175C"/>
    <w:rsid w:val="004721E0"/>
    <w:rsid w:val="00472F9C"/>
    <w:rsid w:val="00473803"/>
    <w:rsid w:val="004755FE"/>
    <w:rsid w:val="004759BF"/>
    <w:rsid w:val="00476857"/>
    <w:rsid w:val="00476B4E"/>
    <w:rsid w:val="0047782F"/>
    <w:rsid w:val="004828C6"/>
    <w:rsid w:val="00484675"/>
    <w:rsid w:val="00484F33"/>
    <w:rsid w:val="004869CF"/>
    <w:rsid w:val="00487545"/>
    <w:rsid w:val="00490239"/>
    <w:rsid w:val="00490B1D"/>
    <w:rsid w:val="00491DC5"/>
    <w:rsid w:val="00492326"/>
    <w:rsid w:val="004929EC"/>
    <w:rsid w:val="0049354C"/>
    <w:rsid w:val="004935F6"/>
    <w:rsid w:val="00493B10"/>
    <w:rsid w:val="00493F24"/>
    <w:rsid w:val="00495017"/>
    <w:rsid w:val="0049615F"/>
    <w:rsid w:val="004971EF"/>
    <w:rsid w:val="004A2043"/>
    <w:rsid w:val="004A24DE"/>
    <w:rsid w:val="004A2FD9"/>
    <w:rsid w:val="004A51CB"/>
    <w:rsid w:val="004A5D55"/>
    <w:rsid w:val="004A6D51"/>
    <w:rsid w:val="004B03BE"/>
    <w:rsid w:val="004B0A80"/>
    <w:rsid w:val="004B1950"/>
    <w:rsid w:val="004B2839"/>
    <w:rsid w:val="004B300A"/>
    <w:rsid w:val="004B4E7B"/>
    <w:rsid w:val="004B7418"/>
    <w:rsid w:val="004B78FA"/>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9D3"/>
    <w:rsid w:val="004F5E93"/>
    <w:rsid w:val="004F603D"/>
    <w:rsid w:val="004F6545"/>
    <w:rsid w:val="004F6D32"/>
    <w:rsid w:val="004F6FC8"/>
    <w:rsid w:val="004F71FB"/>
    <w:rsid w:val="0050046F"/>
    <w:rsid w:val="00500EEF"/>
    <w:rsid w:val="005015CE"/>
    <w:rsid w:val="00501BD9"/>
    <w:rsid w:val="005041A7"/>
    <w:rsid w:val="00504E3C"/>
    <w:rsid w:val="00506456"/>
    <w:rsid w:val="00506825"/>
    <w:rsid w:val="00506FA2"/>
    <w:rsid w:val="00507196"/>
    <w:rsid w:val="005103B1"/>
    <w:rsid w:val="00515680"/>
    <w:rsid w:val="00516C0B"/>
    <w:rsid w:val="005173F5"/>
    <w:rsid w:val="00517D7F"/>
    <w:rsid w:val="00517E7D"/>
    <w:rsid w:val="00520779"/>
    <w:rsid w:val="00521E8C"/>
    <w:rsid w:val="00523AAC"/>
    <w:rsid w:val="00523CF5"/>
    <w:rsid w:val="005246FD"/>
    <w:rsid w:val="00525A4C"/>
    <w:rsid w:val="00525C51"/>
    <w:rsid w:val="00526A5B"/>
    <w:rsid w:val="00530417"/>
    <w:rsid w:val="00530B0F"/>
    <w:rsid w:val="00532095"/>
    <w:rsid w:val="005321B7"/>
    <w:rsid w:val="005328C3"/>
    <w:rsid w:val="0053379A"/>
    <w:rsid w:val="005337D5"/>
    <w:rsid w:val="0053679A"/>
    <w:rsid w:val="00536C66"/>
    <w:rsid w:val="005376D1"/>
    <w:rsid w:val="0054067C"/>
    <w:rsid w:val="00541C62"/>
    <w:rsid w:val="005425AF"/>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4988"/>
    <w:rsid w:val="005666ED"/>
    <w:rsid w:val="00566834"/>
    <w:rsid w:val="005668F0"/>
    <w:rsid w:val="005677E2"/>
    <w:rsid w:val="0056783D"/>
    <w:rsid w:val="0057019F"/>
    <w:rsid w:val="005704E5"/>
    <w:rsid w:val="00570549"/>
    <w:rsid w:val="0057101F"/>
    <w:rsid w:val="005713D2"/>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2E6"/>
    <w:rsid w:val="005A6CC1"/>
    <w:rsid w:val="005A6CCD"/>
    <w:rsid w:val="005A7107"/>
    <w:rsid w:val="005B014E"/>
    <w:rsid w:val="005B174D"/>
    <w:rsid w:val="005B1762"/>
    <w:rsid w:val="005B29AF"/>
    <w:rsid w:val="005B2A05"/>
    <w:rsid w:val="005B3666"/>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EDB"/>
    <w:rsid w:val="005D0763"/>
    <w:rsid w:val="005D0FD8"/>
    <w:rsid w:val="005D3DE0"/>
    <w:rsid w:val="005D4C84"/>
    <w:rsid w:val="005D57F3"/>
    <w:rsid w:val="005D67EA"/>
    <w:rsid w:val="005E0B96"/>
    <w:rsid w:val="005E264D"/>
    <w:rsid w:val="005E3FFE"/>
    <w:rsid w:val="005E4156"/>
    <w:rsid w:val="005E6DB6"/>
    <w:rsid w:val="005E7559"/>
    <w:rsid w:val="005F2C40"/>
    <w:rsid w:val="005F4DCE"/>
    <w:rsid w:val="005F5FC9"/>
    <w:rsid w:val="005F721A"/>
    <w:rsid w:val="005F7549"/>
    <w:rsid w:val="0060184B"/>
    <w:rsid w:val="00601A52"/>
    <w:rsid w:val="00602E73"/>
    <w:rsid w:val="006030CB"/>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61D"/>
    <w:rsid w:val="006207E9"/>
    <w:rsid w:val="00621E70"/>
    <w:rsid w:val="00621F13"/>
    <w:rsid w:val="00622496"/>
    <w:rsid w:val="0062327A"/>
    <w:rsid w:val="00626253"/>
    <w:rsid w:val="00626B7E"/>
    <w:rsid w:val="0063027A"/>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77FE2"/>
    <w:rsid w:val="006804CF"/>
    <w:rsid w:val="006822DA"/>
    <w:rsid w:val="00682473"/>
    <w:rsid w:val="006829A8"/>
    <w:rsid w:val="00682FBC"/>
    <w:rsid w:val="00683A57"/>
    <w:rsid w:val="0068449E"/>
    <w:rsid w:val="00684A4C"/>
    <w:rsid w:val="006873EA"/>
    <w:rsid w:val="00692162"/>
    <w:rsid w:val="00693024"/>
    <w:rsid w:val="00694ABE"/>
    <w:rsid w:val="00694E49"/>
    <w:rsid w:val="00697692"/>
    <w:rsid w:val="006A0E74"/>
    <w:rsid w:val="006A0FE1"/>
    <w:rsid w:val="006A218F"/>
    <w:rsid w:val="006A3F76"/>
    <w:rsid w:val="006A4054"/>
    <w:rsid w:val="006A40A1"/>
    <w:rsid w:val="006A4272"/>
    <w:rsid w:val="006A5C00"/>
    <w:rsid w:val="006A6165"/>
    <w:rsid w:val="006A6392"/>
    <w:rsid w:val="006A7E28"/>
    <w:rsid w:val="006B2116"/>
    <w:rsid w:val="006B2982"/>
    <w:rsid w:val="006B35BE"/>
    <w:rsid w:val="006B54E4"/>
    <w:rsid w:val="006C0A4C"/>
    <w:rsid w:val="006C1B43"/>
    <w:rsid w:val="006C1D7C"/>
    <w:rsid w:val="006C3765"/>
    <w:rsid w:val="006C39BF"/>
    <w:rsid w:val="006C4775"/>
    <w:rsid w:val="006C6FA2"/>
    <w:rsid w:val="006C7000"/>
    <w:rsid w:val="006C7763"/>
    <w:rsid w:val="006D012B"/>
    <w:rsid w:val="006D12A7"/>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450"/>
    <w:rsid w:val="006F49F0"/>
    <w:rsid w:val="006F6154"/>
    <w:rsid w:val="00700994"/>
    <w:rsid w:val="0070184A"/>
    <w:rsid w:val="00702267"/>
    <w:rsid w:val="00702E8D"/>
    <w:rsid w:val="0070360B"/>
    <w:rsid w:val="00704726"/>
    <w:rsid w:val="007053E7"/>
    <w:rsid w:val="0070569D"/>
    <w:rsid w:val="00705884"/>
    <w:rsid w:val="00705BD1"/>
    <w:rsid w:val="007061B6"/>
    <w:rsid w:val="007063F2"/>
    <w:rsid w:val="00706E77"/>
    <w:rsid w:val="007075B8"/>
    <w:rsid w:val="00707B2E"/>
    <w:rsid w:val="00710B00"/>
    <w:rsid w:val="00711471"/>
    <w:rsid w:val="00712398"/>
    <w:rsid w:val="00716DEA"/>
    <w:rsid w:val="0072105B"/>
    <w:rsid w:val="0072284E"/>
    <w:rsid w:val="00723508"/>
    <w:rsid w:val="0072470D"/>
    <w:rsid w:val="00726D27"/>
    <w:rsid w:val="0073286C"/>
    <w:rsid w:val="007328CC"/>
    <w:rsid w:val="007330A7"/>
    <w:rsid w:val="007330DF"/>
    <w:rsid w:val="00733260"/>
    <w:rsid w:val="00734E17"/>
    <w:rsid w:val="00735070"/>
    <w:rsid w:val="00735AD3"/>
    <w:rsid w:val="007364DA"/>
    <w:rsid w:val="007409D2"/>
    <w:rsid w:val="00742222"/>
    <w:rsid w:val="00743EA9"/>
    <w:rsid w:val="0074529C"/>
    <w:rsid w:val="00747ECC"/>
    <w:rsid w:val="00750BF8"/>
    <w:rsid w:val="00750E2F"/>
    <w:rsid w:val="007515BC"/>
    <w:rsid w:val="00753328"/>
    <w:rsid w:val="00753433"/>
    <w:rsid w:val="00754E11"/>
    <w:rsid w:val="00756097"/>
    <w:rsid w:val="00764F3A"/>
    <w:rsid w:val="00765CC1"/>
    <w:rsid w:val="007669BA"/>
    <w:rsid w:val="00770261"/>
    <w:rsid w:val="007712EA"/>
    <w:rsid w:val="00772439"/>
    <w:rsid w:val="0077339D"/>
    <w:rsid w:val="00773ACD"/>
    <w:rsid w:val="007768C5"/>
    <w:rsid w:val="0077715B"/>
    <w:rsid w:val="00777186"/>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E52"/>
    <w:rsid w:val="00794E6C"/>
    <w:rsid w:val="007952A7"/>
    <w:rsid w:val="00796982"/>
    <w:rsid w:val="007A02C7"/>
    <w:rsid w:val="007A05C6"/>
    <w:rsid w:val="007A285A"/>
    <w:rsid w:val="007A2C70"/>
    <w:rsid w:val="007A375D"/>
    <w:rsid w:val="007A5826"/>
    <w:rsid w:val="007A657A"/>
    <w:rsid w:val="007A7F00"/>
    <w:rsid w:val="007B04A7"/>
    <w:rsid w:val="007B092F"/>
    <w:rsid w:val="007B249F"/>
    <w:rsid w:val="007B2885"/>
    <w:rsid w:val="007B4330"/>
    <w:rsid w:val="007B435A"/>
    <w:rsid w:val="007B5D7E"/>
    <w:rsid w:val="007B788E"/>
    <w:rsid w:val="007C01C1"/>
    <w:rsid w:val="007C17B1"/>
    <w:rsid w:val="007C375B"/>
    <w:rsid w:val="007C43BB"/>
    <w:rsid w:val="007C6ED9"/>
    <w:rsid w:val="007C72DE"/>
    <w:rsid w:val="007C737B"/>
    <w:rsid w:val="007D1D13"/>
    <w:rsid w:val="007D20FF"/>
    <w:rsid w:val="007D36F2"/>
    <w:rsid w:val="007D3B6C"/>
    <w:rsid w:val="007D49C2"/>
    <w:rsid w:val="007D57DC"/>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7F6C6F"/>
    <w:rsid w:val="008022BE"/>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A94"/>
    <w:rsid w:val="00820B6F"/>
    <w:rsid w:val="00822DB3"/>
    <w:rsid w:val="00823B52"/>
    <w:rsid w:val="00823B90"/>
    <w:rsid w:val="0082791A"/>
    <w:rsid w:val="008304E8"/>
    <w:rsid w:val="00831ACA"/>
    <w:rsid w:val="00831AD5"/>
    <w:rsid w:val="00831BAA"/>
    <w:rsid w:val="00831E32"/>
    <w:rsid w:val="00834C7B"/>
    <w:rsid w:val="00836367"/>
    <w:rsid w:val="008375CF"/>
    <w:rsid w:val="008425D5"/>
    <w:rsid w:val="00843D20"/>
    <w:rsid w:val="00844454"/>
    <w:rsid w:val="00847192"/>
    <w:rsid w:val="0084731D"/>
    <w:rsid w:val="00850142"/>
    <w:rsid w:val="008511D0"/>
    <w:rsid w:val="00853DD4"/>
    <w:rsid w:val="00857420"/>
    <w:rsid w:val="0085773A"/>
    <w:rsid w:val="008603F1"/>
    <w:rsid w:val="00860CCE"/>
    <w:rsid w:val="00862540"/>
    <w:rsid w:val="00862551"/>
    <w:rsid w:val="0086294E"/>
    <w:rsid w:val="00863459"/>
    <w:rsid w:val="008637E1"/>
    <w:rsid w:val="008669BF"/>
    <w:rsid w:val="00867E68"/>
    <w:rsid w:val="00872CDA"/>
    <w:rsid w:val="0087340F"/>
    <w:rsid w:val="00873D37"/>
    <w:rsid w:val="00874188"/>
    <w:rsid w:val="00876879"/>
    <w:rsid w:val="00881CF4"/>
    <w:rsid w:val="0088302D"/>
    <w:rsid w:val="008830FE"/>
    <w:rsid w:val="00883A51"/>
    <w:rsid w:val="008841C7"/>
    <w:rsid w:val="00885271"/>
    <w:rsid w:val="008856AD"/>
    <w:rsid w:val="00885C28"/>
    <w:rsid w:val="00885F6B"/>
    <w:rsid w:val="008866E0"/>
    <w:rsid w:val="00887803"/>
    <w:rsid w:val="00887ABA"/>
    <w:rsid w:val="00891481"/>
    <w:rsid w:val="00893A34"/>
    <w:rsid w:val="00893F1F"/>
    <w:rsid w:val="00897964"/>
    <w:rsid w:val="008A2903"/>
    <w:rsid w:val="008A2ECB"/>
    <w:rsid w:val="008A3608"/>
    <w:rsid w:val="008A41D1"/>
    <w:rsid w:val="008A6B32"/>
    <w:rsid w:val="008A6D57"/>
    <w:rsid w:val="008A779E"/>
    <w:rsid w:val="008A7DEB"/>
    <w:rsid w:val="008B39F2"/>
    <w:rsid w:val="008B7CC7"/>
    <w:rsid w:val="008C0BAD"/>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35D5"/>
    <w:rsid w:val="008E499D"/>
    <w:rsid w:val="008E6FA9"/>
    <w:rsid w:val="008F1742"/>
    <w:rsid w:val="008F1755"/>
    <w:rsid w:val="008F3401"/>
    <w:rsid w:val="008F45DD"/>
    <w:rsid w:val="008F524F"/>
    <w:rsid w:val="008F546B"/>
    <w:rsid w:val="008F7F16"/>
    <w:rsid w:val="009011FA"/>
    <w:rsid w:val="00903A46"/>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66A0"/>
    <w:rsid w:val="009367AC"/>
    <w:rsid w:val="009407EE"/>
    <w:rsid w:val="00941A48"/>
    <w:rsid w:val="00943B26"/>
    <w:rsid w:val="00950357"/>
    <w:rsid w:val="0095200D"/>
    <w:rsid w:val="009542D3"/>
    <w:rsid w:val="00956DA6"/>
    <w:rsid w:val="009575E3"/>
    <w:rsid w:val="00957F52"/>
    <w:rsid w:val="00960387"/>
    <w:rsid w:val="00961C3D"/>
    <w:rsid w:val="00961DC0"/>
    <w:rsid w:val="00962484"/>
    <w:rsid w:val="0096278C"/>
    <w:rsid w:val="009643C4"/>
    <w:rsid w:val="00967BAA"/>
    <w:rsid w:val="00970DF3"/>
    <w:rsid w:val="0097279A"/>
    <w:rsid w:val="00975870"/>
    <w:rsid w:val="00975CDC"/>
    <w:rsid w:val="009764E3"/>
    <w:rsid w:val="00976857"/>
    <w:rsid w:val="009768F2"/>
    <w:rsid w:val="009803F7"/>
    <w:rsid w:val="00981A56"/>
    <w:rsid w:val="00983242"/>
    <w:rsid w:val="00983700"/>
    <w:rsid w:val="00984467"/>
    <w:rsid w:val="0098563C"/>
    <w:rsid w:val="0098603E"/>
    <w:rsid w:val="00986F53"/>
    <w:rsid w:val="0099053A"/>
    <w:rsid w:val="009918E8"/>
    <w:rsid w:val="00991ACC"/>
    <w:rsid w:val="00992345"/>
    <w:rsid w:val="00993572"/>
    <w:rsid w:val="00995D58"/>
    <w:rsid w:val="0099604A"/>
    <w:rsid w:val="009962FE"/>
    <w:rsid w:val="00997E46"/>
    <w:rsid w:val="009A0E5A"/>
    <w:rsid w:val="009A1F84"/>
    <w:rsid w:val="009A237B"/>
    <w:rsid w:val="009A23EE"/>
    <w:rsid w:val="009A2C24"/>
    <w:rsid w:val="009A4293"/>
    <w:rsid w:val="009A6068"/>
    <w:rsid w:val="009B0464"/>
    <w:rsid w:val="009B1209"/>
    <w:rsid w:val="009B179E"/>
    <w:rsid w:val="009B3F9B"/>
    <w:rsid w:val="009B4464"/>
    <w:rsid w:val="009B5ED9"/>
    <w:rsid w:val="009B687E"/>
    <w:rsid w:val="009B78C5"/>
    <w:rsid w:val="009C42BC"/>
    <w:rsid w:val="009C4DC5"/>
    <w:rsid w:val="009C4F2E"/>
    <w:rsid w:val="009C5262"/>
    <w:rsid w:val="009C6B0A"/>
    <w:rsid w:val="009D07A9"/>
    <w:rsid w:val="009D176F"/>
    <w:rsid w:val="009D5865"/>
    <w:rsid w:val="009D5E4C"/>
    <w:rsid w:val="009D6D25"/>
    <w:rsid w:val="009E03FB"/>
    <w:rsid w:val="009E17B9"/>
    <w:rsid w:val="009E39BD"/>
    <w:rsid w:val="009E4B2B"/>
    <w:rsid w:val="009E56D2"/>
    <w:rsid w:val="009F06E5"/>
    <w:rsid w:val="009F09DB"/>
    <w:rsid w:val="009F09E6"/>
    <w:rsid w:val="009F39B2"/>
    <w:rsid w:val="009F630C"/>
    <w:rsid w:val="009F7B9A"/>
    <w:rsid w:val="009F7F75"/>
    <w:rsid w:val="00A02B02"/>
    <w:rsid w:val="00A0358C"/>
    <w:rsid w:val="00A03704"/>
    <w:rsid w:val="00A05AD3"/>
    <w:rsid w:val="00A067D6"/>
    <w:rsid w:val="00A06AC7"/>
    <w:rsid w:val="00A11347"/>
    <w:rsid w:val="00A11C67"/>
    <w:rsid w:val="00A12961"/>
    <w:rsid w:val="00A136AC"/>
    <w:rsid w:val="00A13885"/>
    <w:rsid w:val="00A13A96"/>
    <w:rsid w:val="00A13FD9"/>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35A6F"/>
    <w:rsid w:val="00A40AF3"/>
    <w:rsid w:val="00A41E37"/>
    <w:rsid w:val="00A41FC7"/>
    <w:rsid w:val="00A44EB9"/>
    <w:rsid w:val="00A458F0"/>
    <w:rsid w:val="00A46A67"/>
    <w:rsid w:val="00A474F8"/>
    <w:rsid w:val="00A51CC9"/>
    <w:rsid w:val="00A51EF6"/>
    <w:rsid w:val="00A52763"/>
    <w:rsid w:val="00A52964"/>
    <w:rsid w:val="00A541BB"/>
    <w:rsid w:val="00A54ECE"/>
    <w:rsid w:val="00A56614"/>
    <w:rsid w:val="00A569D8"/>
    <w:rsid w:val="00A637DD"/>
    <w:rsid w:val="00A65EA6"/>
    <w:rsid w:val="00A72D91"/>
    <w:rsid w:val="00A73D4B"/>
    <w:rsid w:val="00A748A3"/>
    <w:rsid w:val="00A761FA"/>
    <w:rsid w:val="00A771C0"/>
    <w:rsid w:val="00A80CA4"/>
    <w:rsid w:val="00A81192"/>
    <w:rsid w:val="00A81297"/>
    <w:rsid w:val="00A82A72"/>
    <w:rsid w:val="00A82A7C"/>
    <w:rsid w:val="00A85A08"/>
    <w:rsid w:val="00A86724"/>
    <w:rsid w:val="00A8672D"/>
    <w:rsid w:val="00A904F5"/>
    <w:rsid w:val="00A90B0E"/>
    <w:rsid w:val="00A90B93"/>
    <w:rsid w:val="00A92E1D"/>
    <w:rsid w:val="00A94F1D"/>
    <w:rsid w:val="00A95810"/>
    <w:rsid w:val="00A95DA6"/>
    <w:rsid w:val="00A967AD"/>
    <w:rsid w:val="00A97006"/>
    <w:rsid w:val="00A970CF"/>
    <w:rsid w:val="00A97DC2"/>
    <w:rsid w:val="00AA0207"/>
    <w:rsid w:val="00AA0305"/>
    <w:rsid w:val="00AA1E55"/>
    <w:rsid w:val="00AA2A15"/>
    <w:rsid w:val="00AA2A96"/>
    <w:rsid w:val="00AA2B71"/>
    <w:rsid w:val="00AA42A7"/>
    <w:rsid w:val="00AA50D5"/>
    <w:rsid w:val="00AA714E"/>
    <w:rsid w:val="00AA7F4F"/>
    <w:rsid w:val="00AB1C8B"/>
    <w:rsid w:val="00AB4B80"/>
    <w:rsid w:val="00AB7678"/>
    <w:rsid w:val="00AC014E"/>
    <w:rsid w:val="00AC238D"/>
    <w:rsid w:val="00AC4B7F"/>
    <w:rsid w:val="00AC54C1"/>
    <w:rsid w:val="00AC7238"/>
    <w:rsid w:val="00AC7BEB"/>
    <w:rsid w:val="00AC7C05"/>
    <w:rsid w:val="00AD162D"/>
    <w:rsid w:val="00AD16E4"/>
    <w:rsid w:val="00AD2189"/>
    <w:rsid w:val="00AD2C02"/>
    <w:rsid w:val="00AD31A9"/>
    <w:rsid w:val="00AD5287"/>
    <w:rsid w:val="00AD6CF5"/>
    <w:rsid w:val="00AD7847"/>
    <w:rsid w:val="00AE097A"/>
    <w:rsid w:val="00AE0E75"/>
    <w:rsid w:val="00AE1B5A"/>
    <w:rsid w:val="00AE2151"/>
    <w:rsid w:val="00AE249D"/>
    <w:rsid w:val="00AE31B0"/>
    <w:rsid w:val="00AE3EC0"/>
    <w:rsid w:val="00AE6FC4"/>
    <w:rsid w:val="00AF0479"/>
    <w:rsid w:val="00AF26A2"/>
    <w:rsid w:val="00AF3DFB"/>
    <w:rsid w:val="00AF411C"/>
    <w:rsid w:val="00AF4B64"/>
    <w:rsid w:val="00AF7EC6"/>
    <w:rsid w:val="00B0159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3398"/>
    <w:rsid w:val="00B245B0"/>
    <w:rsid w:val="00B268E1"/>
    <w:rsid w:val="00B26E56"/>
    <w:rsid w:val="00B27AE0"/>
    <w:rsid w:val="00B31879"/>
    <w:rsid w:val="00B3311C"/>
    <w:rsid w:val="00B33125"/>
    <w:rsid w:val="00B34A3B"/>
    <w:rsid w:val="00B355C5"/>
    <w:rsid w:val="00B3673D"/>
    <w:rsid w:val="00B43612"/>
    <w:rsid w:val="00B44C6C"/>
    <w:rsid w:val="00B4757F"/>
    <w:rsid w:val="00B5187A"/>
    <w:rsid w:val="00B5229A"/>
    <w:rsid w:val="00B52E33"/>
    <w:rsid w:val="00B55CD1"/>
    <w:rsid w:val="00B605F9"/>
    <w:rsid w:val="00B61C67"/>
    <w:rsid w:val="00B6314D"/>
    <w:rsid w:val="00B64BD8"/>
    <w:rsid w:val="00B70EFF"/>
    <w:rsid w:val="00B713DA"/>
    <w:rsid w:val="00B71654"/>
    <w:rsid w:val="00B71842"/>
    <w:rsid w:val="00B727C2"/>
    <w:rsid w:val="00B738C7"/>
    <w:rsid w:val="00B747AC"/>
    <w:rsid w:val="00B75E1D"/>
    <w:rsid w:val="00B77124"/>
    <w:rsid w:val="00B8023E"/>
    <w:rsid w:val="00B82106"/>
    <w:rsid w:val="00B82526"/>
    <w:rsid w:val="00B82809"/>
    <w:rsid w:val="00B845E8"/>
    <w:rsid w:val="00B87915"/>
    <w:rsid w:val="00B9046D"/>
    <w:rsid w:val="00B9084D"/>
    <w:rsid w:val="00B91224"/>
    <w:rsid w:val="00B91420"/>
    <w:rsid w:val="00B92DEC"/>
    <w:rsid w:val="00B9525A"/>
    <w:rsid w:val="00B956AC"/>
    <w:rsid w:val="00B97A50"/>
    <w:rsid w:val="00BA015D"/>
    <w:rsid w:val="00BA064C"/>
    <w:rsid w:val="00BA08F9"/>
    <w:rsid w:val="00BA0C85"/>
    <w:rsid w:val="00BA1B22"/>
    <w:rsid w:val="00BA3C05"/>
    <w:rsid w:val="00BA4091"/>
    <w:rsid w:val="00BA4735"/>
    <w:rsid w:val="00BA54D5"/>
    <w:rsid w:val="00BB03E5"/>
    <w:rsid w:val="00BB2DB8"/>
    <w:rsid w:val="00BB3A50"/>
    <w:rsid w:val="00BB4D9B"/>
    <w:rsid w:val="00BB647C"/>
    <w:rsid w:val="00BC0C83"/>
    <w:rsid w:val="00BC33E7"/>
    <w:rsid w:val="00BC5A0A"/>
    <w:rsid w:val="00BC61B1"/>
    <w:rsid w:val="00BC74B2"/>
    <w:rsid w:val="00BD1F16"/>
    <w:rsid w:val="00BD201F"/>
    <w:rsid w:val="00BD27A9"/>
    <w:rsid w:val="00BD28E6"/>
    <w:rsid w:val="00BD55D3"/>
    <w:rsid w:val="00BD787F"/>
    <w:rsid w:val="00BD7E26"/>
    <w:rsid w:val="00BE00F2"/>
    <w:rsid w:val="00BE131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4E84"/>
    <w:rsid w:val="00C050D3"/>
    <w:rsid w:val="00C10374"/>
    <w:rsid w:val="00C12840"/>
    <w:rsid w:val="00C13480"/>
    <w:rsid w:val="00C13664"/>
    <w:rsid w:val="00C1593D"/>
    <w:rsid w:val="00C172E3"/>
    <w:rsid w:val="00C217D7"/>
    <w:rsid w:val="00C21910"/>
    <w:rsid w:val="00C22372"/>
    <w:rsid w:val="00C22791"/>
    <w:rsid w:val="00C244FF"/>
    <w:rsid w:val="00C268EB"/>
    <w:rsid w:val="00C276A1"/>
    <w:rsid w:val="00C27FC3"/>
    <w:rsid w:val="00C33D51"/>
    <w:rsid w:val="00C34065"/>
    <w:rsid w:val="00C35BF3"/>
    <w:rsid w:val="00C3670D"/>
    <w:rsid w:val="00C368D6"/>
    <w:rsid w:val="00C41370"/>
    <w:rsid w:val="00C41EED"/>
    <w:rsid w:val="00C442B6"/>
    <w:rsid w:val="00C459A1"/>
    <w:rsid w:val="00C47A2B"/>
    <w:rsid w:val="00C5096F"/>
    <w:rsid w:val="00C50CC6"/>
    <w:rsid w:val="00C5302D"/>
    <w:rsid w:val="00C5403F"/>
    <w:rsid w:val="00C55956"/>
    <w:rsid w:val="00C55CDD"/>
    <w:rsid w:val="00C5787F"/>
    <w:rsid w:val="00C57E44"/>
    <w:rsid w:val="00C60E71"/>
    <w:rsid w:val="00C61A6F"/>
    <w:rsid w:val="00C61B61"/>
    <w:rsid w:val="00C62F4A"/>
    <w:rsid w:val="00C6318D"/>
    <w:rsid w:val="00C634DB"/>
    <w:rsid w:val="00C63883"/>
    <w:rsid w:val="00C66506"/>
    <w:rsid w:val="00C70641"/>
    <w:rsid w:val="00C72EF0"/>
    <w:rsid w:val="00C7318D"/>
    <w:rsid w:val="00C74799"/>
    <w:rsid w:val="00C74CC2"/>
    <w:rsid w:val="00C7644E"/>
    <w:rsid w:val="00C76487"/>
    <w:rsid w:val="00C77322"/>
    <w:rsid w:val="00C77ACD"/>
    <w:rsid w:val="00C81584"/>
    <w:rsid w:val="00C82FC1"/>
    <w:rsid w:val="00C83726"/>
    <w:rsid w:val="00C85536"/>
    <w:rsid w:val="00C90ABE"/>
    <w:rsid w:val="00C9240D"/>
    <w:rsid w:val="00C9640D"/>
    <w:rsid w:val="00C96565"/>
    <w:rsid w:val="00C975F3"/>
    <w:rsid w:val="00C9766A"/>
    <w:rsid w:val="00C9776F"/>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1B2D"/>
    <w:rsid w:val="00CC2C4F"/>
    <w:rsid w:val="00CC3FDF"/>
    <w:rsid w:val="00CC5AC2"/>
    <w:rsid w:val="00CC60B9"/>
    <w:rsid w:val="00CD1628"/>
    <w:rsid w:val="00CD2712"/>
    <w:rsid w:val="00CD35A0"/>
    <w:rsid w:val="00CD41EE"/>
    <w:rsid w:val="00CD430C"/>
    <w:rsid w:val="00CD476F"/>
    <w:rsid w:val="00CD664F"/>
    <w:rsid w:val="00CD7C95"/>
    <w:rsid w:val="00CE3D5E"/>
    <w:rsid w:val="00CE49E7"/>
    <w:rsid w:val="00CE4B14"/>
    <w:rsid w:val="00CE642E"/>
    <w:rsid w:val="00CF034B"/>
    <w:rsid w:val="00CF32E9"/>
    <w:rsid w:val="00CF345C"/>
    <w:rsid w:val="00CF4E94"/>
    <w:rsid w:val="00CF56C1"/>
    <w:rsid w:val="00CF75BA"/>
    <w:rsid w:val="00D0100E"/>
    <w:rsid w:val="00D010E3"/>
    <w:rsid w:val="00D01A19"/>
    <w:rsid w:val="00D02E90"/>
    <w:rsid w:val="00D0482D"/>
    <w:rsid w:val="00D05810"/>
    <w:rsid w:val="00D10709"/>
    <w:rsid w:val="00D10925"/>
    <w:rsid w:val="00D13541"/>
    <w:rsid w:val="00D15ADE"/>
    <w:rsid w:val="00D20416"/>
    <w:rsid w:val="00D20CCF"/>
    <w:rsid w:val="00D20ED0"/>
    <w:rsid w:val="00D216CE"/>
    <w:rsid w:val="00D21942"/>
    <w:rsid w:val="00D22B65"/>
    <w:rsid w:val="00D23682"/>
    <w:rsid w:val="00D30BD9"/>
    <w:rsid w:val="00D30C9F"/>
    <w:rsid w:val="00D31275"/>
    <w:rsid w:val="00D3196B"/>
    <w:rsid w:val="00D324FC"/>
    <w:rsid w:val="00D35F36"/>
    <w:rsid w:val="00D378DF"/>
    <w:rsid w:val="00D41322"/>
    <w:rsid w:val="00D42B0C"/>
    <w:rsid w:val="00D47AC5"/>
    <w:rsid w:val="00D5090D"/>
    <w:rsid w:val="00D510F3"/>
    <w:rsid w:val="00D5113F"/>
    <w:rsid w:val="00D52351"/>
    <w:rsid w:val="00D56336"/>
    <w:rsid w:val="00D56BA7"/>
    <w:rsid w:val="00D576E9"/>
    <w:rsid w:val="00D5781D"/>
    <w:rsid w:val="00D61445"/>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45D"/>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C11CB"/>
    <w:rsid w:val="00DC13EA"/>
    <w:rsid w:val="00DC1AD6"/>
    <w:rsid w:val="00DC1BB7"/>
    <w:rsid w:val="00DC3ADA"/>
    <w:rsid w:val="00DC4A0B"/>
    <w:rsid w:val="00DC4D66"/>
    <w:rsid w:val="00DC556E"/>
    <w:rsid w:val="00DC73B8"/>
    <w:rsid w:val="00DC78F4"/>
    <w:rsid w:val="00DD026E"/>
    <w:rsid w:val="00DD1715"/>
    <w:rsid w:val="00DD2C4D"/>
    <w:rsid w:val="00DD35FE"/>
    <w:rsid w:val="00DD37BF"/>
    <w:rsid w:val="00DD4340"/>
    <w:rsid w:val="00DD44AD"/>
    <w:rsid w:val="00DD45F6"/>
    <w:rsid w:val="00DD46DD"/>
    <w:rsid w:val="00DD5596"/>
    <w:rsid w:val="00DD5A7F"/>
    <w:rsid w:val="00DD6B23"/>
    <w:rsid w:val="00DE1543"/>
    <w:rsid w:val="00DE1E06"/>
    <w:rsid w:val="00DE342A"/>
    <w:rsid w:val="00DE48C3"/>
    <w:rsid w:val="00DE493A"/>
    <w:rsid w:val="00DE5099"/>
    <w:rsid w:val="00DE58AE"/>
    <w:rsid w:val="00DE7190"/>
    <w:rsid w:val="00DF1157"/>
    <w:rsid w:val="00DF178D"/>
    <w:rsid w:val="00DF2054"/>
    <w:rsid w:val="00DF2711"/>
    <w:rsid w:val="00DF2E2D"/>
    <w:rsid w:val="00DF38C7"/>
    <w:rsid w:val="00DF4392"/>
    <w:rsid w:val="00DF4E1F"/>
    <w:rsid w:val="00DF69A1"/>
    <w:rsid w:val="00DF6DE1"/>
    <w:rsid w:val="00DF7118"/>
    <w:rsid w:val="00DF752E"/>
    <w:rsid w:val="00E0035B"/>
    <w:rsid w:val="00E00956"/>
    <w:rsid w:val="00E011B3"/>
    <w:rsid w:val="00E01A14"/>
    <w:rsid w:val="00E01A51"/>
    <w:rsid w:val="00E01AD7"/>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349B"/>
    <w:rsid w:val="00E245F0"/>
    <w:rsid w:val="00E2566D"/>
    <w:rsid w:val="00E27820"/>
    <w:rsid w:val="00E304B3"/>
    <w:rsid w:val="00E32827"/>
    <w:rsid w:val="00E329AF"/>
    <w:rsid w:val="00E33AA6"/>
    <w:rsid w:val="00E342B0"/>
    <w:rsid w:val="00E350B7"/>
    <w:rsid w:val="00E356BA"/>
    <w:rsid w:val="00E37D1E"/>
    <w:rsid w:val="00E40979"/>
    <w:rsid w:val="00E435B7"/>
    <w:rsid w:val="00E43A26"/>
    <w:rsid w:val="00E466D8"/>
    <w:rsid w:val="00E46AF2"/>
    <w:rsid w:val="00E47557"/>
    <w:rsid w:val="00E503F7"/>
    <w:rsid w:val="00E542F4"/>
    <w:rsid w:val="00E5543F"/>
    <w:rsid w:val="00E570FD"/>
    <w:rsid w:val="00E57623"/>
    <w:rsid w:val="00E6140D"/>
    <w:rsid w:val="00E61F52"/>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899"/>
    <w:rsid w:val="00E81DCB"/>
    <w:rsid w:val="00E85206"/>
    <w:rsid w:val="00E90B31"/>
    <w:rsid w:val="00E90BDF"/>
    <w:rsid w:val="00E929ED"/>
    <w:rsid w:val="00E93E81"/>
    <w:rsid w:val="00E940AC"/>
    <w:rsid w:val="00E94F36"/>
    <w:rsid w:val="00E95883"/>
    <w:rsid w:val="00E973C2"/>
    <w:rsid w:val="00EA258A"/>
    <w:rsid w:val="00EA447E"/>
    <w:rsid w:val="00EA4DBC"/>
    <w:rsid w:val="00EA50AB"/>
    <w:rsid w:val="00EA66A2"/>
    <w:rsid w:val="00EB037F"/>
    <w:rsid w:val="00EB10EA"/>
    <w:rsid w:val="00EB1595"/>
    <w:rsid w:val="00EB31AB"/>
    <w:rsid w:val="00EB4EFE"/>
    <w:rsid w:val="00EB5751"/>
    <w:rsid w:val="00EC1567"/>
    <w:rsid w:val="00EC175E"/>
    <w:rsid w:val="00EC22D7"/>
    <w:rsid w:val="00EC245A"/>
    <w:rsid w:val="00EC4BAE"/>
    <w:rsid w:val="00EC5B7C"/>
    <w:rsid w:val="00EC5D37"/>
    <w:rsid w:val="00EC6A3F"/>
    <w:rsid w:val="00ED1C8D"/>
    <w:rsid w:val="00ED2391"/>
    <w:rsid w:val="00ED3DA3"/>
    <w:rsid w:val="00EE6411"/>
    <w:rsid w:val="00EE66C7"/>
    <w:rsid w:val="00EE6B2F"/>
    <w:rsid w:val="00EE70C3"/>
    <w:rsid w:val="00EF02F8"/>
    <w:rsid w:val="00EF0400"/>
    <w:rsid w:val="00EF05C5"/>
    <w:rsid w:val="00EF5730"/>
    <w:rsid w:val="00EF5C83"/>
    <w:rsid w:val="00EF7D7A"/>
    <w:rsid w:val="00F002B2"/>
    <w:rsid w:val="00F00AC2"/>
    <w:rsid w:val="00F01C27"/>
    <w:rsid w:val="00F0204B"/>
    <w:rsid w:val="00F03B3D"/>
    <w:rsid w:val="00F04BC3"/>
    <w:rsid w:val="00F05177"/>
    <w:rsid w:val="00F0601A"/>
    <w:rsid w:val="00F0724E"/>
    <w:rsid w:val="00F12FA2"/>
    <w:rsid w:val="00F14213"/>
    <w:rsid w:val="00F14C67"/>
    <w:rsid w:val="00F15518"/>
    <w:rsid w:val="00F17616"/>
    <w:rsid w:val="00F17897"/>
    <w:rsid w:val="00F22E5F"/>
    <w:rsid w:val="00F233B0"/>
    <w:rsid w:val="00F24E5E"/>
    <w:rsid w:val="00F25D76"/>
    <w:rsid w:val="00F26DA9"/>
    <w:rsid w:val="00F31D64"/>
    <w:rsid w:val="00F33537"/>
    <w:rsid w:val="00F33736"/>
    <w:rsid w:val="00F33B09"/>
    <w:rsid w:val="00F3434E"/>
    <w:rsid w:val="00F34551"/>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1FFB"/>
    <w:rsid w:val="00F567BF"/>
    <w:rsid w:val="00F56AC0"/>
    <w:rsid w:val="00F56F0E"/>
    <w:rsid w:val="00F56F47"/>
    <w:rsid w:val="00F57335"/>
    <w:rsid w:val="00F57A39"/>
    <w:rsid w:val="00F61F72"/>
    <w:rsid w:val="00F62680"/>
    <w:rsid w:val="00F63723"/>
    <w:rsid w:val="00F63BA4"/>
    <w:rsid w:val="00F65E9E"/>
    <w:rsid w:val="00F7025D"/>
    <w:rsid w:val="00F70BFB"/>
    <w:rsid w:val="00F72085"/>
    <w:rsid w:val="00F73D8D"/>
    <w:rsid w:val="00F73FF5"/>
    <w:rsid w:val="00F74EFB"/>
    <w:rsid w:val="00F76F54"/>
    <w:rsid w:val="00F7712A"/>
    <w:rsid w:val="00F77955"/>
    <w:rsid w:val="00F803F8"/>
    <w:rsid w:val="00F8144D"/>
    <w:rsid w:val="00F82B0E"/>
    <w:rsid w:val="00F8415B"/>
    <w:rsid w:val="00F84424"/>
    <w:rsid w:val="00F869F8"/>
    <w:rsid w:val="00F86B46"/>
    <w:rsid w:val="00F86BE3"/>
    <w:rsid w:val="00F90EFD"/>
    <w:rsid w:val="00F926D8"/>
    <w:rsid w:val="00F93670"/>
    <w:rsid w:val="00F93F4C"/>
    <w:rsid w:val="00F9535B"/>
    <w:rsid w:val="00F95DE8"/>
    <w:rsid w:val="00F962C7"/>
    <w:rsid w:val="00F96FD2"/>
    <w:rsid w:val="00F97548"/>
    <w:rsid w:val="00F9780A"/>
    <w:rsid w:val="00FA06AC"/>
    <w:rsid w:val="00FA0E40"/>
    <w:rsid w:val="00FA13F8"/>
    <w:rsid w:val="00FA1906"/>
    <w:rsid w:val="00FA2EC0"/>
    <w:rsid w:val="00FA31AD"/>
    <w:rsid w:val="00FA3F1F"/>
    <w:rsid w:val="00FA47E1"/>
    <w:rsid w:val="00FA4EA3"/>
    <w:rsid w:val="00FA6C08"/>
    <w:rsid w:val="00FB0933"/>
    <w:rsid w:val="00FB0EC0"/>
    <w:rsid w:val="00FB13E0"/>
    <w:rsid w:val="00FB38D6"/>
    <w:rsid w:val="00FB4CA8"/>
    <w:rsid w:val="00FB5EBA"/>
    <w:rsid w:val="00FB6B34"/>
    <w:rsid w:val="00FC07C4"/>
    <w:rsid w:val="00FC0885"/>
    <w:rsid w:val="00FC1619"/>
    <w:rsid w:val="00FC19E8"/>
    <w:rsid w:val="00FC22CF"/>
    <w:rsid w:val="00FC3B31"/>
    <w:rsid w:val="00FC43D1"/>
    <w:rsid w:val="00FC4541"/>
    <w:rsid w:val="00FC52AC"/>
    <w:rsid w:val="00FC5866"/>
    <w:rsid w:val="00FC5B63"/>
    <w:rsid w:val="00FC5E53"/>
    <w:rsid w:val="00FD0BDA"/>
    <w:rsid w:val="00FD3EB9"/>
    <w:rsid w:val="00FD4975"/>
    <w:rsid w:val="00FD4992"/>
    <w:rsid w:val="00FD79FF"/>
    <w:rsid w:val="00FE297B"/>
    <w:rsid w:val="00FE3880"/>
    <w:rsid w:val="00FE47DF"/>
    <w:rsid w:val="00FE68B9"/>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opacity="0"/>
      <v:stroke on="f"/>
      <o:colormru v:ext="edit" colors="#ddd,#cfcfcf,#cacaca,#66f,blue,#ccd3e1,#002469,#335087"/>
    </o:shapedefaults>
    <o:shapelayout v:ext="edit">
      <o:idmap v:ext="edit" data="1"/>
    </o:shapelayout>
  </w:shapeDefaults>
  <w:decimalSymbol w:val="."/>
  <w:listSeparator w:val=","/>
  <w14:docId w14:val="6AB3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link w:val="ListParagraphChar"/>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1Char1">
    <w:name w:val="Chapter 1 Char1"/>
    <w:basedOn w:val="DefaultParagraphFont"/>
    <w:link w:val="Chapter1"/>
    <w:uiPriority w:val="99"/>
    <w:locked/>
    <w:rsid w:val="00C61B61"/>
    <w:rPr>
      <w:sz w:val="24"/>
      <w:lang w:eastAsia="en-AU"/>
    </w:rPr>
  </w:style>
  <w:style w:type="paragraph" w:customStyle="1" w:styleId="Chapter1">
    <w:name w:val="Chapter 1"/>
    <w:link w:val="Chapter1Char1"/>
    <w:uiPriority w:val="99"/>
    <w:rsid w:val="00C61B61"/>
    <w:pPr>
      <w:numPr>
        <w:numId w:val="8"/>
      </w:numPr>
      <w:jc w:val="both"/>
    </w:pPr>
    <w:rPr>
      <w:sz w:val="24"/>
      <w:lang w:eastAsia="en-AU"/>
    </w:rPr>
  </w:style>
  <w:style w:type="character" w:customStyle="1" w:styleId="ListParagraphChar">
    <w:name w:val="List Paragraph Char"/>
    <w:link w:val="ListParagraph"/>
    <w:uiPriority w:val="34"/>
    <w:locked/>
    <w:rsid w:val="00CC5AC2"/>
    <w:rPr>
      <w:rFonts w:ascii="Arial" w:hAnsi="Arial"/>
      <w:sz w:val="22"/>
      <w:lang w:eastAsia="en-US"/>
    </w:rPr>
  </w:style>
  <w:style w:type="paragraph" w:customStyle="1" w:styleId="Default">
    <w:name w:val="Default"/>
    <w:rsid w:val="00A13FD9"/>
    <w:pPr>
      <w:autoSpaceDE w:val="0"/>
      <w:autoSpaceDN w:val="0"/>
      <w:adjustRightInd w:val="0"/>
    </w:pPr>
    <w:rPr>
      <w:color w:val="000000"/>
      <w:sz w:val="24"/>
      <w:szCs w:val="24"/>
    </w:rPr>
  </w:style>
  <w:style w:type="paragraph" w:customStyle="1" w:styleId="TRBodyText">
    <w:name w:val="_TRBody Text"/>
    <w:rsid w:val="007A7F00"/>
    <w:pPr>
      <w:spacing w:line="300" w:lineRule="atLeast"/>
      <w:jc w:val="both"/>
    </w:pPr>
    <w:rPr>
      <w:sz w:val="24"/>
      <w:lang w:eastAsia="en-AU"/>
    </w:rPr>
  </w:style>
  <w:style w:type="table" w:customStyle="1" w:styleId="GridTable1Light">
    <w:name w:val="Grid Table 1 Light"/>
    <w:basedOn w:val="TableNormal"/>
    <w:uiPriority w:val="46"/>
    <w:rsid w:val="00CE4B14"/>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umberparagraph">
    <w:name w:val="Number paragraph"/>
    <w:basedOn w:val="Normal"/>
    <w:qFormat/>
    <w:rsid w:val="006030CB"/>
    <w:pPr>
      <w:numPr>
        <w:numId w:val="20"/>
      </w:numPr>
      <w:tabs>
        <w:tab w:val="left" w:pos="567"/>
      </w:tabs>
      <w:spacing w:after="0" w:line="240" w:lineRule="auto"/>
      <w:jc w:val="both"/>
    </w:pPr>
    <w:rPr>
      <w:rFonts w:ascii="Times New Roman" w:hAnsi="Times New Roman"/>
      <w:sz w:val="24"/>
      <w:szCs w:val="24"/>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link w:val="ListParagraphChar"/>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1Char1">
    <w:name w:val="Chapter 1 Char1"/>
    <w:basedOn w:val="DefaultParagraphFont"/>
    <w:link w:val="Chapter1"/>
    <w:uiPriority w:val="99"/>
    <w:locked/>
    <w:rsid w:val="00C61B61"/>
    <w:rPr>
      <w:sz w:val="24"/>
      <w:lang w:eastAsia="en-AU"/>
    </w:rPr>
  </w:style>
  <w:style w:type="paragraph" w:customStyle="1" w:styleId="Chapter1">
    <w:name w:val="Chapter 1"/>
    <w:link w:val="Chapter1Char1"/>
    <w:uiPriority w:val="99"/>
    <w:rsid w:val="00C61B61"/>
    <w:pPr>
      <w:numPr>
        <w:numId w:val="8"/>
      </w:numPr>
      <w:jc w:val="both"/>
    </w:pPr>
    <w:rPr>
      <w:sz w:val="24"/>
      <w:lang w:eastAsia="en-AU"/>
    </w:rPr>
  </w:style>
  <w:style w:type="character" w:customStyle="1" w:styleId="ListParagraphChar">
    <w:name w:val="List Paragraph Char"/>
    <w:link w:val="ListParagraph"/>
    <w:uiPriority w:val="34"/>
    <w:locked/>
    <w:rsid w:val="00CC5AC2"/>
    <w:rPr>
      <w:rFonts w:ascii="Arial" w:hAnsi="Arial"/>
      <w:sz w:val="22"/>
      <w:lang w:eastAsia="en-US"/>
    </w:rPr>
  </w:style>
  <w:style w:type="paragraph" w:customStyle="1" w:styleId="Default">
    <w:name w:val="Default"/>
    <w:rsid w:val="00A13FD9"/>
    <w:pPr>
      <w:autoSpaceDE w:val="0"/>
      <w:autoSpaceDN w:val="0"/>
      <w:adjustRightInd w:val="0"/>
    </w:pPr>
    <w:rPr>
      <w:color w:val="000000"/>
      <w:sz w:val="24"/>
      <w:szCs w:val="24"/>
    </w:rPr>
  </w:style>
  <w:style w:type="paragraph" w:customStyle="1" w:styleId="TRBodyText">
    <w:name w:val="_TRBody Text"/>
    <w:rsid w:val="007A7F00"/>
    <w:pPr>
      <w:spacing w:line="300" w:lineRule="atLeast"/>
      <w:jc w:val="both"/>
    </w:pPr>
    <w:rPr>
      <w:sz w:val="24"/>
      <w:lang w:eastAsia="en-AU"/>
    </w:rPr>
  </w:style>
  <w:style w:type="table" w:customStyle="1" w:styleId="GridTable1Light">
    <w:name w:val="Grid Table 1 Light"/>
    <w:basedOn w:val="TableNormal"/>
    <w:uiPriority w:val="46"/>
    <w:rsid w:val="00CE4B14"/>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umberparagraph">
    <w:name w:val="Number paragraph"/>
    <w:basedOn w:val="Normal"/>
    <w:qFormat/>
    <w:rsid w:val="006030CB"/>
    <w:pPr>
      <w:numPr>
        <w:numId w:val="20"/>
      </w:numPr>
      <w:tabs>
        <w:tab w:val="left" w:pos="567"/>
      </w:tabs>
      <w:spacing w:after="0" w:line="240" w:lineRule="auto"/>
      <w:jc w:val="both"/>
    </w:pPr>
    <w:rPr>
      <w:rFonts w:ascii="Times New Roman" w:hAnsi="Times New Roman"/>
      <w:sz w:val="24"/>
      <w:szCs w:val="24"/>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988">
      <w:bodyDiv w:val="1"/>
      <w:marLeft w:val="0"/>
      <w:marRight w:val="0"/>
      <w:marTop w:val="0"/>
      <w:marBottom w:val="0"/>
      <w:divBdr>
        <w:top w:val="none" w:sz="0" w:space="0" w:color="auto"/>
        <w:left w:val="none" w:sz="0" w:space="0" w:color="auto"/>
        <w:bottom w:val="none" w:sz="0" w:space="0" w:color="auto"/>
        <w:right w:val="none" w:sz="0" w:space="0" w:color="auto"/>
      </w:divBdr>
    </w:div>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158929812">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76186">
      <w:bodyDiv w:val="1"/>
      <w:marLeft w:val="0"/>
      <w:marRight w:val="0"/>
      <w:marTop w:val="0"/>
      <w:marBottom w:val="0"/>
      <w:divBdr>
        <w:top w:val="none" w:sz="0" w:space="0" w:color="auto"/>
        <w:left w:val="none" w:sz="0" w:space="0" w:color="auto"/>
        <w:bottom w:val="none" w:sz="0" w:space="0" w:color="auto"/>
        <w:right w:val="none" w:sz="0" w:space="0" w:color="auto"/>
      </w:divBdr>
    </w:div>
    <w:div w:id="498347688">
      <w:bodyDiv w:val="1"/>
      <w:marLeft w:val="0"/>
      <w:marRight w:val="0"/>
      <w:marTop w:val="0"/>
      <w:marBottom w:val="0"/>
      <w:divBdr>
        <w:top w:val="none" w:sz="0" w:space="0" w:color="auto"/>
        <w:left w:val="none" w:sz="0" w:space="0" w:color="auto"/>
        <w:bottom w:val="none" w:sz="0" w:space="0" w:color="auto"/>
        <w:right w:val="none" w:sz="0" w:space="0" w:color="auto"/>
      </w:divBdr>
    </w:div>
    <w:div w:id="706565223">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836816">
      <w:bodyDiv w:val="1"/>
      <w:marLeft w:val="0"/>
      <w:marRight w:val="0"/>
      <w:marTop w:val="0"/>
      <w:marBottom w:val="0"/>
      <w:divBdr>
        <w:top w:val="none" w:sz="0" w:space="0" w:color="auto"/>
        <w:left w:val="none" w:sz="0" w:space="0" w:color="auto"/>
        <w:bottom w:val="none" w:sz="0" w:space="0" w:color="auto"/>
        <w:right w:val="none" w:sz="0" w:space="0" w:color="auto"/>
      </w:divBdr>
    </w:div>
    <w:div w:id="1163859782">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349676922">
      <w:bodyDiv w:val="1"/>
      <w:marLeft w:val="0"/>
      <w:marRight w:val="0"/>
      <w:marTop w:val="0"/>
      <w:marBottom w:val="0"/>
      <w:divBdr>
        <w:top w:val="none" w:sz="0" w:space="0" w:color="auto"/>
        <w:left w:val="none" w:sz="0" w:space="0" w:color="auto"/>
        <w:bottom w:val="none" w:sz="0" w:space="0" w:color="auto"/>
        <w:right w:val="none" w:sz="0" w:space="0" w:color="auto"/>
      </w:divBdr>
    </w:div>
    <w:div w:id="1448619811">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6989">
      <w:bodyDiv w:val="1"/>
      <w:marLeft w:val="0"/>
      <w:marRight w:val="0"/>
      <w:marTop w:val="0"/>
      <w:marBottom w:val="0"/>
      <w:divBdr>
        <w:top w:val="none" w:sz="0" w:space="0" w:color="auto"/>
        <w:left w:val="none" w:sz="0" w:space="0" w:color="auto"/>
        <w:bottom w:val="none" w:sz="0" w:space="0" w:color="auto"/>
        <w:right w:val="none" w:sz="0" w:space="0" w:color="auto"/>
      </w:divBdr>
    </w:div>
    <w:div w:id="1782413605">
      <w:bodyDiv w:val="1"/>
      <w:marLeft w:val="0"/>
      <w:marRight w:val="0"/>
      <w:marTop w:val="0"/>
      <w:marBottom w:val="0"/>
      <w:divBdr>
        <w:top w:val="none" w:sz="0" w:space="0" w:color="auto"/>
        <w:left w:val="none" w:sz="0" w:space="0" w:color="auto"/>
        <w:bottom w:val="none" w:sz="0" w:space="0" w:color="auto"/>
        <w:right w:val="none" w:sz="0" w:space="0" w:color="auto"/>
      </w:divBdr>
    </w:div>
    <w:div w:id="1874922805">
      <w:bodyDiv w:val="1"/>
      <w:marLeft w:val="0"/>
      <w:marRight w:val="0"/>
      <w:marTop w:val="0"/>
      <w:marBottom w:val="0"/>
      <w:divBdr>
        <w:top w:val="none" w:sz="0" w:space="0" w:color="auto"/>
        <w:left w:val="none" w:sz="0" w:space="0" w:color="auto"/>
        <w:bottom w:val="none" w:sz="0" w:space="0" w:color="auto"/>
        <w:right w:val="none" w:sz="0" w:space="0" w:color="auto"/>
      </w:divBdr>
    </w:div>
    <w:div w:id="2043167961">
      <w:bodyDiv w:val="1"/>
      <w:marLeft w:val="0"/>
      <w:marRight w:val="0"/>
      <w:marTop w:val="0"/>
      <w:marBottom w:val="0"/>
      <w:divBdr>
        <w:top w:val="none" w:sz="0" w:space="0" w:color="auto"/>
        <w:left w:val="none" w:sz="0" w:space="0" w:color="auto"/>
        <w:bottom w:val="none" w:sz="0" w:space="0" w:color="auto"/>
        <w:right w:val="none" w:sz="0" w:space="0" w:color="auto"/>
      </w:divBdr>
      <w:divsChild>
        <w:div w:id="1289816211">
          <w:marLeft w:val="0"/>
          <w:marRight w:val="0"/>
          <w:marTop w:val="0"/>
          <w:marBottom w:val="0"/>
          <w:divBdr>
            <w:top w:val="none" w:sz="0" w:space="0" w:color="auto"/>
            <w:left w:val="none" w:sz="0" w:space="0" w:color="auto"/>
            <w:bottom w:val="none" w:sz="0" w:space="0" w:color="auto"/>
            <w:right w:val="none" w:sz="0" w:space="0" w:color="auto"/>
          </w:divBdr>
          <w:divsChild>
            <w:div w:id="105278780">
              <w:marLeft w:val="0"/>
              <w:marRight w:val="0"/>
              <w:marTop w:val="0"/>
              <w:marBottom w:val="0"/>
              <w:divBdr>
                <w:top w:val="none" w:sz="0" w:space="0" w:color="auto"/>
                <w:left w:val="none" w:sz="0" w:space="0" w:color="auto"/>
                <w:bottom w:val="none" w:sz="0" w:space="0" w:color="auto"/>
                <w:right w:val="none" w:sz="0" w:space="0" w:color="auto"/>
              </w:divBdr>
              <w:divsChild>
                <w:div w:id="11394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 w:id="2104107735">
      <w:bodyDiv w:val="1"/>
      <w:marLeft w:val="0"/>
      <w:marRight w:val="0"/>
      <w:marTop w:val="0"/>
      <w:marBottom w:val="0"/>
      <w:divBdr>
        <w:top w:val="none" w:sz="0" w:space="0" w:color="auto"/>
        <w:left w:val="none" w:sz="0" w:space="0" w:color="auto"/>
        <w:bottom w:val="none" w:sz="0" w:space="0" w:color="auto"/>
        <w:right w:val="none" w:sz="0" w:space="0" w:color="auto"/>
      </w:divBdr>
    </w:div>
    <w:div w:id="213444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9330</Words>
  <Characters>51566</Characters>
  <Application>Microsoft Office Word</Application>
  <DocSecurity>0</DocSecurity>
  <Lines>1611</Lines>
  <Paragraphs>385</Paragraphs>
  <ScaleCrop>false</ScaleCrop>
  <HeadingPairs>
    <vt:vector size="2" baseType="variant">
      <vt:variant>
        <vt:lpstr>Title</vt:lpstr>
      </vt:variant>
      <vt:variant>
        <vt:i4>1</vt:i4>
      </vt:variant>
    </vt:vector>
  </HeadingPairs>
  <TitlesOfParts>
    <vt:vector size="1" baseType="lpstr">
      <vt:lpstr>Regulatory impact statement - GST on cross-border services and intangibles (21 October 2015)</vt:lpstr>
    </vt:vector>
  </TitlesOfParts>
  <Company>Inland Revenue</Company>
  <LinksUpToDate>false</LinksUpToDate>
  <CharactersWithSpaces>60511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GST on cross-border services and intangibles (21 October 2015)</dc:title>
  <dc:creator>Policy and Strategy, Inland Revenue</dc:creator>
  <dc:description>Published November 2015</dc:description>
  <cp:lastModifiedBy>David Nind</cp:lastModifiedBy>
  <cp:revision>2</cp:revision>
  <dcterms:created xsi:type="dcterms:W3CDTF">2015-11-13T02:18:00Z</dcterms:created>
  <dcterms:modified xsi:type="dcterms:W3CDTF">2015-11-13T02:19:00Z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