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4E" w:rsidRDefault="007C737B" w:rsidP="006C19A4">
      <w:pPr>
        <w:pStyle w:val="RISheading"/>
        <w:jc w:val="both"/>
        <w:rPr>
          <w:w w:val="100"/>
          <w:sz w:val="36"/>
          <w:szCs w:val="32"/>
        </w:rPr>
      </w:pPr>
      <w:bookmarkStart w:id="0" w:name="_Toc244580362"/>
      <w:bookmarkStart w:id="1" w:name="_Toc244587038"/>
      <w:bookmarkStart w:id="2" w:name="_Toc244857272"/>
      <w:bookmarkStart w:id="3" w:name="_Toc244912537"/>
      <w:bookmarkStart w:id="4" w:name="_Toc244916994"/>
      <w:bookmarkStart w:id="5" w:name="_GoBack"/>
      <w:bookmarkEnd w:id="5"/>
      <w:r w:rsidRPr="0037774E">
        <w:rPr>
          <w:w w:val="100"/>
          <w:sz w:val="36"/>
          <w:szCs w:val="32"/>
        </w:rPr>
        <w:t>Regulatory Impact Statement</w:t>
      </w:r>
      <w:bookmarkEnd w:id="0"/>
      <w:bookmarkEnd w:id="1"/>
      <w:bookmarkEnd w:id="2"/>
      <w:bookmarkEnd w:id="3"/>
      <w:bookmarkEnd w:id="4"/>
    </w:p>
    <w:p w:rsidR="003817B1" w:rsidRPr="003817B1" w:rsidRDefault="003817B1" w:rsidP="003817B1">
      <w:pPr>
        <w:pStyle w:val="RISheading"/>
        <w:spacing w:before="0" w:after="0"/>
        <w:jc w:val="both"/>
        <w:rPr>
          <w:w w:val="100"/>
          <w:sz w:val="18"/>
          <w:szCs w:val="32"/>
        </w:rPr>
      </w:pPr>
    </w:p>
    <w:p w:rsidR="0037774E" w:rsidRDefault="003A7116" w:rsidP="006C19A4">
      <w:pPr>
        <w:pStyle w:val="RISheading"/>
        <w:jc w:val="both"/>
        <w:rPr>
          <w:spacing w:val="0"/>
          <w:w w:val="100"/>
          <w:sz w:val="28"/>
        </w:rPr>
      </w:pPr>
      <w:r w:rsidRPr="0037774E">
        <w:rPr>
          <w:spacing w:val="0"/>
          <w:w w:val="100"/>
          <w:sz w:val="28"/>
        </w:rPr>
        <w:t>Options for optimising the effect</w:t>
      </w:r>
      <w:r w:rsidR="005A5676" w:rsidRPr="0037774E">
        <w:rPr>
          <w:spacing w:val="0"/>
          <w:w w:val="100"/>
          <w:sz w:val="28"/>
        </w:rPr>
        <w:t>iveness of the bright-line test</w:t>
      </w:r>
    </w:p>
    <w:p w:rsidR="003817B1" w:rsidRPr="0037774E" w:rsidRDefault="003817B1" w:rsidP="006C19A4">
      <w:pPr>
        <w:pStyle w:val="RISheading"/>
        <w:jc w:val="both"/>
        <w:rPr>
          <w:spacing w:val="0"/>
          <w:w w:val="100"/>
          <w:sz w:val="28"/>
        </w:rPr>
      </w:pPr>
    </w:p>
    <w:p w:rsidR="000545DC" w:rsidRPr="004342F0" w:rsidRDefault="001C6912" w:rsidP="006C19A4">
      <w:pPr>
        <w:pStyle w:val="RISheading"/>
        <w:jc w:val="both"/>
        <w:rPr>
          <w:spacing w:val="0"/>
          <w:w w:val="100"/>
        </w:rPr>
      </w:pPr>
      <w:r w:rsidRPr="004342F0">
        <w:rPr>
          <w:spacing w:val="0"/>
          <w:w w:val="100"/>
        </w:rPr>
        <w:t xml:space="preserve">Agency </w:t>
      </w:r>
      <w:r w:rsidR="000545DC" w:rsidRPr="004342F0">
        <w:rPr>
          <w:spacing w:val="0"/>
          <w:w w:val="100"/>
        </w:rPr>
        <w:t xml:space="preserve">Disclosure Statement </w:t>
      </w:r>
    </w:p>
    <w:p w:rsidR="000545DC" w:rsidRPr="004342F0" w:rsidRDefault="000545DC">
      <w:pPr>
        <w:pStyle w:val="ListParagraph"/>
        <w:ind w:left="0" w:right="170"/>
        <w:contextualSpacing w:val="0"/>
        <w:rPr>
          <w:rFonts w:ascii="Times New Roman" w:hAnsi="Times New Roman"/>
          <w:sz w:val="24"/>
          <w:szCs w:val="24"/>
        </w:rPr>
      </w:pPr>
      <w:r w:rsidRPr="004342F0">
        <w:rPr>
          <w:rFonts w:ascii="Times New Roman" w:hAnsi="Times New Roman"/>
          <w:sz w:val="24"/>
          <w:szCs w:val="24"/>
        </w:rPr>
        <w:t>This Regulatory Impact Statement</w:t>
      </w:r>
      <w:r w:rsidR="005A5676">
        <w:rPr>
          <w:rFonts w:ascii="Times New Roman" w:hAnsi="Times New Roman"/>
          <w:sz w:val="24"/>
          <w:szCs w:val="24"/>
        </w:rPr>
        <w:t xml:space="preserve"> (RIS)</w:t>
      </w:r>
      <w:r w:rsidRPr="004342F0">
        <w:rPr>
          <w:rFonts w:ascii="Times New Roman" w:hAnsi="Times New Roman"/>
          <w:sz w:val="24"/>
          <w:szCs w:val="24"/>
        </w:rPr>
        <w:t xml:space="preserve"> 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p>
    <w:p w:rsidR="004342F0" w:rsidRPr="004342F0" w:rsidRDefault="004342F0">
      <w:pPr>
        <w:pStyle w:val="ListParagraph"/>
        <w:ind w:left="0" w:right="170"/>
        <w:contextualSpacing w:val="0"/>
        <w:rPr>
          <w:rFonts w:ascii="Times New Roman" w:hAnsi="Times New Roman"/>
          <w:sz w:val="24"/>
          <w:szCs w:val="24"/>
        </w:rPr>
      </w:pPr>
    </w:p>
    <w:p w:rsidR="000545DC" w:rsidRDefault="000545DC">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It provides an analysis of options </w:t>
      </w:r>
      <w:r w:rsidR="0075365E">
        <w:rPr>
          <w:rFonts w:ascii="Times New Roman" w:hAnsi="Times New Roman"/>
          <w:sz w:val="24"/>
          <w:szCs w:val="24"/>
        </w:rPr>
        <w:t xml:space="preserve">for </w:t>
      </w:r>
      <w:r w:rsidR="00BA6451">
        <w:rPr>
          <w:rFonts w:ascii="Times New Roman" w:hAnsi="Times New Roman"/>
          <w:sz w:val="24"/>
          <w:szCs w:val="24"/>
        </w:rPr>
        <w:t xml:space="preserve">optimising the effectiveness </w:t>
      </w:r>
      <w:r w:rsidR="00745324">
        <w:rPr>
          <w:rFonts w:ascii="Times New Roman" w:hAnsi="Times New Roman"/>
          <w:sz w:val="24"/>
          <w:szCs w:val="24"/>
        </w:rPr>
        <w:t xml:space="preserve">and the integrity </w:t>
      </w:r>
      <w:r w:rsidR="00BA6451">
        <w:rPr>
          <w:rFonts w:ascii="Times New Roman" w:hAnsi="Times New Roman"/>
          <w:sz w:val="24"/>
          <w:szCs w:val="24"/>
        </w:rPr>
        <w:t xml:space="preserve">of the “bright-line test” proposed in </w:t>
      </w:r>
      <w:r w:rsidR="001B114A">
        <w:rPr>
          <w:rFonts w:ascii="Times New Roman" w:hAnsi="Times New Roman"/>
          <w:sz w:val="24"/>
          <w:szCs w:val="24"/>
        </w:rPr>
        <w:t xml:space="preserve">the </w:t>
      </w:r>
      <w:r w:rsidR="0075365E" w:rsidRPr="0075365E">
        <w:rPr>
          <w:rFonts w:ascii="Times New Roman" w:hAnsi="Times New Roman"/>
          <w:sz w:val="24"/>
          <w:szCs w:val="24"/>
        </w:rPr>
        <w:t>Taxation (Bright-line Test for Residential Land) Bill</w:t>
      </w:r>
      <w:r w:rsidR="0075365E">
        <w:rPr>
          <w:rFonts w:ascii="Times New Roman" w:hAnsi="Times New Roman"/>
          <w:sz w:val="24"/>
          <w:szCs w:val="24"/>
        </w:rPr>
        <w:t>.</w:t>
      </w:r>
    </w:p>
    <w:p w:rsidR="0075365E" w:rsidRDefault="0075365E">
      <w:pPr>
        <w:pStyle w:val="ListParagraph"/>
        <w:ind w:left="0" w:right="170"/>
        <w:contextualSpacing w:val="0"/>
        <w:rPr>
          <w:rFonts w:ascii="Times New Roman" w:hAnsi="Times New Roman"/>
          <w:sz w:val="24"/>
          <w:szCs w:val="24"/>
        </w:rPr>
      </w:pPr>
    </w:p>
    <w:p w:rsidR="0075365E" w:rsidRDefault="0075365E" w:rsidP="006C19A4">
      <w:pPr>
        <w:jc w:val="both"/>
        <w:rPr>
          <w:rFonts w:ascii="Times New Roman" w:hAnsi="Times New Roman"/>
          <w:sz w:val="24"/>
          <w:szCs w:val="24"/>
          <w:lang w:val="en-NZ"/>
        </w:rPr>
      </w:pPr>
      <w:r w:rsidRPr="00CD666F">
        <w:rPr>
          <w:rFonts w:ascii="Times New Roman" w:hAnsi="Times New Roman"/>
          <w:sz w:val="24"/>
          <w:szCs w:val="24"/>
          <w:lang w:val="en-NZ"/>
        </w:rPr>
        <w:t>On 14 May 2015, the Government announced plans to introduce a bright-line test to buttress the “intention test” in the current land sale rules</w:t>
      </w:r>
      <w:r w:rsidR="005965C4">
        <w:rPr>
          <w:rFonts w:ascii="Times New Roman" w:hAnsi="Times New Roman"/>
          <w:sz w:val="24"/>
          <w:szCs w:val="24"/>
          <w:lang w:val="en-NZ"/>
        </w:rPr>
        <w:t xml:space="preserve">.  </w:t>
      </w:r>
      <w:r w:rsidR="00491E38">
        <w:rPr>
          <w:rFonts w:ascii="Times New Roman" w:hAnsi="Times New Roman"/>
          <w:sz w:val="24"/>
          <w:szCs w:val="24"/>
          <w:lang w:val="en-NZ"/>
        </w:rPr>
        <w:t>T</w:t>
      </w:r>
      <w:r w:rsidR="00491E38" w:rsidRPr="00997B37">
        <w:rPr>
          <w:rFonts w:ascii="Times New Roman" w:hAnsi="Times New Roman"/>
          <w:sz w:val="24"/>
          <w:szCs w:val="24"/>
          <w:lang w:val="en-NZ"/>
        </w:rPr>
        <w:t>he</w:t>
      </w:r>
      <w:r w:rsidR="00491E38">
        <w:rPr>
          <w:rFonts w:ascii="Times New Roman" w:hAnsi="Times New Roman"/>
          <w:sz w:val="24"/>
          <w:szCs w:val="24"/>
          <w:lang w:val="en-NZ"/>
        </w:rPr>
        <w:t xml:space="preserve"> proposed</w:t>
      </w:r>
      <w:r w:rsidR="00491E38" w:rsidRPr="00997B37">
        <w:rPr>
          <w:rFonts w:ascii="Times New Roman" w:hAnsi="Times New Roman"/>
          <w:sz w:val="24"/>
          <w:szCs w:val="24"/>
          <w:lang w:val="en-NZ"/>
        </w:rPr>
        <w:t xml:space="preserve"> bright-line test w</w:t>
      </w:r>
      <w:r w:rsidR="00491E38">
        <w:rPr>
          <w:rFonts w:ascii="Times New Roman" w:hAnsi="Times New Roman"/>
          <w:sz w:val="24"/>
          <w:szCs w:val="24"/>
          <w:lang w:val="en-NZ"/>
        </w:rPr>
        <w:t>ould</w:t>
      </w:r>
      <w:r w:rsidR="00491E38" w:rsidRPr="00997B37">
        <w:rPr>
          <w:rFonts w:ascii="Times New Roman" w:hAnsi="Times New Roman"/>
          <w:sz w:val="24"/>
          <w:szCs w:val="24"/>
          <w:lang w:val="en-NZ"/>
        </w:rPr>
        <w:t xml:space="preserve"> require income tax to be paid on any gains from the disposal of residential land that is acquired and disposed of within two years, subject to some exceptions</w:t>
      </w:r>
      <w:r w:rsidR="005965C4">
        <w:rPr>
          <w:rFonts w:ascii="Times New Roman" w:hAnsi="Times New Roman"/>
          <w:sz w:val="24"/>
          <w:szCs w:val="24"/>
          <w:lang w:val="en-NZ"/>
        </w:rPr>
        <w:t xml:space="preserve">.  </w:t>
      </w:r>
      <w:r>
        <w:rPr>
          <w:rFonts w:ascii="Times New Roman" w:hAnsi="Times New Roman"/>
          <w:sz w:val="24"/>
          <w:szCs w:val="24"/>
          <w:lang w:val="en-NZ"/>
        </w:rPr>
        <w:t>The Government also announced plans to investigate the introduction of a withholding tax to collect revenue arising under the bright-line test.</w:t>
      </w:r>
    </w:p>
    <w:p w:rsidR="00AF6AA2" w:rsidRDefault="00491E38" w:rsidP="006C19A4">
      <w:pPr>
        <w:pStyle w:val="ListParagraph"/>
        <w:ind w:left="0" w:right="170"/>
        <w:contextualSpacing w:val="0"/>
        <w:rPr>
          <w:rFonts w:ascii="Times New Roman" w:hAnsi="Times New Roman"/>
          <w:sz w:val="24"/>
          <w:szCs w:val="24"/>
        </w:rPr>
      </w:pPr>
      <w:r>
        <w:rPr>
          <w:rFonts w:ascii="Times New Roman" w:hAnsi="Times New Roman"/>
          <w:sz w:val="24"/>
          <w:szCs w:val="24"/>
        </w:rPr>
        <w:t>The analysis in this RIS</w:t>
      </w:r>
      <w:r w:rsidR="0075365E" w:rsidRPr="00CD666F">
        <w:rPr>
          <w:rFonts w:ascii="Times New Roman" w:hAnsi="Times New Roman"/>
          <w:sz w:val="24"/>
          <w:szCs w:val="24"/>
        </w:rPr>
        <w:t xml:space="preserve"> was informed by public feedback on proposals contained in the officials’ issues paper </w:t>
      </w:r>
      <w:r w:rsidR="0075365E" w:rsidRPr="00BA6451">
        <w:rPr>
          <w:rFonts w:ascii="Times New Roman" w:hAnsi="Times New Roman"/>
          <w:i/>
          <w:sz w:val="24"/>
          <w:szCs w:val="24"/>
        </w:rPr>
        <w:t>Residential land withholding tax</w:t>
      </w:r>
      <w:r w:rsidR="0075365E" w:rsidRPr="00B02211">
        <w:rPr>
          <w:rFonts w:ascii="Times New Roman" w:hAnsi="Times New Roman"/>
          <w:sz w:val="24"/>
          <w:szCs w:val="24"/>
        </w:rPr>
        <w:t>,</w:t>
      </w:r>
      <w:r w:rsidR="0075365E" w:rsidRPr="00CD666F">
        <w:rPr>
          <w:rFonts w:ascii="Times New Roman" w:hAnsi="Times New Roman"/>
          <w:sz w:val="24"/>
          <w:szCs w:val="24"/>
        </w:rPr>
        <w:t xml:space="preserve"> which was released on </w:t>
      </w:r>
      <w:r w:rsidR="0075365E">
        <w:rPr>
          <w:rFonts w:ascii="Times New Roman" w:hAnsi="Times New Roman"/>
          <w:sz w:val="24"/>
          <w:szCs w:val="24"/>
        </w:rPr>
        <w:t xml:space="preserve">31 August </w:t>
      </w:r>
      <w:r w:rsidR="0075365E" w:rsidRPr="00CD666F">
        <w:rPr>
          <w:rFonts w:ascii="Times New Roman" w:hAnsi="Times New Roman"/>
          <w:sz w:val="24"/>
          <w:szCs w:val="24"/>
        </w:rPr>
        <w:t>2015</w:t>
      </w:r>
      <w:r w:rsidR="00562D0B">
        <w:rPr>
          <w:rFonts w:ascii="Times New Roman" w:hAnsi="Times New Roman"/>
          <w:sz w:val="24"/>
          <w:szCs w:val="24"/>
        </w:rPr>
        <w:t>,</w:t>
      </w:r>
      <w:r w:rsidR="00997B37">
        <w:rPr>
          <w:rFonts w:ascii="Times New Roman" w:hAnsi="Times New Roman"/>
          <w:sz w:val="24"/>
          <w:szCs w:val="24"/>
        </w:rPr>
        <w:t xml:space="preserve"> and further discussions with practitioners involved in the conveyancing process</w:t>
      </w:r>
      <w:r w:rsidR="005965C4">
        <w:rPr>
          <w:rFonts w:ascii="Times New Roman" w:hAnsi="Times New Roman"/>
          <w:sz w:val="24"/>
          <w:szCs w:val="24"/>
        </w:rPr>
        <w:t xml:space="preserve">.  </w:t>
      </w:r>
      <w:r w:rsidR="00BA6451">
        <w:rPr>
          <w:rFonts w:ascii="Times New Roman" w:hAnsi="Times New Roman"/>
          <w:sz w:val="24"/>
          <w:szCs w:val="24"/>
        </w:rPr>
        <w:t xml:space="preserve">The issues paper proposed the introduction of a withholding tax </w:t>
      </w:r>
      <w:r w:rsidR="00562D0B">
        <w:rPr>
          <w:rFonts w:ascii="Times New Roman" w:hAnsi="Times New Roman"/>
          <w:sz w:val="24"/>
          <w:szCs w:val="24"/>
        </w:rPr>
        <w:t xml:space="preserve">to collect revenue </w:t>
      </w:r>
      <w:r w:rsidR="00BA6451">
        <w:rPr>
          <w:rFonts w:ascii="Times New Roman" w:hAnsi="Times New Roman"/>
          <w:sz w:val="24"/>
          <w:szCs w:val="24"/>
        </w:rPr>
        <w:t xml:space="preserve">on </w:t>
      </w:r>
      <w:r w:rsidR="00562D0B">
        <w:rPr>
          <w:rFonts w:ascii="Times New Roman" w:hAnsi="Times New Roman"/>
          <w:sz w:val="24"/>
          <w:szCs w:val="24"/>
        </w:rPr>
        <w:t xml:space="preserve">gains from the </w:t>
      </w:r>
      <w:r w:rsidR="00BA6451">
        <w:rPr>
          <w:rFonts w:ascii="Times New Roman" w:hAnsi="Times New Roman"/>
          <w:sz w:val="24"/>
          <w:szCs w:val="24"/>
        </w:rPr>
        <w:t>sale of residential property to improve compliance with the bright-line test</w:t>
      </w:r>
      <w:r w:rsidR="005965C4">
        <w:rPr>
          <w:rFonts w:ascii="Times New Roman" w:hAnsi="Times New Roman"/>
          <w:sz w:val="24"/>
          <w:szCs w:val="24"/>
        </w:rPr>
        <w:t xml:space="preserve">.  </w:t>
      </w:r>
    </w:p>
    <w:p w:rsidR="0075365E" w:rsidRPr="00B02211" w:rsidRDefault="0075365E" w:rsidP="006C19A4">
      <w:pPr>
        <w:pStyle w:val="ListParagraph"/>
        <w:ind w:left="0" w:right="170"/>
        <w:contextualSpacing w:val="0"/>
        <w:rPr>
          <w:rFonts w:ascii="Times New Roman" w:hAnsi="Times New Roman"/>
          <w:sz w:val="24"/>
          <w:szCs w:val="24"/>
        </w:rPr>
      </w:pPr>
    </w:p>
    <w:p w:rsidR="001D009B" w:rsidRDefault="001D009B" w:rsidP="006C19A4">
      <w:pPr>
        <w:pStyle w:val="ListParagraph"/>
        <w:ind w:left="0" w:right="170"/>
        <w:contextualSpacing w:val="0"/>
        <w:rPr>
          <w:rFonts w:ascii="Times New Roman" w:hAnsi="Times New Roman"/>
          <w:sz w:val="24"/>
          <w:szCs w:val="24"/>
        </w:rPr>
      </w:pPr>
      <w:r w:rsidRPr="001D009B">
        <w:rPr>
          <w:rFonts w:ascii="Times New Roman" w:hAnsi="Times New Roman"/>
          <w:sz w:val="24"/>
          <w:szCs w:val="24"/>
        </w:rPr>
        <w:t xml:space="preserve">The preferred option </w:t>
      </w:r>
      <w:r w:rsidR="00C82AAA" w:rsidRPr="001D009B">
        <w:rPr>
          <w:rFonts w:ascii="Times New Roman" w:hAnsi="Times New Roman"/>
          <w:sz w:val="24"/>
          <w:szCs w:val="24"/>
        </w:rPr>
        <w:t xml:space="preserve">is </w:t>
      </w:r>
      <w:r w:rsidR="00BA6451">
        <w:rPr>
          <w:rFonts w:ascii="Times New Roman" w:hAnsi="Times New Roman"/>
          <w:sz w:val="24"/>
          <w:szCs w:val="24"/>
        </w:rPr>
        <w:t>to introduce a withholding tax, similar to that proposed in the officials’ issues paper</w:t>
      </w:r>
      <w:r w:rsidR="005965C4">
        <w:rPr>
          <w:rFonts w:ascii="Times New Roman" w:hAnsi="Times New Roman"/>
          <w:sz w:val="24"/>
          <w:szCs w:val="24"/>
        </w:rPr>
        <w:t xml:space="preserve">.  </w:t>
      </w:r>
      <w:r w:rsidR="00BA6451">
        <w:rPr>
          <w:rFonts w:ascii="Times New Roman" w:hAnsi="Times New Roman"/>
          <w:sz w:val="24"/>
          <w:szCs w:val="24"/>
        </w:rPr>
        <w:t xml:space="preserve">It is </w:t>
      </w:r>
      <w:r w:rsidR="00C82AAA" w:rsidRPr="001D009B">
        <w:rPr>
          <w:rFonts w:ascii="Times New Roman" w:hAnsi="Times New Roman"/>
          <w:sz w:val="24"/>
          <w:szCs w:val="24"/>
        </w:rPr>
        <w:t xml:space="preserve">designed </w:t>
      </w:r>
      <w:r w:rsidR="00050815">
        <w:rPr>
          <w:rFonts w:ascii="Times New Roman" w:hAnsi="Times New Roman"/>
          <w:sz w:val="24"/>
          <w:szCs w:val="24"/>
        </w:rPr>
        <w:t xml:space="preserve">primarily </w:t>
      </w:r>
      <w:r w:rsidR="00C82AAA" w:rsidRPr="001D009B">
        <w:rPr>
          <w:rFonts w:ascii="Times New Roman" w:hAnsi="Times New Roman"/>
          <w:sz w:val="24"/>
          <w:szCs w:val="24"/>
        </w:rPr>
        <w:t>as a collection mechanism for the proposed bright-line test and so is not intended to raise Crown Revenue</w:t>
      </w:r>
      <w:r w:rsidR="005965C4">
        <w:rPr>
          <w:rFonts w:ascii="Times New Roman" w:hAnsi="Times New Roman"/>
          <w:sz w:val="24"/>
          <w:szCs w:val="24"/>
        </w:rPr>
        <w:t xml:space="preserve">.  </w:t>
      </w:r>
      <w:r w:rsidR="00C82AAA" w:rsidRPr="001D009B">
        <w:rPr>
          <w:rFonts w:ascii="Times New Roman" w:hAnsi="Times New Roman"/>
          <w:sz w:val="24"/>
          <w:szCs w:val="24"/>
        </w:rPr>
        <w:t xml:space="preserve">As the preferred option would apply to a subset of bright-line sales, </w:t>
      </w:r>
      <w:r w:rsidRPr="001D009B">
        <w:rPr>
          <w:rFonts w:ascii="Times New Roman" w:hAnsi="Times New Roman"/>
          <w:sz w:val="24"/>
          <w:szCs w:val="24"/>
        </w:rPr>
        <w:t>it would collect a portion of revenue arising under the bright-line test</w:t>
      </w:r>
      <w:r w:rsidR="005965C4">
        <w:rPr>
          <w:rFonts w:ascii="Times New Roman" w:hAnsi="Times New Roman"/>
          <w:sz w:val="24"/>
          <w:szCs w:val="24"/>
        </w:rPr>
        <w:t xml:space="preserve">.  </w:t>
      </w:r>
      <w:r w:rsidRPr="001D009B">
        <w:rPr>
          <w:rFonts w:ascii="Times New Roman" w:hAnsi="Times New Roman"/>
          <w:sz w:val="24"/>
          <w:szCs w:val="24"/>
        </w:rPr>
        <w:t xml:space="preserve">The </w:t>
      </w:r>
      <w:r w:rsidRPr="00B02211">
        <w:rPr>
          <w:rFonts w:ascii="Times New Roman" w:hAnsi="Times New Roman"/>
          <w:sz w:val="24"/>
          <w:szCs w:val="24"/>
        </w:rPr>
        <w:t xml:space="preserve">exact fiscal and compliance cost figures for the proposed bright-line test are not available because Inland Revenue does not currently have accurate data on the types and levels of land sales occurring or how much is collected </w:t>
      </w:r>
      <w:r w:rsidR="00562D0B">
        <w:rPr>
          <w:rFonts w:ascii="Times New Roman" w:hAnsi="Times New Roman"/>
          <w:sz w:val="24"/>
          <w:szCs w:val="24"/>
        </w:rPr>
        <w:t xml:space="preserve">under </w:t>
      </w:r>
      <w:r w:rsidRPr="00B02211">
        <w:rPr>
          <w:rFonts w:ascii="Times New Roman" w:hAnsi="Times New Roman"/>
          <w:sz w:val="24"/>
          <w:szCs w:val="24"/>
        </w:rPr>
        <w:t xml:space="preserve">the </w:t>
      </w:r>
      <w:r w:rsidR="00562D0B">
        <w:rPr>
          <w:rFonts w:ascii="Times New Roman" w:hAnsi="Times New Roman"/>
          <w:sz w:val="24"/>
          <w:szCs w:val="24"/>
        </w:rPr>
        <w:t xml:space="preserve">current </w:t>
      </w:r>
      <w:r w:rsidRPr="00B02211">
        <w:rPr>
          <w:rFonts w:ascii="Times New Roman" w:hAnsi="Times New Roman"/>
          <w:sz w:val="24"/>
          <w:szCs w:val="24"/>
        </w:rPr>
        <w:t>land sale rules.</w:t>
      </w:r>
    </w:p>
    <w:p w:rsidR="00172738" w:rsidRPr="00B02211" w:rsidRDefault="00172738" w:rsidP="006C19A4">
      <w:pPr>
        <w:pStyle w:val="ListParagraph"/>
        <w:ind w:left="0" w:right="170"/>
        <w:contextualSpacing w:val="0"/>
        <w:rPr>
          <w:rFonts w:ascii="Times New Roman" w:hAnsi="Times New Roman"/>
          <w:sz w:val="24"/>
          <w:szCs w:val="24"/>
        </w:rPr>
      </w:pPr>
    </w:p>
    <w:p w:rsidR="0075365E" w:rsidRDefault="0075365E" w:rsidP="006C19A4">
      <w:pPr>
        <w:pStyle w:val="ListParagraph"/>
        <w:ind w:left="0" w:right="170"/>
        <w:contextualSpacing w:val="0"/>
        <w:rPr>
          <w:rFonts w:ascii="Times New Roman" w:hAnsi="Times New Roman"/>
          <w:sz w:val="24"/>
          <w:szCs w:val="24"/>
        </w:rPr>
      </w:pPr>
      <w:r w:rsidRPr="009B05C8">
        <w:rPr>
          <w:rFonts w:ascii="Times New Roman" w:hAnsi="Times New Roman"/>
          <w:sz w:val="24"/>
          <w:szCs w:val="24"/>
        </w:rPr>
        <w:t>The data for these areas is expected to improve as new information disclosure requirements for property come into force and Inland Revenue implements a new form to better monitor taxable land sales.</w:t>
      </w:r>
    </w:p>
    <w:p w:rsidR="00997B37" w:rsidRDefault="00997B37" w:rsidP="006C19A4">
      <w:pPr>
        <w:pStyle w:val="ListParagraph"/>
        <w:ind w:left="0" w:right="170"/>
        <w:contextualSpacing w:val="0"/>
        <w:rPr>
          <w:rFonts w:ascii="Times New Roman" w:hAnsi="Times New Roman"/>
          <w:sz w:val="24"/>
          <w:szCs w:val="24"/>
        </w:rPr>
      </w:pPr>
    </w:p>
    <w:p w:rsidR="0075365E" w:rsidRDefault="00993DB6" w:rsidP="006C19A4">
      <w:pPr>
        <w:pStyle w:val="ListParagraph"/>
        <w:ind w:left="0" w:right="170"/>
        <w:contextualSpacing w:val="0"/>
        <w:rPr>
          <w:rFonts w:ascii="Times New Roman" w:hAnsi="Times New Roman"/>
          <w:sz w:val="24"/>
          <w:szCs w:val="24"/>
        </w:rPr>
      </w:pPr>
      <w:r>
        <w:rPr>
          <w:rFonts w:ascii="Times New Roman" w:hAnsi="Times New Roman"/>
          <w:sz w:val="24"/>
          <w:szCs w:val="24"/>
        </w:rPr>
        <w:t>The analysis in this</w:t>
      </w:r>
      <w:r w:rsidR="005A5676">
        <w:rPr>
          <w:rFonts w:ascii="Times New Roman" w:hAnsi="Times New Roman"/>
          <w:sz w:val="24"/>
          <w:szCs w:val="24"/>
        </w:rPr>
        <w:t xml:space="preserve"> RIS </w:t>
      </w:r>
      <w:r w:rsidR="0049229C" w:rsidRPr="0049229C">
        <w:rPr>
          <w:rFonts w:ascii="Times New Roman" w:hAnsi="Times New Roman"/>
          <w:sz w:val="24"/>
          <w:szCs w:val="24"/>
        </w:rPr>
        <w:t>needs to be considered in light of the additional constraint faced by Inland Revenue at the present time, which is its inability to make significant systems changes in advance of the relevant stage of development of its Business Transformation programme.</w:t>
      </w:r>
    </w:p>
    <w:p w:rsidR="00993DB6" w:rsidRDefault="00993DB6" w:rsidP="006C19A4">
      <w:pPr>
        <w:pStyle w:val="ListParagraph"/>
        <w:ind w:left="0" w:right="170"/>
        <w:contextualSpacing w:val="0"/>
        <w:rPr>
          <w:rFonts w:ascii="Times New Roman" w:hAnsi="Times New Roman"/>
          <w:sz w:val="24"/>
          <w:szCs w:val="24"/>
        </w:rPr>
      </w:pPr>
    </w:p>
    <w:p w:rsidR="00050815" w:rsidRPr="006C19A4" w:rsidRDefault="00050815" w:rsidP="006C19A4">
      <w:pPr>
        <w:pStyle w:val="CommentText"/>
        <w:jc w:val="both"/>
        <w:rPr>
          <w:rFonts w:ascii="Times New Roman" w:hAnsi="Times New Roman"/>
          <w:sz w:val="24"/>
          <w:szCs w:val="24"/>
        </w:rPr>
      </w:pPr>
      <w:r w:rsidRPr="006C19A4">
        <w:rPr>
          <w:rFonts w:ascii="Times New Roman" w:hAnsi="Times New Roman"/>
          <w:sz w:val="24"/>
          <w:szCs w:val="24"/>
        </w:rPr>
        <w:t>This proposal has been subject to public consultation and the design features take a number of these comments into account</w:t>
      </w:r>
      <w:r w:rsidR="005965C4">
        <w:rPr>
          <w:rFonts w:ascii="Times New Roman" w:hAnsi="Times New Roman"/>
          <w:sz w:val="24"/>
          <w:szCs w:val="24"/>
        </w:rPr>
        <w:t xml:space="preserve">.  </w:t>
      </w:r>
      <w:r w:rsidRPr="006C19A4">
        <w:rPr>
          <w:rFonts w:ascii="Times New Roman" w:hAnsi="Times New Roman"/>
          <w:sz w:val="24"/>
          <w:szCs w:val="24"/>
        </w:rPr>
        <w:t>However, owing to time constraints</w:t>
      </w:r>
      <w:r>
        <w:rPr>
          <w:rFonts w:ascii="Times New Roman" w:hAnsi="Times New Roman"/>
          <w:sz w:val="24"/>
          <w:szCs w:val="24"/>
        </w:rPr>
        <w:t>,</w:t>
      </w:r>
      <w:r w:rsidRPr="006C19A4">
        <w:rPr>
          <w:rFonts w:ascii="Times New Roman" w:hAnsi="Times New Roman"/>
          <w:sz w:val="24"/>
          <w:szCs w:val="24"/>
        </w:rPr>
        <w:t> the time provided for submissions was slightly shorter than the time ordinarily provided under the Generic Tax Policy Process</w:t>
      </w:r>
      <w:r w:rsidR="005965C4">
        <w:rPr>
          <w:rFonts w:ascii="Times New Roman" w:hAnsi="Times New Roman"/>
          <w:sz w:val="24"/>
          <w:szCs w:val="24"/>
        </w:rPr>
        <w:t xml:space="preserve">.  </w:t>
      </w:r>
      <w:r w:rsidRPr="006C19A4">
        <w:rPr>
          <w:rFonts w:ascii="Times New Roman" w:hAnsi="Times New Roman"/>
          <w:sz w:val="24"/>
          <w:szCs w:val="24"/>
        </w:rPr>
        <w:t>Further, the time between receiving submissions and reporting on the final design was compressed</w:t>
      </w:r>
      <w:r w:rsidR="00B61CD2">
        <w:rPr>
          <w:rFonts w:ascii="Times New Roman" w:hAnsi="Times New Roman"/>
          <w:sz w:val="24"/>
          <w:szCs w:val="24"/>
        </w:rPr>
        <w:t xml:space="preserve">.  </w:t>
      </w:r>
      <w:r w:rsidRPr="006C19A4">
        <w:rPr>
          <w:rFonts w:ascii="Times New Roman" w:hAnsi="Times New Roman"/>
          <w:sz w:val="24"/>
          <w:szCs w:val="24"/>
        </w:rPr>
        <w:t xml:space="preserve">As a result, we cannot be sure that the nature and scale of the </w:t>
      </w:r>
      <w:r w:rsidRPr="006C19A4">
        <w:rPr>
          <w:rFonts w:ascii="Times New Roman" w:hAnsi="Times New Roman"/>
          <w:sz w:val="24"/>
          <w:szCs w:val="24"/>
        </w:rPr>
        <w:lastRenderedPageBreak/>
        <w:t>impacts and any potential unintended effects of the proposal have been fully considered in this analysis</w:t>
      </w:r>
      <w:r w:rsidR="00B61CD2">
        <w:rPr>
          <w:rFonts w:ascii="Times New Roman" w:hAnsi="Times New Roman"/>
          <w:sz w:val="24"/>
          <w:szCs w:val="24"/>
        </w:rPr>
        <w:t xml:space="preserve">.  </w:t>
      </w:r>
      <w:r w:rsidRPr="006C19A4">
        <w:rPr>
          <w:rFonts w:ascii="Times New Roman" w:hAnsi="Times New Roman"/>
          <w:sz w:val="24"/>
          <w:szCs w:val="24"/>
        </w:rPr>
        <w:t>We note that the Bill will be subject to a public consultation process as part of consideration by Select Committee.</w:t>
      </w:r>
    </w:p>
    <w:p w:rsidR="00085660" w:rsidRPr="004342F0" w:rsidRDefault="00085660">
      <w:pPr>
        <w:pStyle w:val="Text"/>
        <w:spacing w:before="0" w:after="0" w:line="240" w:lineRule="auto"/>
        <w:ind w:right="170"/>
        <w:rPr>
          <w:rFonts w:ascii="Times New Roman" w:hAnsi="Times New Roman"/>
          <w:sz w:val="24"/>
          <w:szCs w:val="24"/>
          <w:lang w:val="en-NZ"/>
        </w:rPr>
      </w:pPr>
    </w:p>
    <w:p w:rsidR="00085660" w:rsidRDefault="00085660">
      <w:pPr>
        <w:pStyle w:val="Text"/>
        <w:spacing w:before="0" w:after="0" w:line="240" w:lineRule="auto"/>
        <w:ind w:right="170"/>
        <w:rPr>
          <w:rFonts w:ascii="Times New Roman" w:hAnsi="Times New Roman"/>
          <w:sz w:val="24"/>
          <w:szCs w:val="24"/>
          <w:lang w:val="en-NZ"/>
        </w:rPr>
      </w:pPr>
    </w:p>
    <w:p w:rsidR="00385EC1" w:rsidRPr="004342F0" w:rsidRDefault="00385EC1">
      <w:pPr>
        <w:pStyle w:val="Text"/>
        <w:spacing w:before="0" w:after="0" w:line="240" w:lineRule="auto"/>
        <w:ind w:right="170"/>
        <w:rPr>
          <w:rFonts w:ascii="Times New Roman" w:hAnsi="Times New Roman"/>
          <w:sz w:val="24"/>
          <w:szCs w:val="24"/>
          <w:lang w:val="en-NZ"/>
        </w:rPr>
      </w:pPr>
    </w:p>
    <w:p w:rsidR="00085660" w:rsidRPr="004342F0" w:rsidRDefault="00085660">
      <w:pPr>
        <w:pStyle w:val="Text"/>
        <w:spacing w:before="0" w:after="0" w:line="240" w:lineRule="auto"/>
        <w:ind w:right="170"/>
        <w:rPr>
          <w:rFonts w:ascii="Times New Roman" w:hAnsi="Times New Roman"/>
          <w:sz w:val="24"/>
          <w:szCs w:val="24"/>
          <w:lang w:val="en-NZ"/>
        </w:rPr>
      </w:pPr>
    </w:p>
    <w:p w:rsidR="00085660" w:rsidRPr="00D06F9D" w:rsidRDefault="006F264E">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Carmel Peters</w:t>
      </w:r>
    </w:p>
    <w:p w:rsidR="009F7B9A" w:rsidRPr="00D06F9D" w:rsidRDefault="005965C4">
      <w:pPr>
        <w:pStyle w:val="Text"/>
        <w:tabs>
          <w:tab w:val="left" w:pos="567"/>
        </w:tabs>
        <w:spacing w:before="0" w:after="0" w:line="240" w:lineRule="auto"/>
        <w:ind w:right="170"/>
        <w:rPr>
          <w:rFonts w:ascii="Times New Roman" w:hAnsi="Times New Roman"/>
          <w:sz w:val="24"/>
          <w:szCs w:val="24"/>
          <w:lang w:val="en-NZ"/>
        </w:rPr>
      </w:pPr>
      <w:r w:rsidRPr="00D06F9D">
        <w:rPr>
          <w:rFonts w:ascii="Times New Roman" w:hAnsi="Times New Roman"/>
          <w:sz w:val="24"/>
          <w:szCs w:val="24"/>
          <w:lang w:val="en-NZ"/>
        </w:rPr>
        <w:t xml:space="preserve">Policy </w:t>
      </w:r>
      <w:r w:rsidR="00497DFC" w:rsidRPr="00EB3175">
        <w:rPr>
          <w:rFonts w:ascii="Times New Roman" w:hAnsi="Times New Roman"/>
          <w:sz w:val="24"/>
          <w:szCs w:val="24"/>
          <w:lang w:val="en-NZ"/>
        </w:rPr>
        <w:t>Manager</w:t>
      </w:r>
      <w:r w:rsidR="005A62E6" w:rsidRPr="00D06F9D">
        <w:rPr>
          <w:rFonts w:ascii="Times New Roman" w:hAnsi="Times New Roman"/>
          <w:sz w:val="24"/>
          <w:szCs w:val="24"/>
          <w:lang w:val="en-NZ"/>
        </w:rPr>
        <w:t>, Policy and Strategy</w:t>
      </w:r>
    </w:p>
    <w:p w:rsidR="001C6912" w:rsidRPr="00D06F9D" w:rsidRDefault="001C6912">
      <w:pPr>
        <w:pStyle w:val="Text"/>
        <w:tabs>
          <w:tab w:val="left" w:pos="567"/>
        </w:tabs>
        <w:spacing w:before="0" w:after="0" w:line="240" w:lineRule="auto"/>
        <w:ind w:right="170"/>
        <w:rPr>
          <w:rFonts w:ascii="Times New Roman" w:hAnsi="Times New Roman"/>
          <w:sz w:val="24"/>
          <w:szCs w:val="24"/>
          <w:lang w:val="en-NZ"/>
        </w:rPr>
      </w:pPr>
      <w:r w:rsidRPr="00D06F9D">
        <w:rPr>
          <w:rFonts w:ascii="Times New Roman" w:hAnsi="Times New Roman"/>
          <w:sz w:val="24"/>
          <w:szCs w:val="24"/>
          <w:lang w:val="en-NZ"/>
        </w:rPr>
        <w:t>Inland Revenue</w:t>
      </w:r>
    </w:p>
    <w:p w:rsidR="000545DC" w:rsidRPr="00D06F9D" w:rsidRDefault="000545DC">
      <w:pPr>
        <w:pStyle w:val="Text"/>
        <w:tabs>
          <w:tab w:val="left" w:pos="567"/>
        </w:tabs>
        <w:spacing w:before="0" w:after="0" w:line="240" w:lineRule="auto"/>
        <w:ind w:right="170"/>
        <w:rPr>
          <w:rFonts w:ascii="Times New Roman" w:hAnsi="Times New Roman"/>
          <w:sz w:val="24"/>
          <w:szCs w:val="24"/>
          <w:lang w:val="en-NZ"/>
        </w:rPr>
      </w:pPr>
    </w:p>
    <w:p w:rsidR="000545DC" w:rsidRPr="004342F0" w:rsidRDefault="00D06F9D">
      <w:pPr>
        <w:pStyle w:val="Text"/>
        <w:tabs>
          <w:tab w:val="left" w:pos="567"/>
        </w:tabs>
        <w:spacing w:before="0" w:after="0" w:line="240" w:lineRule="auto"/>
        <w:ind w:right="170"/>
        <w:rPr>
          <w:rFonts w:ascii="Times New Roman" w:hAnsi="Times New Roman"/>
          <w:sz w:val="24"/>
          <w:szCs w:val="24"/>
          <w:lang w:val="en-NZ"/>
        </w:rPr>
      </w:pPr>
      <w:r w:rsidRPr="00EB3175">
        <w:rPr>
          <w:rFonts w:ascii="Times New Roman" w:hAnsi="Times New Roman"/>
          <w:sz w:val="24"/>
          <w:szCs w:val="24"/>
          <w:lang w:val="en-NZ"/>
        </w:rPr>
        <w:t xml:space="preserve">09 </w:t>
      </w:r>
      <w:r w:rsidR="00497DFC" w:rsidRPr="00EB3175">
        <w:rPr>
          <w:rFonts w:ascii="Times New Roman" w:hAnsi="Times New Roman"/>
          <w:sz w:val="24"/>
          <w:szCs w:val="24"/>
          <w:lang w:val="en-NZ"/>
        </w:rPr>
        <w:t>November</w:t>
      </w:r>
      <w:r w:rsidR="00AA535B" w:rsidRPr="00D06F9D">
        <w:rPr>
          <w:rFonts w:ascii="Times New Roman" w:hAnsi="Times New Roman"/>
          <w:sz w:val="24"/>
          <w:szCs w:val="24"/>
          <w:lang w:val="en-NZ"/>
        </w:rPr>
        <w:t xml:space="preserve"> 2015</w:t>
      </w:r>
    </w:p>
    <w:p w:rsidR="005A5676" w:rsidRDefault="005A5676" w:rsidP="006C19A4">
      <w:pPr>
        <w:pStyle w:val="RISheading"/>
        <w:jc w:val="both"/>
        <w:rPr>
          <w:spacing w:val="0"/>
          <w:w w:val="100"/>
        </w:rPr>
      </w:pPr>
      <w:bookmarkStart w:id="6" w:name="_Toc244580363"/>
      <w:bookmarkStart w:id="7" w:name="_Toc244587039"/>
      <w:bookmarkStart w:id="8" w:name="_Toc244857273"/>
      <w:bookmarkStart w:id="9" w:name="_Toc244912538"/>
      <w:bookmarkStart w:id="10" w:name="_Toc244916995"/>
    </w:p>
    <w:p w:rsidR="005A5676" w:rsidRDefault="005A5676" w:rsidP="006C19A4">
      <w:pPr>
        <w:pStyle w:val="RISheading"/>
        <w:jc w:val="both"/>
        <w:rPr>
          <w:spacing w:val="0"/>
          <w:w w:val="100"/>
        </w:rPr>
      </w:pPr>
    </w:p>
    <w:p w:rsidR="000545DC" w:rsidRPr="004342F0" w:rsidRDefault="001C6912" w:rsidP="006C19A4">
      <w:pPr>
        <w:pStyle w:val="RISheading"/>
        <w:jc w:val="both"/>
        <w:rPr>
          <w:spacing w:val="0"/>
          <w:w w:val="100"/>
        </w:rPr>
      </w:pPr>
      <w:r w:rsidRPr="004342F0">
        <w:rPr>
          <w:spacing w:val="0"/>
          <w:w w:val="100"/>
        </w:rPr>
        <w:br w:type="page"/>
      </w:r>
      <w:r w:rsidRPr="004342F0">
        <w:rPr>
          <w:spacing w:val="0"/>
          <w:w w:val="100"/>
        </w:rPr>
        <w:lastRenderedPageBreak/>
        <w:t>STATUS QUO AND PROBLEM DEFINITION</w:t>
      </w:r>
      <w:bookmarkEnd w:id="6"/>
      <w:bookmarkEnd w:id="7"/>
      <w:bookmarkEnd w:id="8"/>
      <w:bookmarkEnd w:id="9"/>
      <w:bookmarkEnd w:id="10"/>
    </w:p>
    <w:p w:rsidR="001D009B" w:rsidRDefault="001D009B"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Government is concerned with high house prices, particularly in the Auckland area</w:t>
      </w:r>
      <w:r w:rsidR="005965C4">
        <w:rPr>
          <w:rFonts w:ascii="Times New Roman" w:hAnsi="Times New Roman"/>
          <w:sz w:val="24"/>
          <w:szCs w:val="24"/>
        </w:rPr>
        <w:t xml:space="preserve">.  </w:t>
      </w:r>
      <w:r w:rsidR="005A5676">
        <w:rPr>
          <w:rFonts w:ascii="Times New Roman" w:hAnsi="Times New Roman"/>
          <w:sz w:val="24"/>
          <w:szCs w:val="24"/>
        </w:rPr>
        <w:t>Other possible causes, both on the supply and demand sides, are being separately considered, but p</w:t>
      </w:r>
      <w:r>
        <w:rPr>
          <w:rFonts w:ascii="Times New Roman" w:hAnsi="Times New Roman"/>
          <w:sz w:val="24"/>
          <w:szCs w:val="24"/>
        </w:rPr>
        <w:t>roperty speculation is seen as one of a number of causes of the current prices</w:t>
      </w:r>
      <w:r w:rsidR="005965C4">
        <w:rPr>
          <w:rFonts w:ascii="Times New Roman" w:hAnsi="Times New Roman"/>
          <w:sz w:val="24"/>
          <w:szCs w:val="24"/>
        </w:rPr>
        <w:t xml:space="preserve">.  </w:t>
      </w:r>
      <w:r>
        <w:rPr>
          <w:rFonts w:ascii="Times New Roman" w:hAnsi="Times New Roman"/>
          <w:sz w:val="24"/>
          <w:szCs w:val="24"/>
        </w:rPr>
        <w:t>The attractiveness of property speculation, when compared with other forms of investment increase</w:t>
      </w:r>
      <w:r w:rsidR="00D06F9D">
        <w:rPr>
          <w:rFonts w:ascii="Times New Roman" w:hAnsi="Times New Roman"/>
          <w:sz w:val="24"/>
          <w:szCs w:val="24"/>
        </w:rPr>
        <w:t>s</w:t>
      </w:r>
      <w:r>
        <w:rPr>
          <w:rFonts w:ascii="Times New Roman" w:hAnsi="Times New Roman"/>
          <w:sz w:val="24"/>
          <w:szCs w:val="24"/>
        </w:rPr>
        <w:t>, if the gains are able to be realised untaxed, when gains from other investments are taxed</w:t>
      </w:r>
      <w:r w:rsidR="005965C4">
        <w:rPr>
          <w:rFonts w:ascii="Times New Roman" w:hAnsi="Times New Roman"/>
          <w:sz w:val="24"/>
          <w:szCs w:val="24"/>
        </w:rPr>
        <w:t xml:space="preserve">.  </w:t>
      </w:r>
    </w:p>
    <w:p w:rsidR="00C7086B" w:rsidRDefault="00C7086B">
      <w:pPr>
        <w:pStyle w:val="ListParagraph"/>
        <w:rPr>
          <w:rFonts w:ascii="Times New Roman" w:hAnsi="Times New Roman"/>
          <w:sz w:val="24"/>
          <w:szCs w:val="24"/>
        </w:rPr>
      </w:pPr>
    </w:p>
    <w:p w:rsidR="005933EB" w:rsidRDefault="00C7086B"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5933EB">
        <w:rPr>
          <w:rFonts w:ascii="Times New Roman" w:hAnsi="Times New Roman"/>
          <w:sz w:val="24"/>
          <w:szCs w:val="24"/>
        </w:rPr>
        <w:t xml:space="preserve">The main change arising from the Budget 2015 property measures is the </w:t>
      </w:r>
      <w:r w:rsidR="00025C74">
        <w:rPr>
          <w:rFonts w:ascii="Times New Roman" w:hAnsi="Times New Roman"/>
          <w:sz w:val="24"/>
          <w:szCs w:val="24"/>
        </w:rPr>
        <w:t xml:space="preserve">proposed </w:t>
      </w:r>
      <w:r w:rsidRPr="005933EB">
        <w:rPr>
          <w:rFonts w:ascii="Times New Roman" w:hAnsi="Times New Roman"/>
          <w:sz w:val="24"/>
          <w:szCs w:val="24"/>
        </w:rPr>
        <w:t>introduction of a “bright-line” test that will</w:t>
      </w:r>
      <w:r w:rsidR="005933EB" w:rsidRPr="005933EB">
        <w:rPr>
          <w:rFonts w:ascii="Times New Roman" w:hAnsi="Times New Roman"/>
          <w:sz w:val="24"/>
          <w:szCs w:val="24"/>
        </w:rPr>
        <w:t xml:space="preserve"> require income tax to be paid on any gains from the sale of residential property that is bought and sold within two years, with some exceptions</w:t>
      </w:r>
      <w:r w:rsidR="00B61CD2">
        <w:rPr>
          <w:rFonts w:ascii="Times New Roman" w:hAnsi="Times New Roman"/>
          <w:sz w:val="24"/>
          <w:szCs w:val="24"/>
        </w:rPr>
        <w:t xml:space="preserve">. </w:t>
      </w:r>
    </w:p>
    <w:p w:rsidR="005933EB" w:rsidRDefault="005933EB">
      <w:pPr>
        <w:pStyle w:val="ListParagraph"/>
        <w:rPr>
          <w:rFonts w:ascii="Times New Roman" w:hAnsi="Times New Roman"/>
          <w:sz w:val="24"/>
          <w:szCs w:val="24"/>
        </w:rPr>
      </w:pPr>
    </w:p>
    <w:p w:rsidR="005933EB" w:rsidRDefault="005933EB"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5933EB">
        <w:rPr>
          <w:rFonts w:ascii="Times New Roman" w:hAnsi="Times New Roman"/>
          <w:sz w:val="24"/>
          <w:szCs w:val="24"/>
        </w:rPr>
        <w:t>The purpose of the bright-line test is to supplement the “intention test” in the current land sale rules</w:t>
      </w:r>
      <w:r w:rsidR="005965C4">
        <w:rPr>
          <w:rFonts w:ascii="Times New Roman" w:hAnsi="Times New Roman"/>
          <w:sz w:val="24"/>
          <w:szCs w:val="24"/>
        </w:rPr>
        <w:t xml:space="preserve">.  </w:t>
      </w:r>
      <w:r w:rsidRPr="005933EB">
        <w:rPr>
          <w:rFonts w:ascii="Times New Roman" w:hAnsi="Times New Roman"/>
          <w:sz w:val="24"/>
          <w:szCs w:val="24"/>
        </w:rPr>
        <w:t>The intention test makes gains from the sale of real property purchased with an intention of disposal taxable</w:t>
      </w:r>
      <w:r w:rsidR="005965C4">
        <w:rPr>
          <w:rFonts w:ascii="Times New Roman" w:hAnsi="Times New Roman"/>
          <w:sz w:val="24"/>
          <w:szCs w:val="24"/>
        </w:rPr>
        <w:t xml:space="preserve">.  </w:t>
      </w:r>
      <w:r w:rsidRPr="005933EB">
        <w:rPr>
          <w:rFonts w:ascii="Times New Roman" w:hAnsi="Times New Roman"/>
          <w:sz w:val="24"/>
          <w:szCs w:val="24"/>
        </w:rPr>
        <w:t xml:space="preserve">The intention test can be </w:t>
      </w:r>
      <w:r w:rsidR="00C40AC1">
        <w:rPr>
          <w:rFonts w:ascii="Times New Roman" w:hAnsi="Times New Roman"/>
          <w:sz w:val="24"/>
          <w:szCs w:val="24"/>
        </w:rPr>
        <w:t>challenging</w:t>
      </w:r>
      <w:r w:rsidR="00C40AC1" w:rsidRPr="005933EB">
        <w:rPr>
          <w:rFonts w:ascii="Times New Roman" w:hAnsi="Times New Roman"/>
          <w:sz w:val="24"/>
          <w:szCs w:val="24"/>
        </w:rPr>
        <w:t xml:space="preserve"> </w:t>
      </w:r>
      <w:r w:rsidRPr="005933EB">
        <w:rPr>
          <w:rFonts w:ascii="Times New Roman" w:hAnsi="Times New Roman"/>
          <w:sz w:val="24"/>
          <w:szCs w:val="24"/>
        </w:rPr>
        <w:t xml:space="preserve">to enforce due to </w:t>
      </w:r>
      <w:r w:rsidR="00C40AC1">
        <w:rPr>
          <w:rFonts w:ascii="Times New Roman" w:hAnsi="Times New Roman"/>
          <w:sz w:val="24"/>
          <w:szCs w:val="24"/>
        </w:rPr>
        <w:t>the difficulty i</w:t>
      </w:r>
      <w:r w:rsidR="009A1A27">
        <w:rPr>
          <w:rFonts w:ascii="Times New Roman" w:hAnsi="Times New Roman"/>
          <w:sz w:val="24"/>
          <w:szCs w:val="24"/>
        </w:rPr>
        <w:t>n</w:t>
      </w:r>
      <w:r w:rsidR="00C40AC1">
        <w:rPr>
          <w:rFonts w:ascii="Times New Roman" w:hAnsi="Times New Roman"/>
          <w:sz w:val="24"/>
          <w:szCs w:val="24"/>
        </w:rPr>
        <w:t xml:space="preserve"> proving a person’s intention </w:t>
      </w:r>
      <w:r w:rsidR="009A1A27">
        <w:rPr>
          <w:rFonts w:ascii="Times New Roman" w:hAnsi="Times New Roman"/>
          <w:sz w:val="24"/>
          <w:szCs w:val="24"/>
        </w:rPr>
        <w:t>up</w:t>
      </w:r>
      <w:r w:rsidR="00C40AC1">
        <w:rPr>
          <w:rFonts w:ascii="Times New Roman" w:hAnsi="Times New Roman"/>
          <w:sz w:val="24"/>
          <w:szCs w:val="24"/>
        </w:rPr>
        <w:t>on acquisition, which is a subjective test</w:t>
      </w:r>
      <w:r w:rsidR="005965C4">
        <w:rPr>
          <w:rFonts w:ascii="Times New Roman" w:hAnsi="Times New Roman"/>
          <w:sz w:val="24"/>
          <w:szCs w:val="24"/>
        </w:rPr>
        <w:t xml:space="preserve">.  </w:t>
      </w:r>
      <w:r w:rsidRPr="005933EB">
        <w:rPr>
          <w:rFonts w:ascii="Times New Roman" w:hAnsi="Times New Roman"/>
          <w:sz w:val="24"/>
          <w:szCs w:val="24"/>
        </w:rPr>
        <w:t>The bright-line test is intended to deal with the problem by supplementing the intention test with an objective test.</w:t>
      </w:r>
    </w:p>
    <w:p w:rsidR="005933EB" w:rsidRDefault="005933EB">
      <w:pPr>
        <w:pStyle w:val="ListParagraph"/>
        <w:rPr>
          <w:rFonts w:ascii="Times New Roman" w:hAnsi="Times New Roman"/>
          <w:sz w:val="24"/>
          <w:szCs w:val="24"/>
        </w:rPr>
      </w:pPr>
    </w:p>
    <w:p w:rsidR="00C7086B" w:rsidRDefault="00025C74"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If enacted, t</w:t>
      </w:r>
      <w:r w:rsidR="005933EB" w:rsidRPr="005933EB">
        <w:rPr>
          <w:rFonts w:ascii="Times New Roman" w:hAnsi="Times New Roman"/>
          <w:sz w:val="24"/>
          <w:szCs w:val="24"/>
        </w:rPr>
        <w:t xml:space="preserve">he </w:t>
      </w:r>
      <w:r w:rsidR="005933EB">
        <w:rPr>
          <w:rFonts w:ascii="Times New Roman" w:hAnsi="Times New Roman"/>
          <w:sz w:val="24"/>
          <w:szCs w:val="24"/>
        </w:rPr>
        <w:t>bright-line test</w:t>
      </w:r>
      <w:r w:rsidR="005933EB" w:rsidRPr="005933EB">
        <w:rPr>
          <w:rFonts w:ascii="Times New Roman" w:hAnsi="Times New Roman"/>
          <w:sz w:val="24"/>
          <w:szCs w:val="24"/>
        </w:rPr>
        <w:t xml:space="preserve"> will</w:t>
      </w:r>
      <w:r w:rsidR="005933EB">
        <w:rPr>
          <w:rFonts w:ascii="Times New Roman" w:hAnsi="Times New Roman"/>
          <w:sz w:val="24"/>
          <w:szCs w:val="24"/>
        </w:rPr>
        <w:t xml:space="preserve"> generally</w:t>
      </w:r>
      <w:r w:rsidR="005933EB" w:rsidRPr="005933EB">
        <w:rPr>
          <w:rFonts w:ascii="Times New Roman" w:hAnsi="Times New Roman"/>
          <w:sz w:val="24"/>
          <w:szCs w:val="24"/>
        </w:rPr>
        <w:t xml:space="preserve"> apply to property acquired under an agreement for sale and purchase entered into on or after 1 October 2015</w:t>
      </w:r>
      <w:r w:rsidR="005965C4">
        <w:rPr>
          <w:rFonts w:ascii="Times New Roman" w:hAnsi="Times New Roman"/>
          <w:sz w:val="24"/>
          <w:szCs w:val="24"/>
        </w:rPr>
        <w:t xml:space="preserve">.  </w:t>
      </w:r>
      <w:r w:rsidR="005933EB" w:rsidRPr="005933EB">
        <w:rPr>
          <w:rFonts w:ascii="Times New Roman" w:hAnsi="Times New Roman"/>
          <w:sz w:val="24"/>
          <w:szCs w:val="24"/>
        </w:rPr>
        <w:t>Legislation for the proposed bright-line test is included in the Taxation (Bright-line Test for Residential Land) Bill.</w:t>
      </w:r>
    </w:p>
    <w:p w:rsidR="005933EB" w:rsidRPr="005933EB" w:rsidRDefault="005933EB" w:rsidP="006C19A4">
      <w:pPr>
        <w:pStyle w:val="Bullet-list"/>
        <w:tabs>
          <w:tab w:val="num" w:pos="567"/>
        </w:tabs>
        <w:spacing w:after="0" w:line="240" w:lineRule="auto"/>
        <w:ind w:left="0" w:firstLine="0"/>
        <w:jc w:val="both"/>
        <w:rPr>
          <w:rFonts w:ascii="Times New Roman" w:hAnsi="Times New Roman"/>
          <w:sz w:val="24"/>
          <w:szCs w:val="24"/>
          <w:lang w:val="en-NZ"/>
        </w:rPr>
      </w:pPr>
    </w:p>
    <w:p w:rsidR="001D009B" w:rsidRDefault="00D23E55"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lang w:val="en-NZ"/>
        </w:rPr>
        <w:t>In addition to these measures, the Government announced that it would</w:t>
      </w:r>
      <w:r w:rsidR="001501E3">
        <w:rPr>
          <w:rFonts w:ascii="Times New Roman" w:hAnsi="Times New Roman"/>
          <w:sz w:val="24"/>
          <w:szCs w:val="24"/>
          <w:lang w:val="en-NZ"/>
        </w:rPr>
        <w:t xml:space="preserve"> investigate</w:t>
      </w:r>
      <w:r w:rsidR="001501E3">
        <w:rPr>
          <w:rFonts w:ascii="Times New Roman" w:hAnsi="Times New Roman"/>
          <w:sz w:val="24"/>
          <w:szCs w:val="24"/>
        </w:rPr>
        <w:t xml:space="preserve"> </w:t>
      </w:r>
      <w:r w:rsidR="001501E3" w:rsidRPr="001501E3">
        <w:rPr>
          <w:rFonts w:ascii="Times New Roman" w:hAnsi="Times New Roman"/>
          <w:sz w:val="24"/>
          <w:szCs w:val="24"/>
        </w:rPr>
        <w:t>the introduction of a withholding tax</w:t>
      </w:r>
      <w:r w:rsidR="00050815">
        <w:rPr>
          <w:rFonts w:ascii="Times New Roman" w:hAnsi="Times New Roman"/>
          <w:sz w:val="24"/>
          <w:szCs w:val="24"/>
        </w:rPr>
        <w:t xml:space="preserve"> for non-residents</w:t>
      </w:r>
      <w:r w:rsidR="001501E3" w:rsidRPr="001501E3">
        <w:rPr>
          <w:rFonts w:ascii="Times New Roman" w:hAnsi="Times New Roman"/>
          <w:sz w:val="24"/>
          <w:szCs w:val="24"/>
        </w:rPr>
        <w:t xml:space="preserve"> </w:t>
      </w:r>
      <w:r w:rsidR="00C40AC1">
        <w:rPr>
          <w:rFonts w:ascii="Times New Roman" w:hAnsi="Times New Roman"/>
          <w:sz w:val="24"/>
          <w:szCs w:val="24"/>
        </w:rPr>
        <w:t xml:space="preserve">sellers </w:t>
      </w:r>
      <w:r w:rsidR="001501E3" w:rsidRPr="001501E3">
        <w:rPr>
          <w:rFonts w:ascii="Times New Roman" w:hAnsi="Times New Roman"/>
          <w:sz w:val="24"/>
          <w:szCs w:val="24"/>
        </w:rPr>
        <w:t>to collect revenue arising under the bright-line test</w:t>
      </w:r>
      <w:r w:rsidR="005965C4">
        <w:rPr>
          <w:rFonts w:ascii="Times New Roman" w:hAnsi="Times New Roman"/>
          <w:sz w:val="24"/>
          <w:szCs w:val="24"/>
        </w:rPr>
        <w:t xml:space="preserve">.  </w:t>
      </w:r>
      <w:r w:rsidR="001501E3">
        <w:rPr>
          <w:rFonts w:ascii="Times New Roman" w:hAnsi="Times New Roman"/>
          <w:sz w:val="24"/>
          <w:szCs w:val="24"/>
        </w:rPr>
        <w:t>The Government directed Inland Revenue and Treasury officials to develop a withholding tax</w:t>
      </w:r>
      <w:r w:rsidR="0049229C">
        <w:rPr>
          <w:rFonts w:ascii="Times New Roman" w:hAnsi="Times New Roman"/>
          <w:sz w:val="24"/>
          <w:szCs w:val="24"/>
        </w:rPr>
        <w:t xml:space="preserve"> that could be implemented by mid-2016</w:t>
      </w:r>
      <w:r w:rsidR="001501E3">
        <w:rPr>
          <w:rFonts w:ascii="Times New Roman" w:hAnsi="Times New Roman"/>
          <w:sz w:val="24"/>
          <w:szCs w:val="24"/>
        </w:rPr>
        <w:t xml:space="preserve"> to improve compliance with the bright-line test.</w:t>
      </w:r>
    </w:p>
    <w:p w:rsidR="0044734A" w:rsidRDefault="0044734A">
      <w:pPr>
        <w:pStyle w:val="ListParagraph"/>
        <w:rPr>
          <w:rFonts w:ascii="Times New Roman" w:hAnsi="Times New Roman"/>
          <w:sz w:val="24"/>
          <w:szCs w:val="24"/>
        </w:rPr>
      </w:pPr>
    </w:p>
    <w:p w:rsidR="0044734A" w:rsidRPr="001501E3" w:rsidRDefault="0044734A"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regulatory impact statement deals with the question of how to </w:t>
      </w:r>
      <w:r w:rsidR="00BA6451">
        <w:rPr>
          <w:rFonts w:ascii="Times New Roman" w:hAnsi="Times New Roman"/>
          <w:sz w:val="24"/>
          <w:szCs w:val="24"/>
        </w:rPr>
        <w:t>optimise the effectiveness of the bright-line test</w:t>
      </w:r>
      <w:r w:rsidR="00025C74" w:rsidRPr="00025C74">
        <w:rPr>
          <w:rFonts w:ascii="Times New Roman" w:hAnsi="Times New Roman"/>
          <w:sz w:val="24"/>
          <w:szCs w:val="24"/>
        </w:rPr>
        <w:t xml:space="preserve"> </w:t>
      </w:r>
      <w:r w:rsidR="00025C74">
        <w:rPr>
          <w:rFonts w:ascii="Times New Roman" w:hAnsi="Times New Roman"/>
          <w:sz w:val="24"/>
          <w:szCs w:val="24"/>
        </w:rPr>
        <w:t xml:space="preserve">and support the integrity of </w:t>
      </w:r>
      <w:r w:rsidR="00231AEE">
        <w:rPr>
          <w:rFonts w:ascii="Times New Roman" w:hAnsi="Times New Roman"/>
          <w:sz w:val="24"/>
          <w:szCs w:val="24"/>
        </w:rPr>
        <w:t>the new rules</w:t>
      </w:r>
      <w:r w:rsidR="005965C4">
        <w:rPr>
          <w:rFonts w:ascii="Times New Roman" w:hAnsi="Times New Roman"/>
          <w:sz w:val="24"/>
          <w:szCs w:val="24"/>
        </w:rPr>
        <w:t xml:space="preserve">.  </w:t>
      </w:r>
    </w:p>
    <w:p w:rsidR="00CA5BF7" w:rsidRDefault="00CA5BF7">
      <w:pPr>
        <w:pStyle w:val="ListParagraph"/>
        <w:rPr>
          <w:rFonts w:ascii="Times New Roman" w:hAnsi="Times New Roman"/>
          <w:sz w:val="24"/>
          <w:szCs w:val="24"/>
        </w:rPr>
      </w:pPr>
    </w:p>
    <w:p w:rsidR="00CA5BF7" w:rsidRPr="00EB3AB2" w:rsidRDefault="005A5676">
      <w:pPr>
        <w:pStyle w:val="ListParagraph"/>
        <w:ind w:left="0"/>
        <w:rPr>
          <w:rFonts w:ascii="Times New Roman" w:hAnsi="Times New Roman"/>
          <w:b/>
          <w:sz w:val="24"/>
          <w:szCs w:val="24"/>
        </w:rPr>
      </w:pPr>
      <w:r>
        <w:rPr>
          <w:rFonts w:ascii="Times New Roman" w:hAnsi="Times New Roman"/>
          <w:b/>
          <w:sz w:val="24"/>
          <w:szCs w:val="24"/>
        </w:rPr>
        <w:t>Compliance with tax obligations</w:t>
      </w:r>
    </w:p>
    <w:p w:rsidR="00CA5BF7" w:rsidRDefault="00CA5BF7" w:rsidP="006C19A4">
      <w:pPr>
        <w:pStyle w:val="Bullet-list"/>
        <w:spacing w:after="0" w:line="240" w:lineRule="auto"/>
        <w:ind w:left="0" w:firstLine="0"/>
        <w:jc w:val="both"/>
        <w:rPr>
          <w:rFonts w:ascii="Times New Roman" w:hAnsi="Times New Roman"/>
          <w:sz w:val="24"/>
          <w:szCs w:val="24"/>
        </w:rPr>
      </w:pPr>
    </w:p>
    <w:p w:rsidR="003E27F9" w:rsidRPr="00645BEF" w:rsidRDefault="001501E3"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1501E3">
        <w:rPr>
          <w:rFonts w:ascii="Times New Roman" w:hAnsi="Times New Roman"/>
          <w:sz w:val="24"/>
          <w:szCs w:val="24"/>
        </w:rPr>
        <w:t>New Zealand taxes its tax residents on their worldwide income</w:t>
      </w:r>
      <w:r w:rsidR="005965C4">
        <w:rPr>
          <w:rFonts w:ascii="Times New Roman" w:hAnsi="Times New Roman"/>
          <w:sz w:val="24"/>
          <w:szCs w:val="24"/>
        </w:rPr>
        <w:t xml:space="preserve">.  </w:t>
      </w:r>
      <w:r w:rsidRPr="001501E3">
        <w:rPr>
          <w:rFonts w:ascii="Times New Roman" w:hAnsi="Times New Roman"/>
          <w:sz w:val="24"/>
          <w:szCs w:val="24"/>
        </w:rPr>
        <w:t>New Zealand</w:t>
      </w:r>
      <w:r w:rsidR="003E27F9">
        <w:rPr>
          <w:rFonts w:ascii="Times New Roman" w:hAnsi="Times New Roman"/>
          <w:sz w:val="24"/>
          <w:szCs w:val="24"/>
        </w:rPr>
        <w:t xml:space="preserve"> also</w:t>
      </w:r>
      <w:r w:rsidRPr="001501E3">
        <w:rPr>
          <w:rFonts w:ascii="Times New Roman" w:hAnsi="Times New Roman"/>
          <w:sz w:val="24"/>
          <w:szCs w:val="24"/>
        </w:rPr>
        <w:t xml:space="preserve"> taxes foreign investors on income that is sourced in New Zealand</w:t>
      </w:r>
      <w:r w:rsidR="005965C4">
        <w:rPr>
          <w:rFonts w:ascii="Times New Roman" w:hAnsi="Times New Roman"/>
          <w:sz w:val="24"/>
          <w:szCs w:val="24"/>
        </w:rPr>
        <w:t xml:space="preserve">.  </w:t>
      </w:r>
      <w:r w:rsidRPr="001501E3">
        <w:rPr>
          <w:rFonts w:ascii="Times New Roman" w:hAnsi="Times New Roman"/>
          <w:sz w:val="24"/>
          <w:szCs w:val="24"/>
        </w:rPr>
        <w:t xml:space="preserve">When a foreign investor has a branch or controls a subsidiary in New Zealand, tax can be imposed on the </w:t>
      </w:r>
      <w:r w:rsidR="00BF27CA">
        <w:rPr>
          <w:rFonts w:ascii="Times New Roman" w:hAnsi="Times New Roman"/>
          <w:sz w:val="24"/>
          <w:szCs w:val="24"/>
        </w:rPr>
        <w:t xml:space="preserve">New Zealand-sourced </w:t>
      </w:r>
      <w:r w:rsidRPr="001501E3">
        <w:rPr>
          <w:rFonts w:ascii="Times New Roman" w:hAnsi="Times New Roman"/>
          <w:sz w:val="24"/>
          <w:szCs w:val="24"/>
        </w:rPr>
        <w:t>income of that branch or subsidiary in the same way as it would be on New Zealanders</w:t>
      </w:r>
      <w:r w:rsidR="005965C4">
        <w:rPr>
          <w:rFonts w:ascii="Times New Roman" w:hAnsi="Times New Roman"/>
          <w:sz w:val="24"/>
          <w:szCs w:val="24"/>
        </w:rPr>
        <w:t xml:space="preserve">.  </w:t>
      </w:r>
      <w:r w:rsidR="00645BEF" w:rsidRPr="001501E3">
        <w:rPr>
          <w:rFonts w:ascii="Times New Roman" w:hAnsi="Times New Roman"/>
          <w:sz w:val="24"/>
          <w:szCs w:val="24"/>
        </w:rPr>
        <w:t xml:space="preserve">However, when the foreign investor does not have a New Zealand presence, it is more difficult for New Zealand to collect tax from </w:t>
      </w:r>
      <w:r w:rsidR="00AB1FE3">
        <w:rPr>
          <w:rFonts w:ascii="Times New Roman" w:hAnsi="Times New Roman"/>
          <w:sz w:val="24"/>
          <w:szCs w:val="24"/>
        </w:rPr>
        <w:t>them.</w:t>
      </w:r>
    </w:p>
    <w:p w:rsidR="001501E3" w:rsidRPr="001501E3" w:rsidRDefault="001501E3" w:rsidP="006C19A4">
      <w:pPr>
        <w:pStyle w:val="Bullet-list"/>
        <w:spacing w:after="0" w:line="240" w:lineRule="auto"/>
        <w:ind w:left="0" w:firstLine="0"/>
        <w:jc w:val="both"/>
        <w:rPr>
          <w:rFonts w:ascii="Times New Roman" w:hAnsi="Times New Roman"/>
          <w:sz w:val="24"/>
          <w:szCs w:val="24"/>
        </w:rPr>
      </w:pPr>
    </w:p>
    <w:p w:rsidR="00CD7888" w:rsidRDefault="00645BEF"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New Zealand’s tax system operates on </w:t>
      </w:r>
      <w:r w:rsidR="00CA5BF7">
        <w:rPr>
          <w:rFonts w:ascii="Times New Roman" w:hAnsi="Times New Roman"/>
          <w:sz w:val="24"/>
          <w:szCs w:val="24"/>
        </w:rPr>
        <w:t>the</w:t>
      </w:r>
      <w:r>
        <w:rPr>
          <w:rFonts w:ascii="Times New Roman" w:hAnsi="Times New Roman"/>
          <w:sz w:val="24"/>
          <w:szCs w:val="24"/>
        </w:rPr>
        <w:t xml:space="preserve"> principle of voluntary compliance, wh</w:t>
      </w:r>
      <w:r w:rsidR="00CA5BF7">
        <w:rPr>
          <w:rFonts w:ascii="Times New Roman" w:hAnsi="Times New Roman"/>
          <w:sz w:val="24"/>
          <w:szCs w:val="24"/>
        </w:rPr>
        <w:t xml:space="preserve">ich </w:t>
      </w:r>
      <w:r>
        <w:rPr>
          <w:rFonts w:ascii="Times New Roman" w:hAnsi="Times New Roman"/>
          <w:sz w:val="24"/>
          <w:szCs w:val="24"/>
        </w:rPr>
        <w:t>relies on taxpayers understanding their tax obligations and how the wider tax system works</w:t>
      </w:r>
      <w:r w:rsidR="005965C4">
        <w:rPr>
          <w:rFonts w:ascii="Times New Roman" w:hAnsi="Times New Roman"/>
          <w:sz w:val="24"/>
          <w:szCs w:val="24"/>
        </w:rPr>
        <w:t xml:space="preserve">.  </w:t>
      </w:r>
    </w:p>
    <w:p w:rsidR="00CD7888" w:rsidRDefault="00CD7888" w:rsidP="006C19A4">
      <w:pPr>
        <w:pStyle w:val="Bullet-list"/>
        <w:spacing w:after="0" w:line="240" w:lineRule="auto"/>
        <w:ind w:left="0" w:firstLine="0"/>
        <w:jc w:val="both"/>
        <w:rPr>
          <w:rFonts w:ascii="Times New Roman" w:hAnsi="Times New Roman"/>
          <w:sz w:val="24"/>
          <w:szCs w:val="24"/>
          <w:lang w:val="en-NZ"/>
        </w:rPr>
      </w:pPr>
    </w:p>
    <w:p w:rsidR="00645BEF" w:rsidRPr="00CA5BF7" w:rsidRDefault="00645BEF"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Foreign investors</w:t>
      </w:r>
      <w:r w:rsidR="00CA5BF7">
        <w:rPr>
          <w:rFonts w:ascii="Times New Roman" w:hAnsi="Times New Roman"/>
          <w:sz w:val="24"/>
          <w:szCs w:val="24"/>
        </w:rPr>
        <w:t xml:space="preserve"> may not always have the same level of understanding as taxpayers based in New Zealand</w:t>
      </w:r>
      <w:r w:rsidR="00FA2069">
        <w:rPr>
          <w:rFonts w:ascii="Times New Roman" w:hAnsi="Times New Roman"/>
          <w:sz w:val="24"/>
          <w:szCs w:val="24"/>
        </w:rPr>
        <w:t>, and they do not have the same level of connection to New Zealand that would otherwise create an intrinsic incentive to voluntarily comply with their New Zealand tax obligations.</w:t>
      </w:r>
    </w:p>
    <w:p w:rsidR="003E27F9" w:rsidRDefault="003E27F9">
      <w:pPr>
        <w:pStyle w:val="ListParagraph"/>
        <w:rPr>
          <w:rFonts w:ascii="Times New Roman" w:hAnsi="Times New Roman"/>
          <w:sz w:val="24"/>
          <w:szCs w:val="24"/>
        </w:rPr>
      </w:pPr>
    </w:p>
    <w:p w:rsidR="00317341" w:rsidRDefault="00CA5BF7"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lang w:val="en-NZ"/>
        </w:rPr>
      </w:pPr>
      <w:r>
        <w:rPr>
          <w:rFonts w:ascii="Times New Roman" w:hAnsi="Times New Roman"/>
          <w:sz w:val="24"/>
          <w:szCs w:val="24"/>
        </w:rPr>
        <w:t xml:space="preserve">While voluntary compliance is an important feature </w:t>
      </w:r>
      <w:r w:rsidR="00AB6DC5">
        <w:rPr>
          <w:rFonts w:ascii="Times New Roman" w:hAnsi="Times New Roman"/>
          <w:sz w:val="24"/>
          <w:szCs w:val="24"/>
        </w:rPr>
        <w:t xml:space="preserve">of New Zealand’s tax </w:t>
      </w:r>
      <w:r w:rsidR="00C40AC1">
        <w:rPr>
          <w:rFonts w:ascii="Times New Roman" w:hAnsi="Times New Roman"/>
          <w:sz w:val="24"/>
          <w:szCs w:val="24"/>
        </w:rPr>
        <w:t>system</w:t>
      </w:r>
      <w:r w:rsidR="00AB6DC5">
        <w:rPr>
          <w:rFonts w:ascii="Times New Roman" w:hAnsi="Times New Roman"/>
          <w:sz w:val="24"/>
          <w:szCs w:val="24"/>
        </w:rPr>
        <w:t xml:space="preserve">, </w:t>
      </w:r>
      <w:r w:rsidR="00BF27CA">
        <w:rPr>
          <w:rFonts w:ascii="Times New Roman" w:hAnsi="Times New Roman"/>
          <w:sz w:val="24"/>
          <w:szCs w:val="24"/>
          <w:lang w:val="en-NZ"/>
        </w:rPr>
        <w:t>withholding taxes are imposed</w:t>
      </w:r>
      <w:r w:rsidR="00CD7888" w:rsidRPr="00513891">
        <w:rPr>
          <w:rFonts w:ascii="Times New Roman" w:hAnsi="Times New Roman"/>
          <w:sz w:val="24"/>
          <w:szCs w:val="24"/>
          <w:lang w:val="en-NZ"/>
        </w:rPr>
        <w:t xml:space="preserve"> on many types of income where there is likely to be </w:t>
      </w:r>
      <w:r w:rsidR="00C40AC1">
        <w:rPr>
          <w:rFonts w:ascii="Times New Roman" w:hAnsi="Times New Roman"/>
          <w:sz w:val="24"/>
          <w:szCs w:val="24"/>
          <w:lang w:val="en-NZ"/>
        </w:rPr>
        <w:t xml:space="preserve">a </w:t>
      </w:r>
      <w:r w:rsidR="00CD7888" w:rsidRPr="00513891">
        <w:rPr>
          <w:rFonts w:ascii="Times New Roman" w:hAnsi="Times New Roman"/>
          <w:sz w:val="24"/>
          <w:szCs w:val="24"/>
          <w:lang w:val="en-NZ"/>
        </w:rPr>
        <w:t>tax liability and there is the possibility of</w:t>
      </w:r>
      <w:r w:rsidR="00CD7888">
        <w:rPr>
          <w:rFonts w:ascii="Times New Roman" w:hAnsi="Times New Roman"/>
          <w:sz w:val="24"/>
          <w:szCs w:val="24"/>
          <w:lang w:val="en-NZ"/>
        </w:rPr>
        <w:t xml:space="preserve"> un</w:t>
      </w:r>
      <w:r w:rsidR="00CD7888" w:rsidRPr="00513891">
        <w:rPr>
          <w:rFonts w:ascii="Times New Roman" w:hAnsi="Times New Roman"/>
          <w:sz w:val="24"/>
          <w:szCs w:val="24"/>
          <w:lang w:val="en-NZ"/>
        </w:rPr>
        <w:t>enforceability or evasion</w:t>
      </w:r>
      <w:r w:rsidR="005965C4">
        <w:rPr>
          <w:rFonts w:ascii="Times New Roman" w:hAnsi="Times New Roman"/>
          <w:sz w:val="24"/>
          <w:szCs w:val="24"/>
          <w:lang w:val="en-NZ"/>
        </w:rPr>
        <w:t xml:space="preserve">.  </w:t>
      </w:r>
      <w:r w:rsidR="00317341" w:rsidRPr="00317341">
        <w:rPr>
          <w:rFonts w:ascii="Times New Roman" w:hAnsi="Times New Roman"/>
          <w:sz w:val="24"/>
          <w:szCs w:val="24"/>
        </w:rPr>
        <w:t xml:space="preserve">Withholding taxes are important </w:t>
      </w:r>
      <w:r w:rsidR="00C40AC1">
        <w:rPr>
          <w:rFonts w:ascii="Times New Roman" w:hAnsi="Times New Roman"/>
          <w:sz w:val="24"/>
          <w:szCs w:val="24"/>
        </w:rPr>
        <w:t xml:space="preserve">in these situations </w:t>
      </w:r>
      <w:r w:rsidR="00317341" w:rsidRPr="00317341">
        <w:rPr>
          <w:rFonts w:ascii="Times New Roman" w:hAnsi="Times New Roman"/>
          <w:sz w:val="24"/>
          <w:szCs w:val="24"/>
        </w:rPr>
        <w:t>because they ensure that the relevant tax is paid out of the amount due to the payee before the payee gets control of the funds</w:t>
      </w:r>
      <w:r w:rsidR="005965C4">
        <w:rPr>
          <w:rFonts w:ascii="Times New Roman" w:hAnsi="Times New Roman"/>
          <w:sz w:val="24"/>
          <w:szCs w:val="24"/>
        </w:rPr>
        <w:t xml:space="preserve">.  </w:t>
      </w:r>
      <w:r w:rsidR="00F83CD6">
        <w:rPr>
          <w:rFonts w:ascii="Times New Roman" w:hAnsi="Times New Roman"/>
          <w:sz w:val="24"/>
          <w:szCs w:val="24"/>
        </w:rPr>
        <w:t xml:space="preserve">Under New Zealand’s </w:t>
      </w:r>
      <w:r w:rsidR="00BF27CA">
        <w:rPr>
          <w:rFonts w:ascii="Times New Roman" w:hAnsi="Times New Roman"/>
          <w:sz w:val="24"/>
          <w:szCs w:val="24"/>
        </w:rPr>
        <w:t xml:space="preserve">tax </w:t>
      </w:r>
      <w:r w:rsidR="00F83CD6">
        <w:rPr>
          <w:rFonts w:ascii="Times New Roman" w:hAnsi="Times New Roman"/>
          <w:sz w:val="24"/>
          <w:szCs w:val="24"/>
        </w:rPr>
        <w:t>rules, t</w:t>
      </w:r>
      <w:r w:rsidR="00317341" w:rsidRPr="00F05150">
        <w:rPr>
          <w:rFonts w:ascii="Times New Roman" w:hAnsi="Times New Roman"/>
          <w:sz w:val="24"/>
          <w:szCs w:val="24"/>
        </w:rPr>
        <w:t>he Commissioner</w:t>
      </w:r>
      <w:r w:rsidR="00F83CD6">
        <w:rPr>
          <w:rFonts w:ascii="Times New Roman" w:hAnsi="Times New Roman"/>
          <w:sz w:val="24"/>
          <w:szCs w:val="24"/>
        </w:rPr>
        <w:t xml:space="preserve"> of Inland Revenue (the Commissioner)</w:t>
      </w:r>
      <w:r w:rsidR="00317341" w:rsidRPr="00F05150">
        <w:rPr>
          <w:rFonts w:ascii="Times New Roman" w:hAnsi="Times New Roman"/>
          <w:sz w:val="24"/>
          <w:szCs w:val="24"/>
        </w:rPr>
        <w:t xml:space="preserve"> has the ability to impose penalties on taxpayers who knowingly fail to deduct withholding tax from a payment they have made and on those who have withheld tax for any purpose other than for payment to the Commissioner</w:t>
      </w:r>
      <w:r w:rsidR="005965C4">
        <w:rPr>
          <w:rFonts w:ascii="Times New Roman" w:hAnsi="Times New Roman"/>
          <w:sz w:val="24"/>
          <w:szCs w:val="24"/>
        </w:rPr>
        <w:t xml:space="preserve">.  </w:t>
      </w:r>
    </w:p>
    <w:p w:rsidR="00317341" w:rsidRDefault="00317341" w:rsidP="006C19A4">
      <w:pPr>
        <w:pStyle w:val="ListParagraph"/>
        <w:rPr>
          <w:rFonts w:ascii="Times New Roman" w:hAnsi="Times New Roman"/>
          <w:sz w:val="24"/>
          <w:szCs w:val="24"/>
        </w:rPr>
      </w:pPr>
    </w:p>
    <w:p w:rsidR="00CD7888" w:rsidRPr="00513891" w:rsidRDefault="00874404"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 xml:space="preserve">Existing withholding taxes in the </w:t>
      </w:r>
      <w:r w:rsidR="00317341">
        <w:rPr>
          <w:rFonts w:ascii="Times New Roman" w:hAnsi="Times New Roman"/>
          <w:sz w:val="24"/>
          <w:szCs w:val="24"/>
          <w:lang w:val="en-NZ"/>
        </w:rPr>
        <w:t xml:space="preserve">New Zealand </w:t>
      </w:r>
      <w:r w:rsidR="00C40AC1">
        <w:rPr>
          <w:rFonts w:ascii="Times New Roman" w:hAnsi="Times New Roman"/>
          <w:sz w:val="24"/>
          <w:szCs w:val="24"/>
          <w:lang w:val="en-NZ"/>
        </w:rPr>
        <w:t xml:space="preserve">tax system </w:t>
      </w:r>
      <w:r w:rsidR="00317341">
        <w:rPr>
          <w:rFonts w:ascii="Times New Roman" w:hAnsi="Times New Roman"/>
          <w:sz w:val="24"/>
          <w:szCs w:val="24"/>
          <w:lang w:val="en-NZ"/>
        </w:rPr>
        <w:t>include</w:t>
      </w:r>
      <w:r w:rsidR="00C40AC1">
        <w:rPr>
          <w:rFonts w:ascii="Times New Roman" w:hAnsi="Times New Roman"/>
          <w:sz w:val="24"/>
          <w:szCs w:val="24"/>
          <w:lang w:val="en-NZ"/>
        </w:rPr>
        <w:t xml:space="preserve"> withholding taxes on</w:t>
      </w:r>
      <w:r w:rsidR="00CD7888" w:rsidRPr="00513891">
        <w:rPr>
          <w:rFonts w:ascii="Times New Roman" w:hAnsi="Times New Roman"/>
          <w:sz w:val="24"/>
          <w:szCs w:val="24"/>
          <w:lang w:val="en-NZ"/>
        </w:rPr>
        <w:t>:</w:t>
      </w:r>
    </w:p>
    <w:p w:rsidR="00CD7888" w:rsidRDefault="00CD7888" w:rsidP="006C19A4">
      <w:pPr>
        <w:pStyle w:val="Bullet-list"/>
        <w:numPr>
          <w:ilvl w:val="0"/>
          <w:numId w:val="28"/>
        </w:numPr>
        <w:spacing w:after="0" w:line="240" w:lineRule="auto"/>
        <w:jc w:val="both"/>
        <w:rPr>
          <w:rFonts w:ascii="Times New Roman" w:hAnsi="Times New Roman"/>
          <w:sz w:val="24"/>
          <w:szCs w:val="24"/>
          <w:lang w:val="en-NZ"/>
        </w:rPr>
      </w:pPr>
      <w:r>
        <w:rPr>
          <w:rFonts w:ascii="Times New Roman" w:hAnsi="Times New Roman"/>
          <w:sz w:val="24"/>
          <w:szCs w:val="24"/>
          <w:lang w:val="en-NZ"/>
        </w:rPr>
        <w:t>employment income</w:t>
      </w:r>
      <w:r w:rsidR="00C40AC1">
        <w:rPr>
          <w:rFonts w:ascii="Times New Roman" w:hAnsi="Times New Roman"/>
          <w:sz w:val="24"/>
          <w:szCs w:val="24"/>
          <w:lang w:val="en-NZ"/>
        </w:rPr>
        <w:t>;</w:t>
      </w:r>
      <w:r>
        <w:rPr>
          <w:rFonts w:ascii="Times New Roman" w:hAnsi="Times New Roman"/>
          <w:sz w:val="24"/>
          <w:szCs w:val="24"/>
          <w:lang w:val="en-NZ"/>
        </w:rPr>
        <w:t xml:space="preserve"> </w:t>
      </w:r>
    </w:p>
    <w:p w:rsidR="00CD7888" w:rsidRDefault="00BF27CA" w:rsidP="006C19A4">
      <w:pPr>
        <w:pStyle w:val="Bullet-list"/>
        <w:numPr>
          <w:ilvl w:val="0"/>
          <w:numId w:val="28"/>
        </w:numPr>
        <w:spacing w:after="0" w:line="240" w:lineRule="auto"/>
        <w:jc w:val="both"/>
        <w:rPr>
          <w:rFonts w:ascii="Times New Roman" w:hAnsi="Times New Roman"/>
          <w:sz w:val="24"/>
          <w:szCs w:val="24"/>
          <w:lang w:val="en-NZ"/>
        </w:rPr>
      </w:pPr>
      <w:r>
        <w:rPr>
          <w:rFonts w:ascii="Times New Roman" w:hAnsi="Times New Roman"/>
          <w:sz w:val="24"/>
          <w:szCs w:val="24"/>
          <w:lang w:val="en-NZ"/>
        </w:rPr>
        <w:t>i</w:t>
      </w:r>
      <w:r w:rsidR="00CD7888">
        <w:rPr>
          <w:rFonts w:ascii="Times New Roman" w:hAnsi="Times New Roman"/>
          <w:sz w:val="24"/>
          <w:szCs w:val="24"/>
          <w:lang w:val="en-NZ"/>
        </w:rPr>
        <w:t>nterest and dividends</w:t>
      </w:r>
      <w:r w:rsidR="00C40AC1">
        <w:rPr>
          <w:rFonts w:ascii="Times New Roman" w:hAnsi="Times New Roman"/>
          <w:sz w:val="24"/>
          <w:szCs w:val="24"/>
          <w:lang w:val="en-NZ"/>
        </w:rPr>
        <w:t>;</w:t>
      </w:r>
    </w:p>
    <w:p w:rsidR="00CD7888" w:rsidRDefault="00CD7888" w:rsidP="006C19A4">
      <w:pPr>
        <w:pStyle w:val="Bullet-list"/>
        <w:numPr>
          <w:ilvl w:val="0"/>
          <w:numId w:val="28"/>
        </w:numPr>
        <w:spacing w:after="0" w:line="240" w:lineRule="auto"/>
        <w:jc w:val="both"/>
        <w:rPr>
          <w:rFonts w:ascii="Times New Roman" w:hAnsi="Times New Roman"/>
          <w:sz w:val="24"/>
          <w:szCs w:val="24"/>
          <w:lang w:val="en-NZ"/>
        </w:rPr>
      </w:pPr>
      <w:r>
        <w:rPr>
          <w:rFonts w:ascii="Times New Roman" w:hAnsi="Times New Roman"/>
          <w:sz w:val="24"/>
          <w:szCs w:val="24"/>
          <w:lang w:val="en-NZ"/>
        </w:rPr>
        <w:t>payments to certain contractors (including special rules for non-resident contractors, entertainers and insurers)</w:t>
      </w:r>
      <w:r w:rsidR="00C40AC1">
        <w:rPr>
          <w:rFonts w:ascii="Times New Roman" w:hAnsi="Times New Roman"/>
          <w:sz w:val="24"/>
          <w:szCs w:val="24"/>
          <w:lang w:val="en-NZ"/>
        </w:rPr>
        <w:t>; and</w:t>
      </w:r>
      <w:r>
        <w:rPr>
          <w:rFonts w:ascii="Times New Roman" w:hAnsi="Times New Roman"/>
          <w:sz w:val="24"/>
          <w:szCs w:val="24"/>
          <w:lang w:val="en-NZ"/>
        </w:rPr>
        <w:t xml:space="preserve"> </w:t>
      </w:r>
    </w:p>
    <w:p w:rsidR="00CD7888" w:rsidRDefault="00CD7888" w:rsidP="006C19A4">
      <w:pPr>
        <w:pStyle w:val="Bullet-list"/>
        <w:numPr>
          <w:ilvl w:val="0"/>
          <w:numId w:val="28"/>
        </w:numPr>
        <w:spacing w:after="0" w:line="240" w:lineRule="auto"/>
        <w:jc w:val="both"/>
        <w:rPr>
          <w:rFonts w:ascii="Times New Roman" w:hAnsi="Times New Roman"/>
          <w:sz w:val="24"/>
          <w:szCs w:val="24"/>
          <w:lang w:val="en-NZ"/>
        </w:rPr>
      </w:pPr>
      <w:proofErr w:type="gramStart"/>
      <w:r>
        <w:rPr>
          <w:rFonts w:ascii="Times New Roman" w:hAnsi="Times New Roman"/>
          <w:sz w:val="24"/>
          <w:szCs w:val="24"/>
          <w:lang w:val="en-NZ"/>
        </w:rPr>
        <w:t>distributions</w:t>
      </w:r>
      <w:proofErr w:type="gramEnd"/>
      <w:r>
        <w:rPr>
          <w:rFonts w:ascii="Times New Roman" w:hAnsi="Times New Roman"/>
          <w:sz w:val="24"/>
          <w:szCs w:val="24"/>
          <w:lang w:val="en-NZ"/>
        </w:rPr>
        <w:t xml:space="preserve"> from trusts.</w:t>
      </w:r>
    </w:p>
    <w:p w:rsidR="00874404" w:rsidRDefault="00874404" w:rsidP="006C19A4">
      <w:pPr>
        <w:pStyle w:val="Bullet-list"/>
        <w:spacing w:after="0" w:line="240" w:lineRule="auto"/>
        <w:ind w:left="0" w:firstLine="0"/>
        <w:jc w:val="both"/>
        <w:rPr>
          <w:rFonts w:ascii="Times New Roman" w:hAnsi="Times New Roman"/>
          <w:sz w:val="24"/>
          <w:szCs w:val="24"/>
          <w:lang w:val="en-NZ"/>
        </w:rPr>
      </w:pPr>
    </w:p>
    <w:p w:rsidR="00CD7888" w:rsidRDefault="00CD7888"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 xml:space="preserve">In these situations, it is likely that the payee will have a New Zealand tax liability in relation to the income they receive, and </w:t>
      </w:r>
      <w:r w:rsidR="00F83CD6">
        <w:rPr>
          <w:rFonts w:ascii="Times New Roman" w:hAnsi="Times New Roman"/>
          <w:sz w:val="24"/>
          <w:szCs w:val="24"/>
          <w:lang w:val="en-NZ"/>
        </w:rPr>
        <w:t xml:space="preserve">in order to ensure the satisfaction of that liability, </w:t>
      </w:r>
      <w:r>
        <w:rPr>
          <w:rFonts w:ascii="Times New Roman" w:hAnsi="Times New Roman"/>
          <w:sz w:val="24"/>
          <w:szCs w:val="24"/>
          <w:lang w:val="en-NZ"/>
        </w:rPr>
        <w:t>tax</w:t>
      </w:r>
      <w:r w:rsidR="00F83CD6">
        <w:rPr>
          <w:rFonts w:ascii="Times New Roman" w:hAnsi="Times New Roman"/>
          <w:sz w:val="24"/>
          <w:szCs w:val="24"/>
          <w:lang w:val="en-NZ"/>
        </w:rPr>
        <w:t xml:space="preserve"> on that income</w:t>
      </w:r>
      <w:r>
        <w:rPr>
          <w:rFonts w:ascii="Times New Roman" w:hAnsi="Times New Roman"/>
          <w:sz w:val="24"/>
          <w:szCs w:val="24"/>
          <w:lang w:val="en-NZ"/>
        </w:rPr>
        <w:t xml:space="preserve"> is withheld before the payee receives the income.</w:t>
      </w:r>
    </w:p>
    <w:p w:rsidR="00CD7888" w:rsidRDefault="00CD7888" w:rsidP="006C19A4">
      <w:pPr>
        <w:pStyle w:val="Bullet-list"/>
        <w:spacing w:after="0" w:line="240" w:lineRule="auto"/>
        <w:ind w:left="0" w:firstLine="0"/>
        <w:jc w:val="both"/>
        <w:rPr>
          <w:rFonts w:ascii="Times New Roman" w:hAnsi="Times New Roman"/>
          <w:sz w:val="24"/>
          <w:szCs w:val="24"/>
          <w:lang w:val="en-NZ"/>
        </w:rPr>
      </w:pPr>
    </w:p>
    <w:p w:rsidR="00645BEF" w:rsidRPr="00AB6DC5" w:rsidRDefault="00F83CD6"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w:t>
      </w:r>
      <w:r w:rsidR="001501E3" w:rsidRPr="001501E3">
        <w:rPr>
          <w:rFonts w:ascii="Times New Roman" w:hAnsi="Times New Roman"/>
          <w:sz w:val="24"/>
          <w:szCs w:val="24"/>
        </w:rPr>
        <w:t>he Commissioner</w:t>
      </w:r>
      <w:r w:rsidR="003E27F9">
        <w:rPr>
          <w:rFonts w:ascii="Times New Roman" w:hAnsi="Times New Roman"/>
          <w:sz w:val="24"/>
          <w:szCs w:val="24"/>
        </w:rPr>
        <w:t xml:space="preserve"> </w:t>
      </w:r>
      <w:r w:rsidR="00715EDF">
        <w:rPr>
          <w:rFonts w:ascii="Times New Roman" w:hAnsi="Times New Roman"/>
          <w:sz w:val="24"/>
          <w:szCs w:val="24"/>
        </w:rPr>
        <w:t>also has</w:t>
      </w:r>
      <w:r w:rsidR="001501E3" w:rsidRPr="001501E3">
        <w:rPr>
          <w:rFonts w:ascii="Times New Roman" w:hAnsi="Times New Roman"/>
          <w:sz w:val="24"/>
          <w:szCs w:val="24"/>
        </w:rPr>
        <w:t xml:space="preserve"> a number of powers to enforce the tax obligations of taxpayers to assist in the collection of taxes.</w:t>
      </w:r>
      <w:r w:rsidR="001501E3" w:rsidRPr="00EB3175">
        <w:rPr>
          <w:rStyle w:val="FootnoteReference"/>
          <w:rFonts w:ascii="Times New Roman" w:hAnsi="Times New Roman"/>
          <w:szCs w:val="24"/>
        </w:rPr>
        <w:footnoteReference w:id="1"/>
      </w:r>
      <w:r w:rsidR="001501E3">
        <w:rPr>
          <w:rFonts w:ascii="Times New Roman" w:hAnsi="Times New Roman"/>
          <w:sz w:val="24"/>
          <w:szCs w:val="24"/>
        </w:rPr>
        <w:t xml:space="preserve"> </w:t>
      </w:r>
      <w:r w:rsidR="001501E3" w:rsidRPr="001501E3">
        <w:rPr>
          <w:rFonts w:ascii="Times New Roman" w:hAnsi="Times New Roman"/>
          <w:sz w:val="24"/>
          <w:szCs w:val="24"/>
        </w:rPr>
        <w:t xml:space="preserve"> </w:t>
      </w:r>
      <w:r w:rsidR="00645BEF">
        <w:rPr>
          <w:rFonts w:ascii="Times New Roman" w:hAnsi="Times New Roman"/>
          <w:sz w:val="24"/>
          <w:szCs w:val="24"/>
        </w:rPr>
        <w:t>One</w:t>
      </w:r>
      <w:r w:rsidR="003E27F9">
        <w:rPr>
          <w:rFonts w:ascii="Times New Roman" w:hAnsi="Times New Roman"/>
          <w:sz w:val="24"/>
          <w:szCs w:val="24"/>
        </w:rPr>
        <w:t xml:space="preserve"> concern is that these measures</w:t>
      </w:r>
      <w:r w:rsidR="001501E3" w:rsidRPr="001501E3">
        <w:rPr>
          <w:rFonts w:ascii="Times New Roman" w:hAnsi="Times New Roman"/>
          <w:sz w:val="24"/>
          <w:szCs w:val="24"/>
        </w:rPr>
        <w:t xml:space="preserve"> are not always administratively practical or effective when the taxpayer has no presence in New Zealand.</w:t>
      </w:r>
    </w:p>
    <w:p w:rsidR="001501E3" w:rsidRPr="001501E3" w:rsidRDefault="001501E3" w:rsidP="006C19A4">
      <w:pPr>
        <w:pStyle w:val="Bullet-list"/>
        <w:spacing w:after="0" w:line="240" w:lineRule="auto"/>
        <w:ind w:left="0" w:firstLine="0"/>
        <w:jc w:val="both"/>
        <w:rPr>
          <w:rFonts w:ascii="Times New Roman" w:hAnsi="Times New Roman"/>
          <w:sz w:val="24"/>
          <w:szCs w:val="24"/>
        </w:rPr>
      </w:pPr>
    </w:p>
    <w:p w:rsidR="001501E3" w:rsidRPr="009B05C8" w:rsidRDefault="001501E3"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1501E3">
        <w:rPr>
          <w:rFonts w:ascii="Times New Roman" w:hAnsi="Times New Roman"/>
          <w:sz w:val="24"/>
          <w:szCs w:val="24"/>
        </w:rPr>
        <w:t xml:space="preserve">New Zealand can request help to collect tax from foreign investors from overseas revenue authorities under its various international agreements, including the Multilateral Convention on Mutual Administrative Assistance in Tax Matters, </w:t>
      </w:r>
      <w:r w:rsidR="007428EB">
        <w:rPr>
          <w:rFonts w:ascii="Times New Roman" w:hAnsi="Times New Roman"/>
          <w:sz w:val="24"/>
          <w:szCs w:val="24"/>
        </w:rPr>
        <w:t xml:space="preserve">bilateral </w:t>
      </w:r>
      <w:r w:rsidRPr="001501E3">
        <w:rPr>
          <w:rFonts w:ascii="Times New Roman" w:hAnsi="Times New Roman"/>
          <w:sz w:val="24"/>
          <w:szCs w:val="24"/>
        </w:rPr>
        <w:t>double tax agreements and tax information exchange agreements</w:t>
      </w:r>
      <w:r w:rsidR="005965C4">
        <w:rPr>
          <w:rFonts w:ascii="Times New Roman" w:hAnsi="Times New Roman"/>
          <w:sz w:val="24"/>
          <w:szCs w:val="24"/>
        </w:rPr>
        <w:t xml:space="preserve">.  </w:t>
      </w:r>
      <w:r w:rsidRPr="001501E3">
        <w:rPr>
          <w:rFonts w:ascii="Times New Roman" w:hAnsi="Times New Roman"/>
          <w:sz w:val="24"/>
          <w:szCs w:val="24"/>
        </w:rPr>
        <w:t>These agreements allow for the exchange of tax-related information and assistance in the collection of taxes</w:t>
      </w:r>
      <w:r w:rsidR="005965C4">
        <w:rPr>
          <w:rFonts w:ascii="Times New Roman" w:hAnsi="Times New Roman"/>
          <w:sz w:val="24"/>
          <w:szCs w:val="24"/>
        </w:rPr>
        <w:t xml:space="preserve">.  </w:t>
      </w:r>
      <w:r w:rsidRPr="001501E3">
        <w:rPr>
          <w:rFonts w:ascii="Times New Roman" w:hAnsi="Times New Roman"/>
          <w:sz w:val="24"/>
          <w:szCs w:val="24"/>
        </w:rPr>
        <w:t>While these are useful tools in enabling the Government to collect tax, they are a backstop and s</w:t>
      </w:r>
      <w:r>
        <w:rPr>
          <w:rFonts w:ascii="Times New Roman" w:hAnsi="Times New Roman"/>
          <w:sz w:val="24"/>
          <w:szCs w:val="24"/>
        </w:rPr>
        <w:t>hould not be the primary tool</w:t>
      </w:r>
      <w:r w:rsidR="005965C4">
        <w:rPr>
          <w:rFonts w:ascii="Times New Roman" w:hAnsi="Times New Roman"/>
          <w:sz w:val="24"/>
          <w:szCs w:val="24"/>
        </w:rPr>
        <w:t xml:space="preserve">.  </w:t>
      </w:r>
    </w:p>
    <w:p w:rsidR="001C30F1" w:rsidRDefault="001C30F1">
      <w:pPr>
        <w:pStyle w:val="ListParagraph"/>
        <w:rPr>
          <w:rFonts w:ascii="Times New Roman" w:hAnsi="Times New Roman"/>
          <w:sz w:val="24"/>
          <w:szCs w:val="24"/>
        </w:rPr>
      </w:pPr>
    </w:p>
    <w:p w:rsidR="000545DC" w:rsidRPr="0092297D" w:rsidRDefault="001C30F1"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We are not able to quantify the size of the problem</w:t>
      </w:r>
      <w:r w:rsidR="005965C4">
        <w:rPr>
          <w:rFonts w:ascii="Times New Roman" w:hAnsi="Times New Roman"/>
          <w:sz w:val="24"/>
          <w:szCs w:val="24"/>
        </w:rPr>
        <w:t xml:space="preserve">.  </w:t>
      </w:r>
      <w:r w:rsidR="00D46A34">
        <w:rPr>
          <w:rFonts w:ascii="Times New Roman" w:hAnsi="Times New Roman"/>
          <w:sz w:val="24"/>
          <w:szCs w:val="24"/>
        </w:rPr>
        <w:t xml:space="preserve">This is because </w:t>
      </w:r>
      <w:r w:rsidR="00BF3FDC">
        <w:rPr>
          <w:rFonts w:ascii="Times New Roman" w:hAnsi="Times New Roman"/>
          <w:sz w:val="24"/>
          <w:szCs w:val="24"/>
        </w:rPr>
        <w:t xml:space="preserve">to date, Inland Revenue has not had access to detailed information about compliance with </w:t>
      </w:r>
      <w:r w:rsidR="007428EB">
        <w:rPr>
          <w:rFonts w:ascii="Times New Roman" w:hAnsi="Times New Roman"/>
          <w:sz w:val="24"/>
          <w:szCs w:val="24"/>
        </w:rPr>
        <w:t xml:space="preserve">the </w:t>
      </w:r>
      <w:r w:rsidR="00BF3FDC">
        <w:rPr>
          <w:rFonts w:ascii="Times New Roman" w:hAnsi="Times New Roman"/>
          <w:sz w:val="24"/>
          <w:szCs w:val="24"/>
        </w:rPr>
        <w:t>existing land sale rules</w:t>
      </w:r>
      <w:r w:rsidR="005965C4">
        <w:rPr>
          <w:rFonts w:ascii="Times New Roman" w:hAnsi="Times New Roman"/>
          <w:sz w:val="24"/>
          <w:szCs w:val="24"/>
        </w:rPr>
        <w:t xml:space="preserve">.  </w:t>
      </w:r>
      <w:r>
        <w:rPr>
          <w:rFonts w:ascii="Times New Roman" w:hAnsi="Times New Roman"/>
          <w:sz w:val="24"/>
          <w:szCs w:val="24"/>
        </w:rPr>
        <w:t xml:space="preserve">However, information collection measures introduced </w:t>
      </w:r>
      <w:r>
        <w:rPr>
          <w:rFonts w:ascii="Times New Roman" w:hAnsi="Times New Roman"/>
          <w:sz w:val="24"/>
          <w:szCs w:val="24"/>
          <w:lang w:val="en-NZ"/>
        </w:rPr>
        <w:t xml:space="preserve">in </w:t>
      </w:r>
      <w:r w:rsidRPr="005933EB">
        <w:rPr>
          <w:rFonts w:ascii="Times New Roman" w:hAnsi="Times New Roman"/>
          <w:sz w:val="24"/>
          <w:szCs w:val="24"/>
          <w:lang w:val="en-NZ"/>
        </w:rPr>
        <w:t xml:space="preserve">the Land Transfer Amendment Act 2015 </w:t>
      </w:r>
      <w:r>
        <w:rPr>
          <w:rFonts w:ascii="Times New Roman" w:hAnsi="Times New Roman"/>
          <w:sz w:val="24"/>
          <w:szCs w:val="24"/>
          <w:lang w:val="en-NZ"/>
        </w:rPr>
        <w:t>will provide more useful information to Inland Revenue about land sales in the future</w:t>
      </w:r>
      <w:r w:rsidR="005965C4">
        <w:rPr>
          <w:rFonts w:ascii="Times New Roman" w:hAnsi="Times New Roman"/>
          <w:sz w:val="24"/>
          <w:szCs w:val="24"/>
          <w:lang w:val="en-NZ"/>
        </w:rPr>
        <w:t xml:space="preserve">.  </w:t>
      </w:r>
      <w:r w:rsidR="00403183">
        <w:rPr>
          <w:rFonts w:ascii="Times New Roman" w:hAnsi="Times New Roman"/>
          <w:sz w:val="24"/>
          <w:szCs w:val="24"/>
          <w:lang w:val="en-NZ"/>
        </w:rPr>
        <w:t>This information will enable Inland Revenue to have better information about compliance with the land sale rules and in particular, the proposed bright-line test.</w:t>
      </w:r>
    </w:p>
    <w:p w:rsidR="000545DC" w:rsidRPr="004342F0" w:rsidRDefault="00D943DD" w:rsidP="006C19A4">
      <w:pPr>
        <w:pStyle w:val="RISheading"/>
        <w:jc w:val="both"/>
        <w:rPr>
          <w:spacing w:val="0"/>
          <w:w w:val="100"/>
        </w:rPr>
      </w:pPr>
      <w:bookmarkStart w:id="11" w:name="_Toc244580364"/>
      <w:bookmarkStart w:id="12" w:name="_Toc244587040"/>
      <w:bookmarkStart w:id="13" w:name="_Toc244857274"/>
      <w:bookmarkStart w:id="14" w:name="_Toc244912539"/>
      <w:bookmarkStart w:id="15" w:name="_Toc244916996"/>
      <w:r w:rsidRPr="004342F0">
        <w:rPr>
          <w:spacing w:val="0"/>
          <w:w w:val="100"/>
        </w:rPr>
        <w:t>OBJECTIVES</w:t>
      </w:r>
      <w:bookmarkEnd w:id="11"/>
      <w:bookmarkEnd w:id="12"/>
      <w:bookmarkEnd w:id="13"/>
      <w:bookmarkEnd w:id="14"/>
      <w:bookmarkEnd w:id="15"/>
    </w:p>
    <w:p w:rsidR="00745324" w:rsidRDefault="00B02211"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objective is to </w:t>
      </w:r>
      <w:r w:rsidR="00C95ACC">
        <w:rPr>
          <w:rFonts w:ascii="Times New Roman" w:hAnsi="Times New Roman"/>
          <w:sz w:val="24"/>
          <w:szCs w:val="24"/>
        </w:rPr>
        <w:t xml:space="preserve">both </w:t>
      </w:r>
      <w:r w:rsidR="00BF3FDC">
        <w:rPr>
          <w:rFonts w:ascii="Times New Roman" w:hAnsi="Times New Roman"/>
          <w:sz w:val="24"/>
          <w:szCs w:val="24"/>
        </w:rPr>
        <w:t>optimise the effectiveness</w:t>
      </w:r>
      <w:r w:rsidR="00C95ACC">
        <w:rPr>
          <w:rFonts w:ascii="Times New Roman" w:hAnsi="Times New Roman"/>
          <w:sz w:val="24"/>
          <w:szCs w:val="24"/>
        </w:rPr>
        <w:t xml:space="preserve"> </w:t>
      </w:r>
      <w:r w:rsidR="00F34D18">
        <w:rPr>
          <w:rFonts w:ascii="Times New Roman" w:hAnsi="Times New Roman"/>
          <w:sz w:val="24"/>
          <w:szCs w:val="24"/>
        </w:rPr>
        <w:t>and</w:t>
      </w:r>
      <w:r w:rsidR="00745324">
        <w:rPr>
          <w:rFonts w:ascii="Times New Roman" w:hAnsi="Times New Roman"/>
          <w:sz w:val="24"/>
          <w:szCs w:val="24"/>
        </w:rPr>
        <w:t xml:space="preserve"> support the integrity </w:t>
      </w:r>
      <w:r w:rsidR="00BF3FDC">
        <w:rPr>
          <w:rFonts w:ascii="Times New Roman" w:hAnsi="Times New Roman"/>
          <w:sz w:val="24"/>
          <w:szCs w:val="24"/>
        </w:rPr>
        <w:t xml:space="preserve">of the </w:t>
      </w:r>
      <w:r w:rsidR="00025C74">
        <w:rPr>
          <w:rFonts w:ascii="Times New Roman" w:hAnsi="Times New Roman"/>
          <w:sz w:val="24"/>
          <w:szCs w:val="24"/>
        </w:rPr>
        <w:t xml:space="preserve">proposed </w:t>
      </w:r>
      <w:r w:rsidR="00BF3FDC">
        <w:rPr>
          <w:rFonts w:ascii="Times New Roman" w:hAnsi="Times New Roman"/>
          <w:sz w:val="24"/>
          <w:szCs w:val="24"/>
        </w:rPr>
        <w:t>new bright-line test</w:t>
      </w:r>
      <w:r w:rsidR="005965C4">
        <w:rPr>
          <w:rFonts w:ascii="Times New Roman" w:hAnsi="Times New Roman"/>
          <w:sz w:val="24"/>
          <w:szCs w:val="24"/>
        </w:rPr>
        <w:t xml:space="preserve">.  </w:t>
      </w:r>
    </w:p>
    <w:p w:rsidR="00745324" w:rsidRDefault="00745324" w:rsidP="006C19A4">
      <w:pPr>
        <w:pStyle w:val="Bullet-list"/>
        <w:spacing w:after="0" w:line="240" w:lineRule="auto"/>
        <w:ind w:left="0" w:firstLine="0"/>
        <w:jc w:val="both"/>
        <w:rPr>
          <w:rFonts w:ascii="Times New Roman" w:hAnsi="Times New Roman"/>
          <w:sz w:val="24"/>
          <w:szCs w:val="24"/>
        </w:rPr>
      </w:pPr>
    </w:p>
    <w:p w:rsidR="00745324" w:rsidRDefault="00745324"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Optimising </w:t>
      </w:r>
      <w:r w:rsidR="00B825EB">
        <w:rPr>
          <w:rFonts w:ascii="Times New Roman" w:hAnsi="Times New Roman"/>
          <w:sz w:val="24"/>
          <w:szCs w:val="24"/>
        </w:rPr>
        <w:t xml:space="preserve">the </w:t>
      </w:r>
      <w:r>
        <w:rPr>
          <w:rFonts w:ascii="Times New Roman" w:hAnsi="Times New Roman"/>
          <w:sz w:val="24"/>
          <w:szCs w:val="24"/>
        </w:rPr>
        <w:t>effectiveness of the bright</w:t>
      </w:r>
      <w:r w:rsidR="005965C4">
        <w:rPr>
          <w:rFonts w:ascii="Times New Roman" w:hAnsi="Times New Roman"/>
          <w:sz w:val="24"/>
          <w:szCs w:val="24"/>
        </w:rPr>
        <w:t>-</w:t>
      </w:r>
      <w:r>
        <w:rPr>
          <w:rFonts w:ascii="Times New Roman" w:hAnsi="Times New Roman"/>
          <w:sz w:val="24"/>
          <w:szCs w:val="24"/>
        </w:rPr>
        <w:t>line</w:t>
      </w:r>
      <w:r w:rsidR="005965C4">
        <w:rPr>
          <w:rFonts w:ascii="Times New Roman" w:hAnsi="Times New Roman"/>
          <w:sz w:val="24"/>
          <w:szCs w:val="24"/>
        </w:rPr>
        <w:t xml:space="preserve"> test</w:t>
      </w:r>
      <w:r>
        <w:rPr>
          <w:rFonts w:ascii="Times New Roman" w:hAnsi="Times New Roman"/>
          <w:sz w:val="24"/>
          <w:szCs w:val="24"/>
        </w:rPr>
        <w:t xml:space="preserve"> involves maximising </w:t>
      </w:r>
      <w:r w:rsidR="00BB7E31">
        <w:rPr>
          <w:rFonts w:ascii="Times New Roman" w:hAnsi="Times New Roman"/>
          <w:sz w:val="24"/>
          <w:szCs w:val="24"/>
        </w:rPr>
        <w:t>compliance with the new bright-line test</w:t>
      </w:r>
      <w:r>
        <w:rPr>
          <w:rFonts w:ascii="Times New Roman" w:hAnsi="Times New Roman"/>
          <w:sz w:val="24"/>
          <w:szCs w:val="24"/>
        </w:rPr>
        <w:t>, having</w:t>
      </w:r>
      <w:r w:rsidR="00BB7E31">
        <w:rPr>
          <w:rFonts w:ascii="Times New Roman" w:hAnsi="Times New Roman"/>
          <w:sz w:val="24"/>
          <w:szCs w:val="24"/>
        </w:rPr>
        <w:t xml:space="preserve"> regard to other factors such as compliance </w:t>
      </w:r>
      <w:r>
        <w:rPr>
          <w:rFonts w:ascii="Times New Roman" w:hAnsi="Times New Roman"/>
          <w:sz w:val="24"/>
          <w:szCs w:val="24"/>
        </w:rPr>
        <w:t>and administrative costs</w:t>
      </w:r>
      <w:r w:rsidR="005965C4">
        <w:rPr>
          <w:rFonts w:ascii="Times New Roman" w:hAnsi="Times New Roman"/>
          <w:sz w:val="24"/>
          <w:szCs w:val="24"/>
        </w:rPr>
        <w:t xml:space="preserve">.  </w:t>
      </w:r>
    </w:p>
    <w:p w:rsidR="00745324" w:rsidRDefault="00745324">
      <w:pPr>
        <w:pStyle w:val="ListParagraph"/>
        <w:rPr>
          <w:rFonts w:ascii="Times New Roman" w:hAnsi="Times New Roman"/>
          <w:sz w:val="24"/>
          <w:szCs w:val="24"/>
        </w:rPr>
      </w:pPr>
    </w:p>
    <w:p w:rsidR="00745324" w:rsidRDefault="00745324"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C95ACC">
        <w:rPr>
          <w:rFonts w:ascii="Times New Roman" w:hAnsi="Times New Roman"/>
          <w:sz w:val="24"/>
          <w:szCs w:val="24"/>
        </w:rPr>
        <w:t>Supporting the integrity of the new bright</w:t>
      </w:r>
      <w:r w:rsidR="00025C74" w:rsidRPr="00C95ACC">
        <w:rPr>
          <w:rFonts w:ascii="Times New Roman" w:hAnsi="Times New Roman"/>
          <w:sz w:val="24"/>
          <w:szCs w:val="24"/>
        </w:rPr>
        <w:t>-</w:t>
      </w:r>
      <w:r w:rsidRPr="00C95ACC">
        <w:rPr>
          <w:rFonts w:ascii="Times New Roman" w:hAnsi="Times New Roman"/>
          <w:sz w:val="24"/>
          <w:szCs w:val="24"/>
        </w:rPr>
        <w:t>line test</w:t>
      </w:r>
      <w:r w:rsidR="00C95ACC" w:rsidRPr="00C95ACC">
        <w:rPr>
          <w:rFonts w:ascii="Times New Roman" w:hAnsi="Times New Roman"/>
          <w:sz w:val="24"/>
          <w:szCs w:val="24"/>
        </w:rPr>
        <w:t xml:space="preserve"> </w:t>
      </w:r>
      <w:r w:rsidR="00B825EB">
        <w:rPr>
          <w:rFonts w:ascii="Times New Roman" w:hAnsi="Times New Roman"/>
          <w:sz w:val="24"/>
          <w:szCs w:val="24"/>
        </w:rPr>
        <w:t>(</w:t>
      </w:r>
      <w:r w:rsidR="00C95ACC" w:rsidRPr="00C95ACC">
        <w:rPr>
          <w:rFonts w:ascii="Times New Roman" w:hAnsi="Times New Roman"/>
          <w:sz w:val="24"/>
          <w:szCs w:val="24"/>
        </w:rPr>
        <w:t>which, if enacted, will form part of the tax system</w:t>
      </w:r>
      <w:r w:rsidR="00B825EB">
        <w:rPr>
          <w:rFonts w:ascii="Times New Roman" w:hAnsi="Times New Roman"/>
          <w:sz w:val="24"/>
          <w:szCs w:val="24"/>
        </w:rPr>
        <w:t>)</w:t>
      </w:r>
      <w:r w:rsidRPr="00C95ACC">
        <w:rPr>
          <w:rFonts w:ascii="Times New Roman" w:hAnsi="Times New Roman"/>
          <w:sz w:val="24"/>
          <w:szCs w:val="24"/>
        </w:rPr>
        <w:t xml:space="preserve"> is important in ensuring that New Zealand’s tax system can effectively rely on the principle of voluntary compliance</w:t>
      </w:r>
      <w:r w:rsidR="005965C4">
        <w:rPr>
          <w:rFonts w:ascii="Times New Roman" w:hAnsi="Times New Roman"/>
          <w:sz w:val="24"/>
          <w:szCs w:val="24"/>
        </w:rPr>
        <w:t xml:space="preserve">.  </w:t>
      </w:r>
      <w:r w:rsidR="00025C74" w:rsidRPr="00C95ACC">
        <w:rPr>
          <w:rFonts w:ascii="Times New Roman" w:hAnsi="Times New Roman"/>
          <w:sz w:val="24"/>
          <w:szCs w:val="24"/>
        </w:rPr>
        <w:t xml:space="preserve">The “integrity of the tax system” is defined in section 6 of the Tax Administration Act 1994 </w:t>
      </w:r>
      <w:r w:rsidR="00B825EB">
        <w:rPr>
          <w:rFonts w:ascii="Times New Roman" w:hAnsi="Times New Roman"/>
          <w:sz w:val="24"/>
          <w:szCs w:val="24"/>
        </w:rPr>
        <w:t>as including</w:t>
      </w:r>
      <w:r w:rsidR="00025C74" w:rsidRPr="00C95ACC">
        <w:rPr>
          <w:rFonts w:ascii="Times New Roman" w:hAnsi="Times New Roman"/>
          <w:sz w:val="24"/>
          <w:szCs w:val="24"/>
        </w:rPr>
        <w:t xml:space="preserve"> (among other factors) </w:t>
      </w:r>
      <w:r w:rsidR="00C95ACC" w:rsidRPr="00C95ACC">
        <w:rPr>
          <w:rFonts w:ascii="Times New Roman" w:hAnsi="Times New Roman"/>
          <w:sz w:val="24"/>
          <w:szCs w:val="24"/>
        </w:rPr>
        <w:t xml:space="preserve">the responsibilities of taxpayers to comply with the law, and </w:t>
      </w:r>
      <w:r w:rsidR="00025C74" w:rsidRPr="00C95ACC">
        <w:rPr>
          <w:rFonts w:ascii="Times New Roman" w:hAnsi="Times New Roman"/>
          <w:sz w:val="24"/>
          <w:szCs w:val="24"/>
        </w:rPr>
        <w:t>taxpayer perceptions of t</w:t>
      </w:r>
      <w:r w:rsidR="00C95ACC" w:rsidRPr="00C95ACC">
        <w:rPr>
          <w:rFonts w:ascii="Times New Roman" w:hAnsi="Times New Roman"/>
          <w:sz w:val="24"/>
          <w:szCs w:val="24"/>
        </w:rPr>
        <w:t xml:space="preserve">he </w:t>
      </w:r>
      <w:r w:rsidR="00025C74" w:rsidRPr="00C95ACC">
        <w:rPr>
          <w:rFonts w:ascii="Times New Roman" w:hAnsi="Times New Roman"/>
          <w:sz w:val="24"/>
          <w:szCs w:val="24"/>
        </w:rPr>
        <w:t>integrity</w:t>
      </w:r>
      <w:r w:rsidR="00C95ACC" w:rsidRPr="00C95ACC">
        <w:rPr>
          <w:rFonts w:ascii="Times New Roman" w:hAnsi="Times New Roman"/>
          <w:sz w:val="24"/>
          <w:szCs w:val="24"/>
        </w:rPr>
        <w:t xml:space="preserve"> of the tax system</w:t>
      </w:r>
      <w:r w:rsidR="00CB4532">
        <w:rPr>
          <w:rFonts w:ascii="Times New Roman" w:hAnsi="Times New Roman"/>
          <w:sz w:val="24"/>
          <w:szCs w:val="24"/>
        </w:rPr>
        <w:t>.</w:t>
      </w:r>
      <w:r w:rsidR="005965C4">
        <w:rPr>
          <w:rFonts w:ascii="Times New Roman" w:hAnsi="Times New Roman"/>
          <w:sz w:val="24"/>
          <w:szCs w:val="24"/>
        </w:rPr>
        <w:t xml:space="preserve"> </w:t>
      </w:r>
    </w:p>
    <w:p w:rsidR="00C95ACC" w:rsidRDefault="00C95ACC">
      <w:pPr>
        <w:pStyle w:val="ListParagraph"/>
        <w:rPr>
          <w:rFonts w:ascii="Times New Roman" w:hAnsi="Times New Roman"/>
          <w:sz w:val="24"/>
          <w:szCs w:val="24"/>
        </w:rPr>
      </w:pPr>
    </w:p>
    <w:p w:rsidR="00C95ACC" w:rsidRDefault="009B05C8" w:rsidP="006C19A4">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In addition to the stated objective, the fiscal, economic, administrative, compliance, and fairness impacts of each </w:t>
      </w:r>
      <w:r w:rsidR="00FA265E">
        <w:rPr>
          <w:rFonts w:ascii="Times New Roman" w:hAnsi="Times New Roman"/>
          <w:sz w:val="24"/>
          <w:szCs w:val="24"/>
        </w:rPr>
        <w:t>feasible</w:t>
      </w:r>
      <w:r>
        <w:rPr>
          <w:rFonts w:ascii="Times New Roman" w:hAnsi="Times New Roman"/>
          <w:sz w:val="24"/>
          <w:szCs w:val="24"/>
        </w:rPr>
        <w:t xml:space="preserve"> option will be </w:t>
      </w:r>
      <w:r w:rsidR="00FA265E">
        <w:rPr>
          <w:rFonts w:ascii="Times New Roman" w:hAnsi="Times New Roman"/>
          <w:sz w:val="24"/>
          <w:szCs w:val="24"/>
        </w:rPr>
        <w:t>assessed.</w:t>
      </w:r>
    </w:p>
    <w:p w:rsidR="00C95ACC" w:rsidRDefault="00C95ACC">
      <w:pPr>
        <w:pStyle w:val="ListParagraph"/>
        <w:rPr>
          <w:rFonts w:ascii="Times New Roman" w:hAnsi="Times New Roman"/>
          <w:sz w:val="24"/>
          <w:szCs w:val="24"/>
        </w:rPr>
      </w:pPr>
    </w:p>
    <w:p w:rsidR="002216A0" w:rsidRDefault="00555556" w:rsidP="006C19A4">
      <w:pPr>
        <w:pStyle w:val="Bullet-list"/>
        <w:numPr>
          <w:ilvl w:val="0"/>
          <w:numId w:val="3"/>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fiscal i</w:t>
      </w:r>
      <w:r w:rsidR="00424BE3">
        <w:rPr>
          <w:rFonts w:ascii="Times New Roman" w:hAnsi="Times New Roman"/>
          <w:sz w:val="24"/>
          <w:szCs w:val="24"/>
        </w:rPr>
        <w:t>mpact is the likely effect of a given</w:t>
      </w:r>
      <w:r>
        <w:rPr>
          <w:rFonts w:ascii="Times New Roman" w:hAnsi="Times New Roman"/>
          <w:sz w:val="24"/>
          <w:szCs w:val="24"/>
        </w:rPr>
        <w:t xml:space="preserve"> option on Crown R</w:t>
      </w:r>
      <w:r w:rsidR="00E415E0">
        <w:rPr>
          <w:rFonts w:ascii="Times New Roman" w:hAnsi="Times New Roman"/>
          <w:sz w:val="24"/>
          <w:szCs w:val="24"/>
        </w:rPr>
        <w:t>evenue</w:t>
      </w:r>
      <w:r w:rsidR="005965C4">
        <w:rPr>
          <w:rFonts w:ascii="Times New Roman" w:hAnsi="Times New Roman"/>
          <w:sz w:val="24"/>
          <w:szCs w:val="24"/>
        </w:rPr>
        <w:t xml:space="preserve">.  </w:t>
      </w:r>
      <w:r w:rsidR="00E415E0">
        <w:rPr>
          <w:rFonts w:ascii="Times New Roman" w:hAnsi="Times New Roman"/>
          <w:sz w:val="24"/>
          <w:szCs w:val="24"/>
        </w:rPr>
        <w:t>The bright-line test has been forecasted to raise approximately $5 million per year</w:t>
      </w:r>
      <w:r w:rsidR="005965C4">
        <w:rPr>
          <w:rFonts w:ascii="Times New Roman" w:hAnsi="Times New Roman"/>
          <w:sz w:val="24"/>
          <w:szCs w:val="24"/>
        </w:rPr>
        <w:t xml:space="preserve">.  </w:t>
      </w:r>
      <w:r w:rsidR="00E415E0">
        <w:rPr>
          <w:rFonts w:ascii="Times New Roman" w:hAnsi="Times New Roman"/>
          <w:sz w:val="24"/>
          <w:szCs w:val="24"/>
        </w:rPr>
        <w:t>As this analysis is targeted at optimising the effectiveness of the bright-line</w:t>
      </w:r>
      <w:r w:rsidR="00B825EB">
        <w:rPr>
          <w:rFonts w:ascii="Times New Roman" w:hAnsi="Times New Roman"/>
          <w:sz w:val="24"/>
          <w:szCs w:val="24"/>
        </w:rPr>
        <w:t xml:space="preserve"> test</w:t>
      </w:r>
      <w:r w:rsidR="00E415E0">
        <w:rPr>
          <w:rFonts w:ascii="Times New Roman" w:hAnsi="Times New Roman"/>
          <w:sz w:val="24"/>
          <w:szCs w:val="24"/>
        </w:rPr>
        <w:t>, none of the feasible options identified and analysed in this statement are intended or expected to raise revenue, but may lend themselves to collecting a portion of the $5 million</w:t>
      </w:r>
      <w:r w:rsidR="005965C4">
        <w:rPr>
          <w:rFonts w:ascii="Times New Roman" w:hAnsi="Times New Roman"/>
          <w:sz w:val="24"/>
          <w:szCs w:val="24"/>
        </w:rPr>
        <w:t xml:space="preserve">.  </w:t>
      </w:r>
      <w:r w:rsidR="002216A0">
        <w:rPr>
          <w:rFonts w:ascii="Times New Roman" w:hAnsi="Times New Roman"/>
          <w:sz w:val="24"/>
          <w:szCs w:val="24"/>
        </w:rPr>
        <w:t>The $5 million per annum figure forecasted for the bright-line test is based on a number of behavioural assumptions, which are inherently difficult to quantify, such as the number of sales that would be delayed in order to exceed the two-year holding period</w:t>
      </w:r>
      <w:r w:rsidR="005965C4">
        <w:rPr>
          <w:rFonts w:ascii="Times New Roman" w:hAnsi="Times New Roman"/>
          <w:sz w:val="24"/>
          <w:szCs w:val="24"/>
        </w:rPr>
        <w:t xml:space="preserve">.  </w:t>
      </w:r>
      <w:r w:rsidR="002216A0">
        <w:rPr>
          <w:rFonts w:ascii="Times New Roman" w:hAnsi="Times New Roman"/>
          <w:sz w:val="24"/>
          <w:szCs w:val="24"/>
        </w:rPr>
        <w:t>The actual revenue collected under the two-year bright-line test</w:t>
      </w:r>
      <w:r w:rsidR="00BA5C09">
        <w:rPr>
          <w:rFonts w:ascii="Times New Roman" w:hAnsi="Times New Roman"/>
          <w:sz w:val="24"/>
          <w:szCs w:val="24"/>
        </w:rPr>
        <w:t xml:space="preserve"> may be significantly more if the behavioural responses are different to those assumed.</w:t>
      </w:r>
    </w:p>
    <w:p w:rsidR="00BB7E31" w:rsidRPr="00E25CD4" w:rsidRDefault="00BB7E31" w:rsidP="006C19A4">
      <w:pPr>
        <w:pStyle w:val="Bullet-list"/>
        <w:spacing w:after="0" w:line="240" w:lineRule="auto"/>
        <w:ind w:left="0" w:firstLine="0"/>
        <w:jc w:val="both"/>
        <w:rPr>
          <w:rFonts w:ascii="Times New Roman" w:hAnsi="Times New Roman"/>
          <w:sz w:val="24"/>
          <w:szCs w:val="24"/>
        </w:rPr>
      </w:pPr>
    </w:p>
    <w:p w:rsidR="0045325A" w:rsidRDefault="00424BE3"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economic impact of each feasible option will also be assessed</w:t>
      </w:r>
      <w:r w:rsidR="0045325A">
        <w:rPr>
          <w:rFonts w:ascii="Times New Roman" w:hAnsi="Times New Roman"/>
          <w:sz w:val="24"/>
          <w:szCs w:val="24"/>
        </w:rPr>
        <w:t xml:space="preserve">, in particular, whether </w:t>
      </w:r>
      <w:r w:rsidR="005965C4">
        <w:rPr>
          <w:rFonts w:ascii="Times New Roman" w:hAnsi="Times New Roman"/>
          <w:sz w:val="24"/>
          <w:szCs w:val="24"/>
        </w:rPr>
        <w:t xml:space="preserve">compliance with New Zealand’s tax rules more generally may be affected and whether </w:t>
      </w:r>
      <w:r w:rsidR="0045325A">
        <w:rPr>
          <w:rFonts w:ascii="Times New Roman" w:hAnsi="Times New Roman"/>
          <w:sz w:val="24"/>
          <w:szCs w:val="24"/>
        </w:rPr>
        <w:t>there may be possible flow-on effects in the residential housing market given that the proposed bright-line test is targeted at short-term churn and speculation in residential housing</w:t>
      </w:r>
      <w:r w:rsidR="005965C4">
        <w:rPr>
          <w:rFonts w:ascii="Times New Roman" w:hAnsi="Times New Roman"/>
          <w:sz w:val="24"/>
          <w:szCs w:val="24"/>
        </w:rPr>
        <w:t xml:space="preserve">.  </w:t>
      </w:r>
      <w:r w:rsidR="00BA5C09">
        <w:rPr>
          <w:rFonts w:ascii="Times New Roman" w:hAnsi="Times New Roman"/>
          <w:sz w:val="24"/>
          <w:szCs w:val="24"/>
        </w:rPr>
        <w:t>The bright-line test has already been identified as creating a “lock-in” effect as people will have an incentive to hold onto property for longer than two years – this is an economic distortion as people may not undergo efficient transactions due to the bright-line test</w:t>
      </w:r>
      <w:r w:rsidR="005965C4">
        <w:rPr>
          <w:rFonts w:ascii="Times New Roman" w:hAnsi="Times New Roman"/>
          <w:sz w:val="24"/>
          <w:szCs w:val="24"/>
        </w:rPr>
        <w:t xml:space="preserve">.  </w:t>
      </w:r>
      <w:r w:rsidR="00BA5C09">
        <w:rPr>
          <w:rFonts w:ascii="Times New Roman" w:hAnsi="Times New Roman"/>
          <w:sz w:val="24"/>
          <w:szCs w:val="24"/>
        </w:rPr>
        <w:t>The economic impact of each option identified in the regulatory impact analysis is over and above that of the proposed bright-line test.</w:t>
      </w:r>
    </w:p>
    <w:p w:rsidR="00C95ACC" w:rsidRDefault="00C95ACC">
      <w:pPr>
        <w:pStyle w:val="ListParagraph"/>
        <w:rPr>
          <w:rFonts w:ascii="Times New Roman" w:hAnsi="Times New Roman"/>
          <w:sz w:val="24"/>
          <w:szCs w:val="24"/>
        </w:rPr>
      </w:pPr>
    </w:p>
    <w:p w:rsidR="0045325A" w:rsidRDefault="00485710"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An important </w:t>
      </w:r>
      <w:r w:rsidR="001258B0">
        <w:rPr>
          <w:rFonts w:ascii="Times New Roman" w:hAnsi="Times New Roman"/>
          <w:sz w:val="24"/>
          <w:szCs w:val="24"/>
        </w:rPr>
        <w:t>component of any recommended approach</w:t>
      </w:r>
      <w:r>
        <w:rPr>
          <w:rFonts w:ascii="Times New Roman" w:hAnsi="Times New Roman"/>
          <w:sz w:val="24"/>
          <w:szCs w:val="24"/>
        </w:rPr>
        <w:t xml:space="preserve"> is </w:t>
      </w:r>
      <w:r w:rsidR="00E20670">
        <w:rPr>
          <w:rFonts w:ascii="Times New Roman" w:hAnsi="Times New Roman"/>
          <w:sz w:val="24"/>
          <w:szCs w:val="24"/>
        </w:rPr>
        <w:t>the administrative impact</w:t>
      </w:r>
      <w:r w:rsidR="005965C4">
        <w:rPr>
          <w:rFonts w:ascii="Times New Roman" w:hAnsi="Times New Roman"/>
          <w:sz w:val="24"/>
          <w:szCs w:val="24"/>
        </w:rPr>
        <w:t xml:space="preserve">.  </w:t>
      </w:r>
      <w:r>
        <w:rPr>
          <w:rFonts w:ascii="Times New Roman" w:hAnsi="Times New Roman"/>
          <w:sz w:val="24"/>
          <w:szCs w:val="24"/>
        </w:rPr>
        <w:t xml:space="preserve">Thus, the impact analysis of the feasible options includes </w:t>
      </w:r>
      <w:r w:rsidR="0045325A">
        <w:rPr>
          <w:rFonts w:ascii="Times New Roman" w:hAnsi="Times New Roman"/>
          <w:sz w:val="24"/>
          <w:szCs w:val="24"/>
        </w:rPr>
        <w:t>whether, and to what extent, a particular option re</w:t>
      </w:r>
      <w:r w:rsidR="00151368">
        <w:rPr>
          <w:rFonts w:ascii="Times New Roman" w:hAnsi="Times New Roman"/>
          <w:sz w:val="24"/>
          <w:szCs w:val="24"/>
        </w:rPr>
        <w:t>quires changes to</w:t>
      </w:r>
      <w:r w:rsidR="00EF2516">
        <w:rPr>
          <w:rFonts w:ascii="Times New Roman" w:hAnsi="Times New Roman"/>
          <w:sz w:val="24"/>
          <w:szCs w:val="24"/>
        </w:rPr>
        <w:t xml:space="preserve"> systems</w:t>
      </w:r>
      <w:r w:rsidR="00713375">
        <w:rPr>
          <w:rFonts w:ascii="Times New Roman" w:hAnsi="Times New Roman"/>
          <w:sz w:val="24"/>
          <w:szCs w:val="24"/>
        </w:rPr>
        <w:t xml:space="preserve"> in order to administer it</w:t>
      </w:r>
      <w:r w:rsidR="0045325A">
        <w:rPr>
          <w:rFonts w:ascii="Times New Roman" w:hAnsi="Times New Roman"/>
          <w:sz w:val="24"/>
          <w:szCs w:val="24"/>
        </w:rPr>
        <w:t>, for example,</w:t>
      </w:r>
      <w:r w:rsidR="00713375">
        <w:rPr>
          <w:rFonts w:ascii="Times New Roman" w:hAnsi="Times New Roman"/>
          <w:sz w:val="24"/>
          <w:szCs w:val="24"/>
        </w:rPr>
        <w:t xml:space="preserve"> whether changes are required to</w:t>
      </w:r>
      <w:r w:rsidR="0045325A">
        <w:rPr>
          <w:rFonts w:ascii="Times New Roman" w:hAnsi="Times New Roman"/>
          <w:sz w:val="24"/>
          <w:szCs w:val="24"/>
        </w:rPr>
        <w:t xml:space="preserve"> Inland Revenue</w:t>
      </w:r>
      <w:r w:rsidR="00713375">
        <w:rPr>
          <w:rFonts w:ascii="Times New Roman" w:hAnsi="Times New Roman"/>
          <w:sz w:val="24"/>
          <w:szCs w:val="24"/>
        </w:rPr>
        <w:t>’s</w:t>
      </w:r>
      <w:r w:rsidR="0045325A">
        <w:rPr>
          <w:rFonts w:ascii="Times New Roman" w:hAnsi="Times New Roman"/>
          <w:sz w:val="24"/>
          <w:szCs w:val="24"/>
        </w:rPr>
        <w:t xml:space="preserve"> </w:t>
      </w:r>
      <w:r w:rsidR="00713375">
        <w:rPr>
          <w:rFonts w:ascii="Times New Roman" w:hAnsi="Times New Roman"/>
          <w:sz w:val="24"/>
          <w:szCs w:val="24"/>
        </w:rPr>
        <w:t xml:space="preserve">computer systems or other processes, </w:t>
      </w:r>
      <w:r w:rsidR="00A07E05">
        <w:rPr>
          <w:rFonts w:ascii="Times New Roman" w:hAnsi="Times New Roman"/>
          <w:sz w:val="24"/>
          <w:szCs w:val="24"/>
        </w:rPr>
        <w:t>and/</w:t>
      </w:r>
      <w:r w:rsidR="00713375">
        <w:rPr>
          <w:rFonts w:ascii="Times New Roman" w:hAnsi="Times New Roman"/>
          <w:sz w:val="24"/>
          <w:szCs w:val="24"/>
        </w:rPr>
        <w:t xml:space="preserve">or whether a particular option requires the use of additional </w:t>
      </w:r>
      <w:r w:rsidR="00E909F7">
        <w:rPr>
          <w:rFonts w:ascii="Times New Roman" w:hAnsi="Times New Roman"/>
          <w:sz w:val="24"/>
          <w:szCs w:val="24"/>
        </w:rPr>
        <w:t>resources to implement a solution or identify and investigate cases of non-compliance</w:t>
      </w:r>
      <w:r w:rsidR="005965C4">
        <w:rPr>
          <w:rFonts w:ascii="Times New Roman" w:hAnsi="Times New Roman"/>
          <w:sz w:val="24"/>
          <w:szCs w:val="24"/>
        </w:rPr>
        <w:t xml:space="preserve">.  </w:t>
      </w:r>
    </w:p>
    <w:p w:rsidR="0045325A" w:rsidRDefault="0045325A">
      <w:pPr>
        <w:pStyle w:val="ListParagraph"/>
        <w:rPr>
          <w:rFonts w:ascii="Times New Roman" w:hAnsi="Times New Roman"/>
          <w:sz w:val="24"/>
          <w:szCs w:val="24"/>
        </w:rPr>
      </w:pPr>
    </w:p>
    <w:p w:rsidR="0045325A" w:rsidRDefault="00151368"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Conversely,</w:t>
      </w:r>
      <w:r w:rsidR="002F66AD">
        <w:rPr>
          <w:rFonts w:ascii="Times New Roman" w:hAnsi="Times New Roman"/>
          <w:sz w:val="24"/>
          <w:szCs w:val="24"/>
        </w:rPr>
        <w:t xml:space="preserve"> the recommended approach should not unduly impose compliance costs</w:t>
      </w:r>
      <w:r w:rsidR="00A314FD">
        <w:rPr>
          <w:rFonts w:ascii="Times New Roman" w:hAnsi="Times New Roman"/>
          <w:sz w:val="24"/>
          <w:szCs w:val="24"/>
        </w:rPr>
        <w:t>, although some compliance costs are to be expected</w:t>
      </w:r>
      <w:r w:rsidR="005965C4">
        <w:rPr>
          <w:rFonts w:ascii="Times New Roman" w:hAnsi="Times New Roman"/>
          <w:sz w:val="24"/>
          <w:szCs w:val="24"/>
        </w:rPr>
        <w:t xml:space="preserve">.  </w:t>
      </w:r>
      <w:r w:rsidR="00E20670">
        <w:rPr>
          <w:rFonts w:ascii="Times New Roman" w:hAnsi="Times New Roman"/>
          <w:sz w:val="24"/>
          <w:szCs w:val="24"/>
        </w:rPr>
        <w:t xml:space="preserve">The regulatory impact statement </w:t>
      </w:r>
      <w:r w:rsidR="00E20670" w:rsidRPr="00F271F8">
        <w:rPr>
          <w:rFonts w:ascii="Times New Roman" w:hAnsi="Times New Roman"/>
          <w:i/>
          <w:sz w:val="24"/>
          <w:szCs w:val="24"/>
          <w:lang w:val="en-NZ"/>
        </w:rPr>
        <w:t>Bright-line test for sales of residential property</w:t>
      </w:r>
      <w:r w:rsidR="00E20670">
        <w:rPr>
          <w:rFonts w:ascii="Times New Roman" w:hAnsi="Times New Roman"/>
          <w:i/>
          <w:sz w:val="24"/>
          <w:szCs w:val="24"/>
          <w:lang w:val="en-NZ"/>
        </w:rPr>
        <w:t xml:space="preserve"> </w:t>
      </w:r>
      <w:r w:rsidR="00E20670">
        <w:rPr>
          <w:rFonts w:ascii="Times New Roman" w:hAnsi="Times New Roman"/>
          <w:sz w:val="24"/>
          <w:szCs w:val="24"/>
          <w:lang w:val="en-NZ"/>
        </w:rPr>
        <w:t xml:space="preserve">noted that the bright-line test would increase compliance costs for those whose sales of residential property were not previously taxable under the intention test as they would be required to start accounting for income </w:t>
      </w:r>
      <w:r w:rsidR="00A314FD">
        <w:rPr>
          <w:rFonts w:ascii="Times New Roman" w:hAnsi="Times New Roman"/>
          <w:sz w:val="24"/>
          <w:szCs w:val="24"/>
          <w:lang w:val="en-NZ"/>
        </w:rPr>
        <w:t>tax on their property sale</w:t>
      </w:r>
      <w:r w:rsidR="00E20670">
        <w:rPr>
          <w:rFonts w:ascii="Times New Roman" w:hAnsi="Times New Roman"/>
          <w:sz w:val="24"/>
          <w:szCs w:val="24"/>
          <w:lang w:val="en-NZ"/>
        </w:rPr>
        <w:t>s</w:t>
      </w:r>
      <w:r w:rsidR="005965C4">
        <w:rPr>
          <w:rFonts w:ascii="Times New Roman" w:hAnsi="Times New Roman"/>
          <w:sz w:val="24"/>
          <w:szCs w:val="24"/>
          <w:lang w:val="en-NZ"/>
        </w:rPr>
        <w:t xml:space="preserve">.  </w:t>
      </w:r>
      <w:r w:rsidR="00A314FD">
        <w:rPr>
          <w:rFonts w:ascii="Times New Roman" w:hAnsi="Times New Roman"/>
          <w:sz w:val="24"/>
          <w:szCs w:val="24"/>
          <w:lang w:val="en-NZ"/>
        </w:rPr>
        <w:t xml:space="preserve">The compliance impacts identified in the impact analysis are over and above those identified for the </w:t>
      </w:r>
      <w:r w:rsidR="00EA5B35">
        <w:rPr>
          <w:rFonts w:ascii="Times New Roman" w:hAnsi="Times New Roman"/>
          <w:sz w:val="24"/>
          <w:szCs w:val="24"/>
          <w:lang w:val="en-NZ"/>
        </w:rPr>
        <w:t xml:space="preserve">proposed </w:t>
      </w:r>
      <w:r w:rsidR="00A314FD">
        <w:rPr>
          <w:rFonts w:ascii="Times New Roman" w:hAnsi="Times New Roman"/>
          <w:sz w:val="24"/>
          <w:szCs w:val="24"/>
          <w:lang w:val="en-NZ"/>
        </w:rPr>
        <w:t>bright-line test.</w:t>
      </w:r>
    </w:p>
    <w:p w:rsidR="0045325A" w:rsidRDefault="0045325A">
      <w:pPr>
        <w:pStyle w:val="ListParagraph"/>
        <w:rPr>
          <w:rFonts w:ascii="Times New Roman" w:hAnsi="Times New Roman"/>
          <w:sz w:val="24"/>
          <w:szCs w:val="24"/>
        </w:rPr>
      </w:pPr>
    </w:p>
    <w:p w:rsidR="00180C9C" w:rsidRPr="00F34D18" w:rsidRDefault="002812DA"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C95ACC">
        <w:rPr>
          <w:rFonts w:ascii="Times New Roman" w:hAnsi="Times New Roman"/>
          <w:sz w:val="24"/>
          <w:szCs w:val="24"/>
        </w:rPr>
        <w:t xml:space="preserve">As noted previously, </w:t>
      </w:r>
      <w:r w:rsidR="00180C9C" w:rsidRPr="00C95ACC">
        <w:rPr>
          <w:rFonts w:ascii="Times New Roman" w:hAnsi="Times New Roman"/>
          <w:sz w:val="24"/>
          <w:szCs w:val="24"/>
        </w:rPr>
        <w:t>New Zealand’s tax system operates on the principle of voluntary compliance, which relies on taxpayers understanding their tax obligations and how the wider tax system works</w:t>
      </w:r>
      <w:r w:rsidR="005965C4">
        <w:rPr>
          <w:rFonts w:ascii="Times New Roman" w:hAnsi="Times New Roman"/>
          <w:sz w:val="24"/>
          <w:szCs w:val="24"/>
        </w:rPr>
        <w:t xml:space="preserve">.  </w:t>
      </w:r>
      <w:r w:rsidRPr="00C95ACC">
        <w:rPr>
          <w:rFonts w:ascii="Times New Roman" w:hAnsi="Times New Roman"/>
          <w:sz w:val="24"/>
          <w:szCs w:val="24"/>
        </w:rPr>
        <w:t>Where there is unfairness or a perception of unfairness present in the tax system, people may be less willing to voluntarily comply with their tax obligations, which may undermine the integrity of the New Zealand tax system</w:t>
      </w:r>
      <w:r w:rsidR="005965C4">
        <w:rPr>
          <w:rFonts w:ascii="Times New Roman" w:hAnsi="Times New Roman"/>
          <w:sz w:val="24"/>
          <w:szCs w:val="24"/>
        </w:rPr>
        <w:t xml:space="preserve">.  </w:t>
      </w:r>
      <w:r w:rsidR="00C95ACC" w:rsidRPr="0076228A">
        <w:rPr>
          <w:rFonts w:ascii="Times New Roman" w:hAnsi="Times New Roman"/>
          <w:sz w:val="24"/>
          <w:szCs w:val="24"/>
        </w:rPr>
        <w:t>Fairness</w:t>
      </w:r>
      <w:r w:rsidR="00EA5B35">
        <w:rPr>
          <w:rFonts w:ascii="Times New Roman" w:hAnsi="Times New Roman"/>
          <w:sz w:val="24"/>
          <w:szCs w:val="24"/>
        </w:rPr>
        <w:t xml:space="preserve"> (and</w:t>
      </w:r>
      <w:r w:rsidR="00B825EB">
        <w:rPr>
          <w:rFonts w:ascii="Times New Roman" w:hAnsi="Times New Roman"/>
          <w:sz w:val="24"/>
          <w:szCs w:val="24"/>
        </w:rPr>
        <w:t xml:space="preserve"> the</w:t>
      </w:r>
      <w:r w:rsidR="00EA5B35">
        <w:rPr>
          <w:rFonts w:ascii="Times New Roman" w:hAnsi="Times New Roman"/>
          <w:sz w:val="24"/>
          <w:szCs w:val="24"/>
        </w:rPr>
        <w:t xml:space="preserve"> perception of fairness)</w:t>
      </w:r>
      <w:r w:rsidR="00C95ACC" w:rsidRPr="0076228A">
        <w:rPr>
          <w:rFonts w:ascii="Times New Roman" w:hAnsi="Times New Roman"/>
          <w:sz w:val="24"/>
          <w:szCs w:val="24"/>
        </w:rPr>
        <w:t xml:space="preserve"> is accordingly an important part of the principles underpinning the integrity of the tax system</w:t>
      </w:r>
      <w:r w:rsidR="005965C4">
        <w:rPr>
          <w:rFonts w:ascii="Times New Roman" w:hAnsi="Times New Roman"/>
          <w:sz w:val="24"/>
          <w:szCs w:val="24"/>
        </w:rPr>
        <w:t xml:space="preserve">.  </w:t>
      </w:r>
      <w:r w:rsidRPr="00C95ACC">
        <w:rPr>
          <w:rFonts w:ascii="Times New Roman" w:hAnsi="Times New Roman"/>
          <w:sz w:val="24"/>
          <w:szCs w:val="24"/>
        </w:rPr>
        <w:t xml:space="preserve">As the New Zealand tax system relies </w:t>
      </w:r>
      <w:r w:rsidR="00AF6AA2" w:rsidRPr="00C95ACC">
        <w:rPr>
          <w:rFonts w:ascii="Times New Roman" w:hAnsi="Times New Roman"/>
          <w:sz w:val="24"/>
          <w:szCs w:val="24"/>
        </w:rPr>
        <w:t>heavily on people voluntarily complying with their tax obligations, we consider that the fairness impacts of any feasible option are significant in determining whether the option meets the stated objective.</w:t>
      </w:r>
    </w:p>
    <w:p w:rsidR="00A17635" w:rsidRDefault="00D943DD" w:rsidP="00EB3175">
      <w:pPr>
        <w:pStyle w:val="RISheading"/>
        <w:jc w:val="both"/>
        <w:rPr>
          <w:lang w:val="en-NZ"/>
        </w:rPr>
      </w:pPr>
      <w:bookmarkStart w:id="16" w:name="_Toc244580365"/>
      <w:bookmarkStart w:id="17" w:name="_Toc244587041"/>
      <w:bookmarkStart w:id="18" w:name="_Toc244857275"/>
      <w:bookmarkStart w:id="19" w:name="_Toc244912540"/>
      <w:bookmarkStart w:id="20" w:name="_Toc244916997"/>
      <w:r w:rsidRPr="004342F0">
        <w:rPr>
          <w:spacing w:val="0"/>
          <w:w w:val="100"/>
        </w:rPr>
        <w:t>REGULATORY IMPACT ANALYSIS</w:t>
      </w:r>
      <w:bookmarkEnd w:id="16"/>
      <w:bookmarkEnd w:id="17"/>
      <w:bookmarkEnd w:id="18"/>
      <w:bookmarkEnd w:id="19"/>
      <w:bookmarkEnd w:id="20"/>
      <w:r w:rsidRPr="004342F0">
        <w:rPr>
          <w:spacing w:val="0"/>
          <w:w w:val="100"/>
        </w:rPr>
        <w:t xml:space="preserve"> </w:t>
      </w:r>
    </w:p>
    <w:p w:rsidR="00A17635" w:rsidRDefault="00A17635"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We note that the identification and analysis of a full range of practical options to achieve the Government’s stated objective has been constrained by a number of factors:</w:t>
      </w:r>
    </w:p>
    <w:p w:rsidR="00A17635" w:rsidRDefault="00A17635" w:rsidP="006C19A4">
      <w:pPr>
        <w:pStyle w:val="Bullet-list"/>
        <w:numPr>
          <w:ilvl w:val="0"/>
          <w:numId w:val="5"/>
        </w:numPr>
        <w:spacing w:after="0" w:line="240" w:lineRule="auto"/>
        <w:jc w:val="both"/>
        <w:rPr>
          <w:rFonts w:ascii="Times New Roman" w:hAnsi="Times New Roman"/>
          <w:sz w:val="24"/>
          <w:szCs w:val="24"/>
          <w:lang w:val="en-NZ"/>
        </w:rPr>
      </w:pPr>
      <w:r>
        <w:rPr>
          <w:rFonts w:ascii="Times New Roman" w:hAnsi="Times New Roman"/>
          <w:sz w:val="24"/>
          <w:szCs w:val="24"/>
          <w:lang w:val="en-NZ"/>
        </w:rPr>
        <w:t>time available for policy design and consultation;</w:t>
      </w:r>
      <w:r w:rsidR="00EA5B35">
        <w:rPr>
          <w:rFonts w:ascii="Times New Roman" w:hAnsi="Times New Roman"/>
          <w:sz w:val="24"/>
          <w:szCs w:val="24"/>
          <w:lang w:val="en-NZ"/>
        </w:rPr>
        <w:t xml:space="preserve"> and</w:t>
      </w:r>
    </w:p>
    <w:p w:rsidR="00A17635" w:rsidRDefault="00A17635" w:rsidP="006C19A4">
      <w:pPr>
        <w:pStyle w:val="Bullet-list"/>
        <w:numPr>
          <w:ilvl w:val="0"/>
          <w:numId w:val="5"/>
        </w:numPr>
        <w:spacing w:after="0" w:line="240" w:lineRule="auto"/>
        <w:jc w:val="both"/>
        <w:rPr>
          <w:rFonts w:ascii="Times New Roman" w:hAnsi="Times New Roman"/>
          <w:sz w:val="24"/>
          <w:szCs w:val="24"/>
          <w:lang w:val="en-NZ"/>
        </w:rPr>
      </w:pPr>
      <w:r>
        <w:rPr>
          <w:rFonts w:ascii="Times New Roman" w:hAnsi="Times New Roman"/>
          <w:sz w:val="24"/>
          <w:szCs w:val="24"/>
          <w:lang w:val="en-NZ"/>
        </w:rPr>
        <w:t xml:space="preserve">Inland Revenue’s </w:t>
      </w:r>
      <w:r w:rsidR="00317341">
        <w:rPr>
          <w:rFonts w:ascii="Times New Roman" w:hAnsi="Times New Roman"/>
          <w:sz w:val="24"/>
          <w:szCs w:val="24"/>
          <w:lang w:val="en-NZ"/>
        </w:rPr>
        <w:t xml:space="preserve">need </w:t>
      </w:r>
      <w:r>
        <w:rPr>
          <w:rFonts w:ascii="Times New Roman" w:hAnsi="Times New Roman"/>
          <w:sz w:val="24"/>
          <w:szCs w:val="24"/>
          <w:lang w:val="en-NZ"/>
        </w:rPr>
        <w:t xml:space="preserve">to </w:t>
      </w:r>
      <w:r w:rsidR="00317341">
        <w:rPr>
          <w:rFonts w:ascii="Times New Roman" w:hAnsi="Times New Roman"/>
          <w:sz w:val="24"/>
          <w:szCs w:val="24"/>
          <w:lang w:val="en-NZ"/>
        </w:rPr>
        <w:t xml:space="preserve">limit the amount of significant or complex changes within its legacy systems </w:t>
      </w:r>
      <w:r w:rsidRPr="006E5ABA">
        <w:rPr>
          <w:rFonts w:ascii="Times New Roman" w:hAnsi="Times New Roman"/>
          <w:sz w:val="24"/>
          <w:szCs w:val="24"/>
          <w:lang w:val="en-NZ"/>
        </w:rPr>
        <w:t>in advance of the relevant stage of development of its Business Transformation programme</w:t>
      </w:r>
      <w:r>
        <w:rPr>
          <w:rFonts w:ascii="Times New Roman" w:hAnsi="Times New Roman"/>
          <w:sz w:val="24"/>
          <w:szCs w:val="24"/>
          <w:lang w:val="en-NZ"/>
        </w:rPr>
        <w:t>.</w:t>
      </w:r>
    </w:p>
    <w:p w:rsidR="00A17635" w:rsidRDefault="00A17635" w:rsidP="006C19A4">
      <w:pPr>
        <w:pStyle w:val="Bullet-list"/>
        <w:spacing w:after="0" w:line="240" w:lineRule="auto"/>
        <w:jc w:val="both"/>
        <w:rPr>
          <w:rFonts w:ascii="Times New Roman" w:hAnsi="Times New Roman"/>
          <w:sz w:val="24"/>
          <w:szCs w:val="24"/>
          <w:lang w:val="en-NZ"/>
        </w:rPr>
      </w:pPr>
    </w:p>
    <w:p w:rsidR="00F32BC3" w:rsidRDefault="00F32BC3"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 xml:space="preserve">Further, </w:t>
      </w:r>
      <w:r w:rsidR="00A17635">
        <w:rPr>
          <w:rFonts w:ascii="Times New Roman" w:hAnsi="Times New Roman"/>
          <w:sz w:val="24"/>
          <w:szCs w:val="24"/>
          <w:lang w:val="en-NZ"/>
        </w:rPr>
        <w:t>the</w:t>
      </w:r>
      <w:r w:rsidR="00A17635" w:rsidRPr="00231AEE">
        <w:rPr>
          <w:rFonts w:ascii="Times New Roman" w:hAnsi="Times New Roman"/>
          <w:sz w:val="24"/>
          <w:szCs w:val="24"/>
          <w:lang w:val="en-NZ"/>
        </w:rPr>
        <w:t xml:space="preserve"> Government directed Treasury and Inland Revenue officials to </w:t>
      </w:r>
      <w:r w:rsidR="00A17635" w:rsidRPr="006C19A4">
        <w:rPr>
          <w:rFonts w:ascii="Times New Roman" w:hAnsi="Times New Roman"/>
          <w:sz w:val="24"/>
          <w:szCs w:val="24"/>
          <w:lang w:val="en-NZ"/>
        </w:rPr>
        <w:t>develop</w:t>
      </w:r>
      <w:r w:rsidR="00A17635" w:rsidRPr="00231AEE">
        <w:rPr>
          <w:rFonts w:ascii="Times New Roman" w:hAnsi="Times New Roman"/>
          <w:sz w:val="24"/>
          <w:szCs w:val="24"/>
          <w:lang w:val="en-NZ"/>
        </w:rPr>
        <w:t xml:space="preserve"> a withholding tax to improve compliance with the bright-line test</w:t>
      </w:r>
      <w:r w:rsidR="005965C4">
        <w:rPr>
          <w:rFonts w:ascii="Times New Roman" w:hAnsi="Times New Roman"/>
          <w:sz w:val="24"/>
          <w:szCs w:val="24"/>
          <w:lang w:val="en-NZ"/>
        </w:rPr>
        <w:t xml:space="preserve">.  </w:t>
      </w:r>
    </w:p>
    <w:p w:rsidR="00F32BC3" w:rsidRDefault="00F32BC3" w:rsidP="006C19A4">
      <w:pPr>
        <w:pStyle w:val="Bullet-list"/>
        <w:spacing w:after="0" w:line="240" w:lineRule="auto"/>
        <w:ind w:left="0" w:firstLine="0"/>
        <w:jc w:val="both"/>
        <w:rPr>
          <w:rFonts w:ascii="Times New Roman" w:hAnsi="Times New Roman"/>
          <w:sz w:val="24"/>
          <w:szCs w:val="24"/>
          <w:lang w:val="en-NZ"/>
        </w:rPr>
      </w:pPr>
    </w:p>
    <w:p w:rsidR="00A17635" w:rsidRDefault="00A17635"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However, to assess whether the design of a withholding tax fully meets th</w:t>
      </w:r>
      <w:r w:rsidR="00B825EB">
        <w:rPr>
          <w:rFonts w:ascii="Times New Roman" w:hAnsi="Times New Roman"/>
          <w:sz w:val="24"/>
          <w:szCs w:val="24"/>
          <w:lang w:val="en-NZ"/>
        </w:rPr>
        <w:t>e stated</w:t>
      </w:r>
      <w:r>
        <w:rPr>
          <w:rFonts w:ascii="Times New Roman" w:hAnsi="Times New Roman"/>
          <w:sz w:val="24"/>
          <w:szCs w:val="24"/>
          <w:lang w:val="en-NZ"/>
        </w:rPr>
        <w:t xml:space="preserve"> objective, we have also evaluated the Commissioner’s current tools for collection and other possible non-regulatory approaches to determine whether they may also be appropriate for optimising the effectiveness </w:t>
      </w:r>
      <w:r w:rsidR="00EA5B35">
        <w:rPr>
          <w:rFonts w:ascii="Times New Roman" w:hAnsi="Times New Roman"/>
          <w:sz w:val="24"/>
          <w:szCs w:val="24"/>
          <w:lang w:val="en-NZ"/>
        </w:rPr>
        <w:t xml:space="preserve">and integrity </w:t>
      </w:r>
      <w:r>
        <w:rPr>
          <w:rFonts w:ascii="Times New Roman" w:hAnsi="Times New Roman"/>
          <w:sz w:val="24"/>
          <w:szCs w:val="24"/>
          <w:lang w:val="en-NZ"/>
        </w:rPr>
        <w:t xml:space="preserve">of the </w:t>
      </w:r>
      <w:r w:rsidR="00EA5B35">
        <w:rPr>
          <w:rFonts w:ascii="Times New Roman" w:hAnsi="Times New Roman"/>
          <w:sz w:val="24"/>
          <w:szCs w:val="24"/>
          <w:lang w:val="en-NZ"/>
        </w:rPr>
        <w:t xml:space="preserve">proposed </w:t>
      </w:r>
      <w:r>
        <w:rPr>
          <w:rFonts w:ascii="Times New Roman" w:hAnsi="Times New Roman"/>
          <w:sz w:val="24"/>
          <w:szCs w:val="24"/>
          <w:lang w:val="en-NZ"/>
        </w:rPr>
        <w:t>bright-line test.</w:t>
      </w:r>
    </w:p>
    <w:p w:rsidR="00A17635" w:rsidRDefault="00A17635" w:rsidP="006C19A4">
      <w:pPr>
        <w:pStyle w:val="Bullet-list"/>
        <w:spacing w:after="0" w:line="240" w:lineRule="auto"/>
        <w:ind w:left="0" w:firstLine="0"/>
        <w:jc w:val="both"/>
        <w:rPr>
          <w:rFonts w:ascii="Times New Roman" w:hAnsi="Times New Roman"/>
          <w:sz w:val="24"/>
          <w:szCs w:val="24"/>
        </w:rPr>
      </w:pPr>
    </w:p>
    <w:p w:rsidR="006E5ABA" w:rsidRDefault="00D46A34"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Four </w:t>
      </w:r>
      <w:r w:rsidR="006E5ABA">
        <w:rPr>
          <w:rFonts w:ascii="Times New Roman" w:hAnsi="Times New Roman"/>
          <w:sz w:val="24"/>
          <w:szCs w:val="24"/>
        </w:rPr>
        <w:t xml:space="preserve">options for </w:t>
      </w:r>
      <w:r w:rsidR="00BF3FDC">
        <w:rPr>
          <w:rFonts w:ascii="Times New Roman" w:hAnsi="Times New Roman"/>
          <w:sz w:val="24"/>
          <w:szCs w:val="24"/>
        </w:rPr>
        <w:t xml:space="preserve">optimising the effectiveness </w:t>
      </w:r>
      <w:r w:rsidR="00EA5B35">
        <w:rPr>
          <w:rFonts w:ascii="Times New Roman" w:hAnsi="Times New Roman"/>
          <w:sz w:val="24"/>
          <w:szCs w:val="24"/>
        </w:rPr>
        <w:t xml:space="preserve">and integrity </w:t>
      </w:r>
      <w:r w:rsidR="00BF3FDC">
        <w:rPr>
          <w:rFonts w:ascii="Times New Roman" w:hAnsi="Times New Roman"/>
          <w:sz w:val="24"/>
          <w:szCs w:val="24"/>
        </w:rPr>
        <w:t>of the bright-line test</w:t>
      </w:r>
      <w:r w:rsidR="006E5ABA">
        <w:rPr>
          <w:rFonts w:ascii="Times New Roman" w:hAnsi="Times New Roman"/>
          <w:sz w:val="24"/>
          <w:szCs w:val="24"/>
        </w:rPr>
        <w:t xml:space="preserve"> are considered below:</w:t>
      </w:r>
    </w:p>
    <w:p w:rsidR="006E5ABA" w:rsidRDefault="006E5ABA" w:rsidP="006C19A4">
      <w:pPr>
        <w:pStyle w:val="Bullet-list"/>
        <w:numPr>
          <w:ilvl w:val="0"/>
          <w:numId w:val="5"/>
        </w:numPr>
        <w:spacing w:after="0" w:line="240" w:lineRule="auto"/>
        <w:jc w:val="both"/>
        <w:rPr>
          <w:rFonts w:ascii="Times New Roman" w:hAnsi="Times New Roman"/>
          <w:sz w:val="24"/>
          <w:szCs w:val="24"/>
          <w:lang w:val="en-NZ"/>
        </w:rPr>
      </w:pPr>
      <w:r w:rsidRPr="006E5ABA">
        <w:rPr>
          <w:rFonts w:ascii="Times New Roman" w:hAnsi="Times New Roman"/>
          <w:sz w:val="24"/>
          <w:szCs w:val="24"/>
          <w:lang w:val="en-NZ"/>
        </w:rPr>
        <w:t xml:space="preserve">Option 1: </w:t>
      </w:r>
      <w:r w:rsidR="009B05C8">
        <w:rPr>
          <w:rFonts w:ascii="Times New Roman" w:hAnsi="Times New Roman"/>
          <w:sz w:val="24"/>
          <w:szCs w:val="24"/>
          <w:lang w:val="en-NZ"/>
        </w:rPr>
        <w:t>Rely on existing compliance measures (</w:t>
      </w:r>
      <w:r w:rsidRPr="006E5ABA">
        <w:rPr>
          <w:rFonts w:ascii="Times New Roman" w:hAnsi="Times New Roman"/>
          <w:sz w:val="24"/>
          <w:szCs w:val="24"/>
          <w:lang w:val="en-NZ"/>
        </w:rPr>
        <w:t>the status quo</w:t>
      </w:r>
      <w:r w:rsidR="009B05C8">
        <w:rPr>
          <w:rFonts w:ascii="Times New Roman" w:hAnsi="Times New Roman"/>
          <w:sz w:val="24"/>
          <w:szCs w:val="24"/>
          <w:lang w:val="en-NZ"/>
        </w:rPr>
        <w:t>)</w:t>
      </w:r>
      <w:r w:rsidR="00F777E4">
        <w:rPr>
          <w:rFonts w:ascii="Times New Roman" w:hAnsi="Times New Roman"/>
          <w:sz w:val="24"/>
          <w:szCs w:val="24"/>
          <w:lang w:val="en-NZ"/>
        </w:rPr>
        <w:t>;</w:t>
      </w:r>
    </w:p>
    <w:p w:rsidR="00D46A34" w:rsidRDefault="00D46A34" w:rsidP="006C19A4">
      <w:pPr>
        <w:pStyle w:val="Bullet-list"/>
        <w:numPr>
          <w:ilvl w:val="0"/>
          <w:numId w:val="5"/>
        </w:numPr>
        <w:spacing w:after="0" w:line="240" w:lineRule="auto"/>
        <w:jc w:val="both"/>
        <w:rPr>
          <w:rFonts w:ascii="Times New Roman" w:hAnsi="Times New Roman"/>
          <w:sz w:val="24"/>
          <w:szCs w:val="24"/>
          <w:lang w:val="en-NZ"/>
        </w:rPr>
      </w:pPr>
      <w:r>
        <w:rPr>
          <w:rFonts w:ascii="Times New Roman" w:hAnsi="Times New Roman"/>
          <w:sz w:val="24"/>
          <w:szCs w:val="24"/>
          <w:lang w:val="en-NZ"/>
        </w:rPr>
        <w:t xml:space="preserve">Option 2: </w:t>
      </w:r>
      <w:r w:rsidR="00F777E4">
        <w:rPr>
          <w:rFonts w:ascii="Times New Roman" w:hAnsi="Times New Roman"/>
          <w:sz w:val="24"/>
          <w:szCs w:val="24"/>
          <w:lang w:val="en-NZ"/>
        </w:rPr>
        <w:t>Status quo, but provide more guidance on tax obligations;</w:t>
      </w:r>
    </w:p>
    <w:p w:rsidR="009B05C8" w:rsidRPr="006E5ABA" w:rsidRDefault="009B05C8" w:rsidP="006C19A4">
      <w:pPr>
        <w:pStyle w:val="Bullet-list"/>
        <w:numPr>
          <w:ilvl w:val="0"/>
          <w:numId w:val="5"/>
        </w:numPr>
        <w:spacing w:after="0" w:line="240" w:lineRule="auto"/>
        <w:jc w:val="both"/>
        <w:rPr>
          <w:rFonts w:ascii="Times New Roman" w:hAnsi="Times New Roman"/>
          <w:sz w:val="24"/>
          <w:szCs w:val="24"/>
          <w:lang w:val="en-NZ"/>
        </w:rPr>
      </w:pPr>
      <w:r>
        <w:rPr>
          <w:rFonts w:ascii="Times New Roman" w:hAnsi="Times New Roman"/>
          <w:sz w:val="24"/>
          <w:szCs w:val="24"/>
          <w:lang w:val="en-NZ"/>
        </w:rPr>
        <w:t>Option 3:</w:t>
      </w:r>
      <w:r w:rsidR="00F777E4">
        <w:rPr>
          <w:rFonts w:ascii="Times New Roman" w:hAnsi="Times New Roman"/>
          <w:sz w:val="24"/>
          <w:szCs w:val="24"/>
          <w:lang w:val="en-NZ"/>
        </w:rPr>
        <w:t xml:space="preserve"> Status quo, but review effectiveness</w:t>
      </w:r>
      <w:r w:rsidR="002E67EB">
        <w:rPr>
          <w:rFonts w:ascii="Times New Roman" w:hAnsi="Times New Roman"/>
          <w:sz w:val="24"/>
          <w:szCs w:val="24"/>
          <w:lang w:val="en-NZ"/>
        </w:rPr>
        <w:t xml:space="preserve"> of bright-line test</w:t>
      </w:r>
      <w:r w:rsidR="00F777E4">
        <w:rPr>
          <w:rFonts w:ascii="Times New Roman" w:hAnsi="Times New Roman"/>
          <w:sz w:val="24"/>
          <w:szCs w:val="24"/>
          <w:lang w:val="en-NZ"/>
        </w:rPr>
        <w:t xml:space="preserve"> in </w:t>
      </w:r>
      <w:r w:rsidR="00C53549">
        <w:rPr>
          <w:rFonts w:ascii="Times New Roman" w:hAnsi="Times New Roman"/>
          <w:sz w:val="24"/>
          <w:szCs w:val="24"/>
          <w:lang w:val="en-NZ"/>
        </w:rPr>
        <w:t>three</w:t>
      </w:r>
      <w:r w:rsidR="00C64E67">
        <w:rPr>
          <w:rFonts w:ascii="Times New Roman" w:hAnsi="Times New Roman"/>
          <w:sz w:val="24"/>
          <w:szCs w:val="24"/>
          <w:lang w:val="en-NZ"/>
        </w:rPr>
        <w:t xml:space="preserve"> to four</w:t>
      </w:r>
      <w:r w:rsidR="00F777E4">
        <w:rPr>
          <w:rFonts w:ascii="Times New Roman" w:hAnsi="Times New Roman"/>
          <w:sz w:val="24"/>
          <w:szCs w:val="24"/>
          <w:lang w:val="en-NZ"/>
        </w:rPr>
        <w:t xml:space="preserve"> years; and</w:t>
      </w:r>
    </w:p>
    <w:p w:rsidR="006E5ABA" w:rsidRDefault="00D46A34" w:rsidP="006C19A4">
      <w:pPr>
        <w:pStyle w:val="Bullet-list"/>
        <w:numPr>
          <w:ilvl w:val="0"/>
          <w:numId w:val="5"/>
        </w:numPr>
        <w:spacing w:after="0" w:line="240" w:lineRule="auto"/>
        <w:jc w:val="both"/>
        <w:rPr>
          <w:rFonts w:ascii="Times New Roman" w:hAnsi="Times New Roman"/>
          <w:sz w:val="24"/>
          <w:szCs w:val="24"/>
          <w:lang w:val="en-NZ"/>
        </w:rPr>
      </w:pPr>
      <w:r>
        <w:rPr>
          <w:rFonts w:ascii="Times New Roman" w:hAnsi="Times New Roman"/>
          <w:sz w:val="24"/>
          <w:szCs w:val="24"/>
          <w:lang w:val="en-NZ"/>
        </w:rPr>
        <w:t>Option 4</w:t>
      </w:r>
      <w:r w:rsidR="00F777E4">
        <w:rPr>
          <w:rFonts w:ascii="Times New Roman" w:hAnsi="Times New Roman"/>
          <w:sz w:val="24"/>
          <w:szCs w:val="24"/>
          <w:lang w:val="en-NZ"/>
        </w:rPr>
        <w:t>: Introduce a</w:t>
      </w:r>
      <w:r w:rsidR="006E5ABA" w:rsidRPr="006E5ABA">
        <w:rPr>
          <w:rFonts w:ascii="Times New Roman" w:hAnsi="Times New Roman"/>
          <w:sz w:val="24"/>
          <w:szCs w:val="24"/>
          <w:lang w:val="en-NZ"/>
        </w:rPr>
        <w:t xml:space="preserve"> withholding tax</w:t>
      </w:r>
      <w:r w:rsidR="001C30F1">
        <w:rPr>
          <w:rFonts w:ascii="Times New Roman" w:hAnsi="Times New Roman"/>
          <w:sz w:val="24"/>
          <w:szCs w:val="24"/>
          <w:lang w:val="en-NZ"/>
        </w:rPr>
        <w:t xml:space="preserve"> </w:t>
      </w:r>
      <w:r w:rsidR="006E5ABA">
        <w:rPr>
          <w:rFonts w:ascii="Times New Roman" w:hAnsi="Times New Roman"/>
          <w:sz w:val="24"/>
          <w:szCs w:val="24"/>
          <w:lang w:val="en-NZ"/>
        </w:rPr>
        <w:t>on sales of residential property</w:t>
      </w:r>
      <w:r w:rsidR="00AF6AA2">
        <w:rPr>
          <w:rFonts w:ascii="Times New Roman" w:hAnsi="Times New Roman"/>
          <w:sz w:val="24"/>
          <w:szCs w:val="24"/>
          <w:lang w:val="en-NZ"/>
        </w:rPr>
        <w:t xml:space="preserve"> made within the two-year bright-line period</w:t>
      </w:r>
      <w:r w:rsidR="005965C4">
        <w:rPr>
          <w:rFonts w:ascii="Times New Roman" w:hAnsi="Times New Roman"/>
          <w:sz w:val="24"/>
          <w:szCs w:val="24"/>
          <w:lang w:val="en-NZ"/>
        </w:rPr>
        <w:t xml:space="preserve"> that:</w:t>
      </w:r>
    </w:p>
    <w:p w:rsidR="00AF6AA2" w:rsidRDefault="005965C4" w:rsidP="006C19A4">
      <w:pPr>
        <w:pStyle w:val="Bullet-list"/>
        <w:numPr>
          <w:ilvl w:val="0"/>
          <w:numId w:val="11"/>
        </w:numPr>
        <w:spacing w:after="0" w:line="240" w:lineRule="auto"/>
        <w:jc w:val="both"/>
        <w:rPr>
          <w:rFonts w:ascii="Times New Roman" w:hAnsi="Times New Roman"/>
          <w:sz w:val="24"/>
          <w:szCs w:val="24"/>
          <w:lang w:val="en-NZ"/>
        </w:rPr>
      </w:pPr>
      <w:r>
        <w:rPr>
          <w:rFonts w:ascii="Times New Roman" w:hAnsi="Times New Roman"/>
          <w:sz w:val="24"/>
          <w:szCs w:val="24"/>
          <w:lang w:val="en-NZ"/>
        </w:rPr>
        <w:t>is r</w:t>
      </w:r>
      <w:r w:rsidR="00AF6AA2">
        <w:rPr>
          <w:rFonts w:ascii="Times New Roman" w:hAnsi="Times New Roman"/>
          <w:sz w:val="24"/>
          <w:szCs w:val="24"/>
          <w:lang w:val="en-NZ"/>
        </w:rPr>
        <w:t>estricted to instances where the seller is an offshore person</w:t>
      </w:r>
      <w:r w:rsidR="00EA5B35">
        <w:rPr>
          <w:rFonts w:ascii="Times New Roman" w:hAnsi="Times New Roman"/>
          <w:sz w:val="24"/>
          <w:szCs w:val="24"/>
          <w:lang w:val="en-NZ"/>
        </w:rPr>
        <w:t>;</w:t>
      </w:r>
    </w:p>
    <w:p w:rsidR="00AF6AA2" w:rsidRDefault="005965C4" w:rsidP="006C19A4">
      <w:pPr>
        <w:pStyle w:val="Bullet-list"/>
        <w:numPr>
          <w:ilvl w:val="0"/>
          <w:numId w:val="11"/>
        </w:numPr>
        <w:spacing w:after="0" w:line="240" w:lineRule="auto"/>
        <w:jc w:val="both"/>
        <w:rPr>
          <w:rFonts w:ascii="Times New Roman" w:hAnsi="Times New Roman"/>
          <w:sz w:val="24"/>
          <w:szCs w:val="24"/>
          <w:lang w:val="en-NZ"/>
        </w:rPr>
      </w:pPr>
      <w:proofErr w:type="gramStart"/>
      <w:r>
        <w:rPr>
          <w:rFonts w:ascii="Times New Roman" w:hAnsi="Times New Roman"/>
          <w:sz w:val="24"/>
          <w:szCs w:val="24"/>
          <w:lang w:val="en-NZ"/>
        </w:rPr>
        <w:t>applies</w:t>
      </w:r>
      <w:proofErr w:type="gramEnd"/>
      <w:r>
        <w:rPr>
          <w:rFonts w:ascii="Times New Roman" w:hAnsi="Times New Roman"/>
          <w:sz w:val="24"/>
          <w:szCs w:val="24"/>
          <w:lang w:val="en-NZ"/>
        </w:rPr>
        <w:t xml:space="preserve"> </w:t>
      </w:r>
      <w:r w:rsidR="00AF6AA2">
        <w:rPr>
          <w:rFonts w:ascii="Times New Roman" w:hAnsi="Times New Roman"/>
          <w:sz w:val="24"/>
          <w:szCs w:val="24"/>
          <w:lang w:val="en-NZ"/>
        </w:rPr>
        <w:t>to all sellers</w:t>
      </w:r>
      <w:r w:rsidR="00A17635">
        <w:rPr>
          <w:rFonts w:ascii="Times New Roman" w:hAnsi="Times New Roman"/>
          <w:sz w:val="24"/>
          <w:szCs w:val="24"/>
          <w:lang w:val="en-NZ"/>
        </w:rPr>
        <w:t>.</w:t>
      </w:r>
    </w:p>
    <w:p w:rsidR="003D06B5" w:rsidRDefault="003D06B5" w:rsidP="006C19A4">
      <w:pPr>
        <w:pStyle w:val="Bullet-list"/>
        <w:spacing w:after="0" w:line="240" w:lineRule="auto"/>
        <w:jc w:val="both"/>
        <w:rPr>
          <w:rFonts w:ascii="Times New Roman" w:hAnsi="Times New Roman"/>
          <w:sz w:val="24"/>
          <w:szCs w:val="24"/>
          <w:lang w:val="en-NZ"/>
        </w:rPr>
      </w:pPr>
    </w:p>
    <w:p w:rsidR="00A17635" w:rsidRDefault="003D06B5"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 xml:space="preserve">Options 1–3 are non-regulatory responses, while option 4 is a regulatory response that would require </w:t>
      </w:r>
      <w:r w:rsidR="002E67EB">
        <w:rPr>
          <w:rFonts w:ascii="Times New Roman" w:hAnsi="Times New Roman"/>
          <w:sz w:val="24"/>
          <w:szCs w:val="24"/>
          <w:lang w:val="en-NZ"/>
        </w:rPr>
        <w:t xml:space="preserve">both </w:t>
      </w:r>
      <w:r>
        <w:rPr>
          <w:rFonts w:ascii="Times New Roman" w:hAnsi="Times New Roman"/>
          <w:sz w:val="24"/>
          <w:szCs w:val="24"/>
          <w:lang w:val="en-NZ"/>
        </w:rPr>
        <w:t>administrative and legislative changes.</w:t>
      </w:r>
    </w:p>
    <w:p w:rsidR="00A17635" w:rsidRDefault="00A17635" w:rsidP="006C19A4">
      <w:pPr>
        <w:pStyle w:val="Bullet-list"/>
        <w:spacing w:after="0" w:line="240" w:lineRule="auto"/>
        <w:ind w:left="0" w:firstLine="0"/>
        <w:jc w:val="both"/>
        <w:rPr>
          <w:rFonts w:ascii="Times New Roman" w:hAnsi="Times New Roman"/>
          <w:sz w:val="24"/>
          <w:szCs w:val="24"/>
          <w:lang w:val="en-NZ"/>
        </w:rPr>
      </w:pPr>
    </w:p>
    <w:p w:rsidR="009E4EF0" w:rsidRPr="00166E66" w:rsidRDefault="00AF6AA2"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lang w:val="en-NZ"/>
        </w:rPr>
      </w:pPr>
      <w:r w:rsidRPr="00E25CD4">
        <w:rPr>
          <w:rFonts w:ascii="Times New Roman" w:hAnsi="Times New Roman"/>
          <w:sz w:val="24"/>
          <w:szCs w:val="24"/>
          <w:lang w:val="en-NZ"/>
        </w:rPr>
        <w:t>Option 4 is divided into two possible approaches</w:t>
      </w:r>
      <w:r w:rsidR="00EA5B35">
        <w:rPr>
          <w:rFonts w:ascii="Times New Roman" w:hAnsi="Times New Roman"/>
          <w:sz w:val="24"/>
          <w:szCs w:val="24"/>
          <w:lang w:val="en-NZ"/>
        </w:rPr>
        <w:t>,</w:t>
      </w:r>
      <w:r w:rsidRPr="00E25CD4">
        <w:rPr>
          <w:rFonts w:ascii="Times New Roman" w:hAnsi="Times New Roman"/>
          <w:sz w:val="24"/>
          <w:szCs w:val="24"/>
          <w:lang w:val="en-NZ"/>
        </w:rPr>
        <w:t xml:space="preserve"> with option 4(a) applying in instances where the seller of residential </w:t>
      </w:r>
      <w:r w:rsidRPr="00166E66">
        <w:rPr>
          <w:rFonts w:ascii="Times New Roman" w:hAnsi="Times New Roman"/>
          <w:sz w:val="24"/>
          <w:szCs w:val="24"/>
          <w:lang w:val="en-NZ"/>
        </w:rPr>
        <w:t>property is an “offshore person”</w:t>
      </w:r>
      <w:r w:rsidR="00EA5B35">
        <w:rPr>
          <w:rFonts w:ascii="Times New Roman" w:hAnsi="Times New Roman"/>
          <w:sz w:val="24"/>
          <w:szCs w:val="24"/>
          <w:lang w:val="en-NZ"/>
        </w:rPr>
        <w:t>,</w:t>
      </w:r>
      <w:r w:rsidRPr="00166E66">
        <w:rPr>
          <w:rFonts w:ascii="Times New Roman" w:hAnsi="Times New Roman"/>
          <w:sz w:val="24"/>
          <w:szCs w:val="24"/>
          <w:lang w:val="en-NZ"/>
        </w:rPr>
        <w:t xml:space="preserve"> and option 4(b) applying to all sellers regardless of their onshore/offshore status</w:t>
      </w:r>
      <w:r w:rsidR="005965C4">
        <w:rPr>
          <w:rFonts w:ascii="Times New Roman" w:hAnsi="Times New Roman"/>
          <w:sz w:val="24"/>
          <w:szCs w:val="24"/>
          <w:lang w:val="en-NZ"/>
        </w:rPr>
        <w:t xml:space="preserve">.  </w:t>
      </w:r>
      <w:r w:rsidR="00A17635" w:rsidRPr="00166E66">
        <w:rPr>
          <w:rFonts w:ascii="Times New Roman" w:hAnsi="Times New Roman"/>
          <w:sz w:val="24"/>
          <w:szCs w:val="24"/>
          <w:lang w:val="en-NZ"/>
        </w:rPr>
        <w:t>We</w:t>
      </w:r>
      <w:r w:rsidR="009E4EF0" w:rsidRPr="00166E66">
        <w:rPr>
          <w:rFonts w:ascii="Times New Roman" w:hAnsi="Times New Roman"/>
          <w:sz w:val="24"/>
          <w:szCs w:val="24"/>
          <w:lang w:val="en-NZ"/>
        </w:rPr>
        <w:t xml:space="preserve"> consider that these two differences in scope to be significant enough to warrant undertaking a full impact analysis for each approach</w:t>
      </w:r>
      <w:r w:rsidR="005965C4">
        <w:rPr>
          <w:rFonts w:ascii="Times New Roman" w:hAnsi="Times New Roman"/>
          <w:sz w:val="24"/>
          <w:szCs w:val="24"/>
          <w:lang w:val="en-NZ"/>
        </w:rPr>
        <w:t xml:space="preserve">.  </w:t>
      </w:r>
      <w:r w:rsidR="009E4EF0" w:rsidRPr="00166E66">
        <w:rPr>
          <w:rFonts w:ascii="Times New Roman" w:hAnsi="Times New Roman"/>
          <w:sz w:val="24"/>
          <w:szCs w:val="24"/>
          <w:lang w:val="en-NZ"/>
        </w:rPr>
        <w:t>The overall effectiveness of both options 4(a) and 4(b) are dependent on a number of key design features</w:t>
      </w:r>
      <w:r w:rsidR="005965C4">
        <w:rPr>
          <w:rFonts w:ascii="Times New Roman" w:hAnsi="Times New Roman"/>
          <w:sz w:val="24"/>
          <w:szCs w:val="24"/>
          <w:lang w:val="en-NZ"/>
        </w:rPr>
        <w:t xml:space="preserve">.  </w:t>
      </w:r>
      <w:r w:rsidR="009E4EF0" w:rsidRPr="00166E66">
        <w:rPr>
          <w:rFonts w:ascii="Times New Roman" w:hAnsi="Times New Roman"/>
          <w:sz w:val="24"/>
          <w:szCs w:val="24"/>
          <w:lang w:val="en-NZ"/>
        </w:rPr>
        <w:t xml:space="preserve">These features are discussed in further detail in the section titled </w:t>
      </w:r>
      <w:proofErr w:type="gramStart"/>
      <w:r w:rsidR="009E4EF0" w:rsidRPr="00166E66">
        <w:rPr>
          <w:rFonts w:ascii="Times New Roman" w:hAnsi="Times New Roman"/>
          <w:i/>
          <w:sz w:val="24"/>
          <w:szCs w:val="24"/>
          <w:lang w:val="en-NZ"/>
        </w:rPr>
        <w:t>Further</w:t>
      </w:r>
      <w:proofErr w:type="gramEnd"/>
      <w:r w:rsidR="009E4EF0" w:rsidRPr="00166E66">
        <w:rPr>
          <w:rFonts w:ascii="Times New Roman" w:hAnsi="Times New Roman"/>
          <w:i/>
          <w:sz w:val="24"/>
          <w:szCs w:val="24"/>
          <w:lang w:val="en-NZ"/>
        </w:rPr>
        <w:t xml:space="preserve"> analysis of option 4 – detailed design issues</w:t>
      </w:r>
      <w:r w:rsidR="005965C4">
        <w:rPr>
          <w:rFonts w:ascii="Times New Roman" w:hAnsi="Times New Roman"/>
          <w:i/>
          <w:sz w:val="24"/>
          <w:szCs w:val="24"/>
          <w:lang w:val="en-NZ"/>
        </w:rPr>
        <w:t xml:space="preserve">.  </w:t>
      </w:r>
      <w:r w:rsidR="009E4EF0" w:rsidRPr="00166E66">
        <w:rPr>
          <w:rFonts w:ascii="Times New Roman" w:hAnsi="Times New Roman"/>
          <w:sz w:val="24"/>
          <w:szCs w:val="24"/>
          <w:lang w:val="en-NZ"/>
        </w:rPr>
        <w:t>Our recommendations regarding the</w:t>
      </w:r>
      <w:r w:rsidR="00166E66" w:rsidRPr="00166E66">
        <w:rPr>
          <w:rFonts w:ascii="Times New Roman" w:hAnsi="Times New Roman"/>
          <w:sz w:val="24"/>
          <w:szCs w:val="24"/>
          <w:lang w:val="en-NZ"/>
        </w:rPr>
        <w:t>se design issues have informed our impact analysis on option 4.</w:t>
      </w:r>
    </w:p>
    <w:p w:rsidR="006E5ABA" w:rsidRDefault="006E5ABA" w:rsidP="006C19A4">
      <w:pPr>
        <w:pStyle w:val="Bullet-list"/>
        <w:spacing w:after="0" w:line="240" w:lineRule="auto"/>
        <w:ind w:left="0" w:firstLine="0"/>
        <w:jc w:val="both"/>
        <w:rPr>
          <w:rFonts w:ascii="Times New Roman" w:hAnsi="Times New Roman"/>
          <w:sz w:val="24"/>
          <w:szCs w:val="24"/>
        </w:rPr>
      </w:pPr>
    </w:p>
    <w:p w:rsidR="001501E3" w:rsidRDefault="00EB3AB2" w:rsidP="006C19A4">
      <w:pPr>
        <w:pStyle w:val="Bullet-list"/>
        <w:spacing w:after="0" w:line="240" w:lineRule="auto"/>
        <w:ind w:left="0" w:firstLine="0"/>
        <w:jc w:val="both"/>
        <w:rPr>
          <w:rFonts w:ascii="Times New Roman" w:hAnsi="Times New Roman"/>
          <w:b/>
          <w:sz w:val="24"/>
          <w:szCs w:val="24"/>
        </w:rPr>
      </w:pPr>
      <w:r w:rsidRPr="00EB3AB2">
        <w:rPr>
          <w:rFonts w:ascii="Times New Roman" w:hAnsi="Times New Roman"/>
          <w:b/>
          <w:sz w:val="24"/>
          <w:szCs w:val="24"/>
        </w:rPr>
        <w:t xml:space="preserve">Option 1: </w:t>
      </w:r>
      <w:r w:rsidR="00F777E4">
        <w:rPr>
          <w:rFonts w:ascii="Times New Roman" w:hAnsi="Times New Roman"/>
          <w:b/>
          <w:sz w:val="24"/>
          <w:szCs w:val="24"/>
        </w:rPr>
        <w:t>Rely on existing compliance measures (the status quo)</w:t>
      </w:r>
    </w:p>
    <w:p w:rsidR="009B346F" w:rsidRDefault="009B346F" w:rsidP="006C19A4">
      <w:pPr>
        <w:pStyle w:val="Bullet-list"/>
        <w:spacing w:after="0" w:line="240" w:lineRule="auto"/>
        <w:ind w:left="0" w:firstLine="0"/>
        <w:jc w:val="both"/>
        <w:rPr>
          <w:rFonts w:ascii="Times New Roman" w:hAnsi="Times New Roman"/>
          <w:sz w:val="24"/>
          <w:szCs w:val="24"/>
          <w:lang w:val="en-NZ"/>
        </w:rPr>
      </w:pPr>
    </w:p>
    <w:p w:rsidR="00F271F8" w:rsidRPr="00F271F8" w:rsidRDefault="009B346F"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sidRPr="00F271F8">
        <w:rPr>
          <w:rFonts w:ascii="Times New Roman" w:hAnsi="Times New Roman"/>
          <w:sz w:val="24"/>
          <w:szCs w:val="24"/>
          <w:lang w:val="en-NZ"/>
        </w:rPr>
        <w:t xml:space="preserve">This option would require no legislative amendment and </w:t>
      </w:r>
      <w:r w:rsidR="00C633FF" w:rsidRPr="00F271F8">
        <w:rPr>
          <w:rFonts w:ascii="Times New Roman" w:hAnsi="Times New Roman"/>
          <w:sz w:val="24"/>
          <w:szCs w:val="24"/>
          <w:lang w:val="en-NZ"/>
        </w:rPr>
        <w:t>would instead rely on the Commissioner’s existing tools for collection and enforcement, which we have outlined above</w:t>
      </w:r>
      <w:r w:rsidR="00B06228" w:rsidRPr="00F271F8">
        <w:rPr>
          <w:rFonts w:ascii="Times New Roman" w:hAnsi="Times New Roman"/>
          <w:sz w:val="24"/>
          <w:szCs w:val="24"/>
          <w:lang w:val="en-NZ"/>
        </w:rPr>
        <w:t xml:space="preserve"> and</w:t>
      </w:r>
      <w:r w:rsidR="002E6730" w:rsidRPr="00F271F8">
        <w:rPr>
          <w:rFonts w:ascii="Times New Roman" w:hAnsi="Times New Roman"/>
          <w:sz w:val="24"/>
          <w:szCs w:val="24"/>
          <w:lang w:val="en-NZ"/>
        </w:rPr>
        <w:t xml:space="preserve"> have</w:t>
      </w:r>
      <w:r w:rsidR="00B06228" w:rsidRPr="00F271F8">
        <w:rPr>
          <w:rFonts w:ascii="Times New Roman" w:hAnsi="Times New Roman"/>
          <w:sz w:val="24"/>
          <w:szCs w:val="24"/>
          <w:lang w:val="en-NZ"/>
        </w:rPr>
        <w:t xml:space="preserve"> also summarised below</w:t>
      </w:r>
      <w:r w:rsidR="005965C4">
        <w:rPr>
          <w:rFonts w:ascii="Times New Roman" w:hAnsi="Times New Roman"/>
          <w:sz w:val="24"/>
          <w:szCs w:val="24"/>
          <w:lang w:val="en-NZ"/>
        </w:rPr>
        <w:t xml:space="preserve">.  </w:t>
      </w:r>
      <w:r w:rsidR="00F271F8" w:rsidRPr="00F271F8">
        <w:rPr>
          <w:rFonts w:ascii="Times New Roman" w:hAnsi="Times New Roman"/>
          <w:sz w:val="24"/>
          <w:szCs w:val="24"/>
          <w:lang w:val="en-NZ"/>
        </w:rPr>
        <w:t xml:space="preserve">It would also rely on the standard “business-as-usual” response to new legislation outlined in the regulatory impact statement </w:t>
      </w:r>
      <w:r w:rsidR="00F271F8" w:rsidRPr="00F271F8">
        <w:rPr>
          <w:rFonts w:ascii="Times New Roman" w:hAnsi="Times New Roman"/>
          <w:i/>
          <w:sz w:val="24"/>
          <w:szCs w:val="24"/>
          <w:lang w:val="en-NZ"/>
        </w:rPr>
        <w:t>Bright-line test for sales of residential property</w:t>
      </w:r>
      <w:r w:rsidR="00F271F8" w:rsidRPr="00F271F8">
        <w:rPr>
          <w:rFonts w:ascii="Times New Roman" w:hAnsi="Times New Roman"/>
          <w:sz w:val="24"/>
          <w:szCs w:val="24"/>
          <w:lang w:val="en-NZ"/>
        </w:rPr>
        <w:t xml:space="preserve"> </w:t>
      </w:r>
      <w:r w:rsidR="009767BD">
        <w:rPr>
          <w:rFonts w:ascii="Times New Roman" w:hAnsi="Times New Roman"/>
          <w:sz w:val="24"/>
          <w:szCs w:val="24"/>
        </w:rPr>
        <w:t>–</w:t>
      </w:r>
      <w:r w:rsidR="00F271F8" w:rsidRPr="00F271F8">
        <w:rPr>
          <w:rFonts w:ascii="Times New Roman" w:hAnsi="Times New Roman"/>
          <w:sz w:val="24"/>
          <w:szCs w:val="24"/>
          <w:lang w:val="en-NZ"/>
        </w:rPr>
        <w:t xml:space="preserve"> this will include updating forms and communication material</w:t>
      </w:r>
      <w:r w:rsidR="005965C4">
        <w:rPr>
          <w:rFonts w:ascii="Times New Roman" w:hAnsi="Times New Roman"/>
          <w:sz w:val="24"/>
          <w:szCs w:val="24"/>
          <w:lang w:val="en-NZ"/>
        </w:rPr>
        <w:t xml:space="preserve">.  </w:t>
      </w:r>
      <w:r w:rsidR="00F271F8" w:rsidRPr="00F271F8">
        <w:rPr>
          <w:rFonts w:ascii="Times New Roman" w:hAnsi="Times New Roman"/>
          <w:sz w:val="24"/>
          <w:szCs w:val="24"/>
          <w:lang w:val="en-NZ"/>
        </w:rPr>
        <w:t>To assist in the implementation of the bright-line test, Inland Revenue is also developing a new attachment to income tax retu</w:t>
      </w:r>
      <w:r w:rsidR="00F271F8">
        <w:rPr>
          <w:rFonts w:ascii="Times New Roman" w:hAnsi="Times New Roman"/>
          <w:sz w:val="24"/>
          <w:szCs w:val="24"/>
          <w:lang w:val="en-NZ"/>
        </w:rPr>
        <w:t>rns.</w:t>
      </w:r>
    </w:p>
    <w:p w:rsidR="00F271F8" w:rsidRPr="00F271F8" w:rsidRDefault="00F271F8" w:rsidP="006C19A4">
      <w:pPr>
        <w:pStyle w:val="Bullet-list"/>
        <w:spacing w:after="0" w:line="240" w:lineRule="auto"/>
        <w:ind w:left="0" w:firstLine="0"/>
        <w:jc w:val="both"/>
        <w:rPr>
          <w:rFonts w:ascii="Times New Roman" w:hAnsi="Times New Roman"/>
          <w:sz w:val="24"/>
          <w:szCs w:val="24"/>
        </w:rPr>
      </w:pPr>
    </w:p>
    <w:p w:rsidR="003518FF" w:rsidRDefault="00C633FF"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 xml:space="preserve">As discussed in the regulatory impact statement </w:t>
      </w:r>
      <w:r>
        <w:rPr>
          <w:rFonts w:ascii="Times New Roman" w:hAnsi="Times New Roman"/>
          <w:i/>
          <w:sz w:val="24"/>
          <w:szCs w:val="24"/>
          <w:lang w:val="en-NZ"/>
        </w:rPr>
        <w:t>Bright-line test for sales of residential property</w:t>
      </w:r>
      <w:r>
        <w:rPr>
          <w:rFonts w:ascii="Times New Roman" w:hAnsi="Times New Roman"/>
          <w:sz w:val="24"/>
          <w:szCs w:val="24"/>
          <w:lang w:val="en-NZ"/>
        </w:rPr>
        <w:t xml:space="preserve">, one of the concerns with the “intention test” in the current land sale rules is that it is difficult for the Commissioner to enforce due to </w:t>
      </w:r>
      <w:r w:rsidR="00A82D89">
        <w:rPr>
          <w:rFonts w:ascii="Times New Roman" w:hAnsi="Times New Roman"/>
          <w:sz w:val="24"/>
          <w:szCs w:val="24"/>
          <w:lang w:val="en-NZ"/>
        </w:rPr>
        <w:t>difficulties in establishing intent</w:t>
      </w:r>
      <w:r w:rsidR="006F7CE0">
        <w:rPr>
          <w:rFonts w:ascii="Times New Roman" w:hAnsi="Times New Roman"/>
          <w:sz w:val="24"/>
          <w:szCs w:val="24"/>
          <w:lang w:val="en-NZ"/>
        </w:rPr>
        <w:t xml:space="preserve"> and the high volume and churn of residential property sales</w:t>
      </w:r>
      <w:r w:rsidR="005965C4">
        <w:rPr>
          <w:rFonts w:ascii="Times New Roman" w:hAnsi="Times New Roman"/>
          <w:sz w:val="24"/>
          <w:szCs w:val="24"/>
          <w:lang w:val="en-NZ"/>
        </w:rPr>
        <w:t xml:space="preserve">.  </w:t>
      </w:r>
      <w:r w:rsidR="006F7CE0">
        <w:rPr>
          <w:rFonts w:ascii="Times New Roman" w:hAnsi="Times New Roman"/>
          <w:sz w:val="24"/>
          <w:szCs w:val="24"/>
          <w:lang w:val="en-NZ"/>
        </w:rPr>
        <w:t>The proposed bright-line test is designed to be an</w:t>
      </w:r>
      <w:r w:rsidR="003518FF">
        <w:rPr>
          <w:rFonts w:ascii="Times New Roman" w:hAnsi="Times New Roman"/>
          <w:sz w:val="24"/>
          <w:szCs w:val="24"/>
          <w:lang w:val="en-NZ"/>
        </w:rPr>
        <w:t xml:space="preserve"> unambiguous and objective test</w:t>
      </w:r>
      <w:r w:rsidR="005965C4">
        <w:rPr>
          <w:rFonts w:ascii="Times New Roman" w:hAnsi="Times New Roman"/>
          <w:sz w:val="24"/>
          <w:szCs w:val="24"/>
          <w:lang w:val="en-NZ"/>
        </w:rPr>
        <w:t xml:space="preserve">.  </w:t>
      </w:r>
      <w:r w:rsidR="006F7CE0">
        <w:rPr>
          <w:rFonts w:ascii="Times New Roman" w:hAnsi="Times New Roman"/>
          <w:sz w:val="24"/>
          <w:szCs w:val="24"/>
          <w:lang w:val="en-NZ"/>
        </w:rPr>
        <w:t>This in itself would improve compliance with</w:t>
      </w:r>
      <w:r w:rsidR="00A82D89">
        <w:rPr>
          <w:rFonts w:ascii="Times New Roman" w:hAnsi="Times New Roman"/>
          <w:sz w:val="24"/>
          <w:szCs w:val="24"/>
          <w:lang w:val="en-NZ"/>
        </w:rPr>
        <w:t>,</w:t>
      </w:r>
      <w:r w:rsidR="003518FF">
        <w:rPr>
          <w:rFonts w:ascii="Times New Roman" w:hAnsi="Times New Roman"/>
          <w:sz w:val="24"/>
          <w:szCs w:val="24"/>
          <w:lang w:val="en-NZ"/>
        </w:rPr>
        <w:t xml:space="preserve"> and the enforceability of</w:t>
      </w:r>
      <w:r w:rsidR="00A82D89">
        <w:rPr>
          <w:rFonts w:ascii="Times New Roman" w:hAnsi="Times New Roman"/>
          <w:sz w:val="24"/>
          <w:szCs w:val="24"/>
          <w:lang w:val="en-NZ"/>
        </w:rPr>
        <w:t>,</w:t>
      </w:r>
      <w:r w:rsidR="006F7CE0">
        <w:rPr>
          <w:rFonts w:ascii="Times New Roman" w:hAnsi="Times New Roman"/>
          <w:sz w:val="24"/>
          <w:szCs w:val="24"/>
          <w:lang w:val="en-NZ"/>
        </w:rPr>
        <w:t xml:space="preserve"> the land sale rules in the Income Tax Act 2007.</w:t>
      </w:r>
    </w:p>
    <w:p w:rsidR="005E0687" w:rsidRDefault="005E0687" w:rsidP="006C19A4">
      <w:pPr>
        <w:pStyle w:val="Bullet-list"/>
        <w:spacing w:after="0" w:line="240" w:lineRule="auto"/>
        <w:ind w:left="0" w:firstLine="0"/>
        <w:jc w:val="both"/>
        <w:rPr>
          <w:rFonts w:ascii="Times New Roman" w:hAnsi="Times New Roman"/>
          <w:sz w:val="24"/>
          <w:szCs w:val="24"/>
          <w:lang w:val="en-NZ"/>
        </w:rPr>
      </w:pPr>
    </w:p>
    <w:p w:rsidR="009B346F" w:rsidRPr="006C19A4" w:rsidRDefault="005E0687"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lang w:val="en-NZ"/>
        </w:rPr>
      </w:pPr>
      <w:r>
        <w:rPr>
          <w:rFonts w:ascii="Times New Roman" w:hAnsi="Times New Roman"/>
          <w:sz w:val="24"/>
          <w:szCs w:val="24"/>
        </w:rPr>
        <w:t xml:space="preserve">The status quo would be </w:t>
      </w:r>
      <w:r w:rsidR="00F607D9">
        <w:rPr>
          <w:rFonts w:ascii="Times New Roman" w:hAnsi="Times New Roman"/>
          <w:sz w:val="24"/>
          <w:szCs w:val="24"/>
        </w:rPr>
        <w:t xml:space="preserve">problematic </w:t>
      </w:r>
      <w:r>
        <w:rPr>
          <w:rFonts w:ascii="Times New Roman" w:hAnsi="Times New Roman"/>
          <w:sz w:val="24"/>
          <w:szCs w:val="24"/>
        </w:rPr>
        <w:t>from an enforcement perspective</w:t>
      </w:r>
      <w:r w:rsidR="005965C4">
        <w:rPr>
          <w:rFonts w:ascii="Times New Roman" w:hAnsi="Times New Roman"/>
          <w:sz w:val="24"/>
          <w:szCs w:val="24"/>
        </w:rPr>
        <w:t xml:space="preserve">. </w:t>
      </w:r>
      <w:r w:rsidR="009767BD">
        <w:rPr>
          <w:rFonts w:ascii="Times New Roman" w:hAnsi="Times New Roman"/>
          <w:sz w:val="24"/>
          <w:szCs w:val="24"/>
        </w:rPr>
        <w:t xml:space="preserve"> </w:t>
      </w:r>
      <w:r w:rsidR="00DE23EA">
        <w:rPr>
          <w:rFonts w:ascii="Times New Roman" w:hAnsi="Times New Roman"/>
          <w:sz w:val="24"/>
          <w:szCs w:val="24"/>
          <w:lang w:val="en-NZ"/>
        </w:rPr>
        <w:t>The Commissioner has a number of tools available to assist in the collection of taxes, for example, late filing</w:t>
      </w:r>
      <w:r w:rsidR="00EA5B35">
        <w:rPr>
          <w:rFonts w:ascii="Times New Roman" w:hAnsi="Times New Roman"/>
          <w:sz w:val="24"/>
          <w:szCs w:val="24"/>
          <w:lang w:val="en-NZ"/>
        </w:rPr>
        <w:t>,</w:t>
      </w:r>
      <w:r w:rsidR="00DE23EA">
        <w:rPr>
          <w:rFonts w:ascii="Times New Roman" w:hAnsi="Times New Roman"/>
          <w:sz w:val="24"/>
          <w:szCs w:val="24"/>
          <w:lang w:val="en-NZ"/>
        </w:rPr>
        <w:t xml:space="preserve"> </w:t>
      </w:r>
      <w:proofErr w:type="gramStart"/>
      <w:r w:rsidR="00DE23EA">
        <w:rPr>
          <w:rFonts w:ascii="Times New Roman" w:hAnsi="Times New Roman"/>
          <w:sz w:val="24"/>
          <w:szCs w:val="24"/>
          <w:lang w:val="en-NZ"/>
        </w:rPr>
        <w:t>late</w:t>
      </w:r>
      <w:proofErr w:type="gramEnd"/>
      <w:r w:rsidR="00DE23EA">
        <w:rPr>
          <w:rFonts w:ascii="Times New Roman" w:hAnsi="Times New Roman"/>
          <w:sz w:val="24"/>
          <w:szCs w:val="24"/>
          <w:lang w:val="en-NZ"/>
        </w:rPr>
        <w:t xml:space="preserve"> payment</w:t>
      </w:r>
      <w:r w:rsidR="00EA5B35">
        <w:rPr>
          <w:rFonts w:ascii="Times New Roman" w:hAnsi="Times New Roman"/>
          <w:sz w:val="24"/>
          <w:szCs w:val="24"/>
          <w:lang w:val="en-NZ"/>
        </w:rPr>
        <w:t xml:space="preserve"> and shortfall</w:t>
      </w:r>
      <w:r w:rsidR="00DE23EA">
        <w:rPr>
          <w:rFonts w:ascii="Times New Roman" w:hAnsi="Times New Roman"/>
          <w:sz w:val="24"/>
          <w:szCs w:val="24"/>
          <w:lang w:val="en-NZ"/>
        </w:rPr>
        <w:t xml:space="preserve"> penalties</w:t>
      </w:r>
      <w:r w:rsidR="005965C4">
        <w:rPr>
          <w:rFonts w:ascii="Times New Roman" w:hAnsi="Times New Roman"/>
          <w:sz w:val="24"/>
          <w:szCs w:val="24"/>
          <w:lang w:val="en-NZ"/>
        </w:rPr>
        <w:t xml:space="preserve">.  </w:t>
      </w:r>
      <w:r w:rsidR="00DE23EA" w:rsidRPr="00DE23EA">
        <w:rPr>
          <w:rFonts w:ascii="Times New Roman" w:hAnsi="Times New Roman"/>
          <w:sz w:val="24"/>
          <w:szCs w:val="24"/>
        </w:rPr>
        <w:t>In addition, the Commissioner has powers available to recover amounts of unpaid tax</w:t>
      </w:r>
      <w:r w:rsidR="005965C4">
        <w:rPr>
          <w:rFonts w:ascii="Times New Roman" w:hAnsi="Times New Roman"/>
          <w:sz w:val="24"/>
          <w:szCs w:val="24"/>
        </w:rPr>
        <w:t xml:space="preserve">.  </w:t>
      </w:r>
      <w:r w:rsidR="00DE23EA" w:rsidRPr="00DE23EA">
        <w:rPr>
          <w:rFonts w:ascii="Times New Roman" w:hAnsi="Times New Roman"/>
          <w:sz w:val="24"/>
          <w:szCs w:val="24"/>
        </w:rPr>
        <w:t>These powers include requiring deductions from payments made to the defaulter by any other person, and court action</w:t>
      </w:r>
      <w:r w:rsidR="005965C4">
        <w:rPr>
          <w:rFonts w:ascii="Times New Roman" w:hAnsi="Times New Roman"/>
          <w:sz w:val="24"/>
          <w:szCs w:val="24"/>
        </w:rPr>
        <w:t xml:space="preserve">.  </w:t>
      </w:r>
      <w:r w:rsidR="00DE23EA">
        <w:rPr>
          <w:rFonts w:ascii="Times New Roman" w:hAnsi="Times New Roman"/>
          <w:sz w:val="24"/>
          <w:szCs w:val="24"/>
        </w:rPr>
        <w:t xml:space="preserve">However, where the taxpayer </w:t>
      </w:r>
      <w:r w:rsidR="00DE23EA" w:rsidRPr="003F5193">
        <w:rPr>
          <w:rFonts w:ascii="Times New Roman" w:hAnsi="Times New Roman"/>
          <w:sz w:val="24"/>
          <w:szCs w:val="24"/>
        </w:rPr>
        <w:t>has no presence or other assets in New Zealand, these tools and powers are not always administratively practical or effective.</w:t>
      </w:r>
    </w:p>
    <w:p w:rsidR="0077032B" w:rsidRPr="006C19A4" w:rsidRDefault="0077032B" w:rsidP="006C19A4">
      <w:pPr>
        <w:pStyle w:val="Bullet-list"/>
        <w:spacing w:after="0" w:line="240" w:lineRule="auto"/>
        <w:ind w:left="0" w:firstLine="0"/>
        <w:jc w:val="both"/>
        <w:rPr>
          <w:rFonts w:ascii="Times New Roman" w:hAnsi="Times New Roman"/>
          <w:sz w:val="24"/>
          <w:szCs w:val="24"/>
          <w:lang w:val="en-NZ"/>
        </w:rPr>
      </w:pPr>
    </w:p>
    <w:p w:rsidR="00DE23EA" w:rsidRPr="00A22AC0" w:rsidRDefault="0077032B"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lang w:val="en-NZ"/>
        </w:rPr>
        <w:t>Note that in situations where there is the possibility of unenforceability or evasion of a tax liability, withholding taxes are</w:t>
      </w:r>
      <w:r w:rsidR="00A22AC0">
        <w:rPr>
          <w:rFonts w:ascii="Times New Roman" w:hAnsi="Times New Roman"/>
          <w:sz w:val="24"/>
          <w:szCs w:val="24"/>
          <w:lang w:val="en-NZ"/>
        </w:rPr>
        <w:t xml:space="preserve"> commonly</w:t>
      </w:r>
      <w:r>
        <w:rPr>
          <w:rFonts w:ascii="Times New Roman" w:hAnsi="Times New Roman"/>
          <w:sz w:val="24"/>
          <w:szCs w:val="24"/>
          <w:lang w:val="en-NZ"/>
        </w:rPr>
        <w:t xml:space="preserve"> imposed before the payee receives the income</w:t>
      </w:r>
      <w:r w:rsidR="005965C4">
        <w:rPr>
          <w:rFonts w:ascii="Times New Roman" w:hAnsi="Times New Roman"/>
          <w:sz w:val="24"/>
          <w:szCs w:val="24"/>
          <w:lang w:val="en-NZ"/>
        </w:rPr>
        <w:t xml:space="preserve">.  </w:t>
      </w:r>
      <w:r w:rsidRPr="00317341">
        <w:rPr>
          <w:rFonts w:ascii="Times New Roman" w:hAnsi="Times New Roman"/>
          <w:sz w:val="24"/>
          <w:szCs w:val="24"/>
        </w:rPr>
        <w:t xml:space="preserve">Withholding taxes are important </w:t>
      </w:r>
      <w:r>
        <w:rPr>
          <w:rFonts w:ascii="Times New Roman" w:hAnsi="Times New Roman"/>
          <w:sz w:val="24"/>
          <w:szCs w:val="24"/>
        </w:rPr>
        <w:t xml:space="preserve">in these situations </w:t>
      </w:r>
      <w:r w:rsidRPr="00317341">
        <w:rPr>
          <w:rFonts w:ascii="Times New Roman" w:hAnsi="Times New Roman"/>
          <w:sz w:val="24"/>
          <w:szCs w:val="24"/>
        </w:rPr>
        <w:t>because they ensure that the relevant tax is paid out of the amount due to the payee before the payee gets control of the funds</w:t>
      </w:r>
      <w:r w:rsidR="005965C4">
        <w:rPr>
          <w:rFonts w:ascii="Times New Roman" w:hAnsi="Times New Roman"/>
          <w:sz w:val="24"/>
          <w:szCs w:val="24"/>
        </w:rPr>
        <w:t xml:space="preserve">.  </w:t>
      </w:r>
      <w:r w:rsidR="00A22AC0">
        <w:rPr>
          <w:rFonts w:ascii="Times New Roman" w:hAnsi="Times New Roman"/>
          <w:sz w:val="24"/>
          <w:szCs w:val="24"/>
        </w:rPr>
        <w:t xml:space="preserve">This is discussed in further detail in the section titled </w:t>
      </w:r>
      <w:r w:rsidR="00A22AC0">
        <w:rPr>
          <w:rFonts w:ascii="Times New Roman" w:hAnsi="Times New Roman"/>
          <w:i/>
          <w:sz w:val="24"/>
          <w:szCs w:val="24"/>
        </w:rPr>
        <w:t>Status quo and problem definition</w:t>
      </w:r>
      <w:r w:rsidR="005965C4">
        <w:rPr>
          <w:rFonts w:ascii="Times New Roman" w:hAnsi="Times New Roman"/>
          <w:i/>
          <w:sz w:val="24"/>
          <w:szCs w:val="24"/>
        </w:rPr>
        <w:t>.</w:t>
      </w:r>
      <w:r w:rsidR="005965C4" w:rsidRPr="00E222FF">
        <w:rPr>
          <w:rFonts w:ascii="Times New Roman" w:hAnsi="Times New Roman"/>
          <w:sz w:val="24"/>
          <w:szCs w:val="24"/>
        </w:rPr>
        <w:t xml:space="preserve">  </w:t>
      </w:r>
      <w:r w:rsidR="00A22AC0">
        <w:rPr>
          <w:rFonts w:ascii="Times New Roman" w:hAnsi="Times New Roman"/>
          <w:sz w:val="24"/>
          <w:szCs w:val="24"/>
        </w:rPr>
        <w:t>However, in the case of residential property sales, the Commissioner’s current tools for collection and enforcement do not include a withholding tax.</w:t>
      </w:r>
    </w:p>
    <w:p w:rsidR="0077032B" w:rsidRPr="001501E3" w:rsidRDefault="0077032B" w:rsidP="006C19A4">
      <w:pPr>
        <w:pStyle w:val="Bullet-list"/>
        <w:spacing w:after="0" w:line="240" w:lineRule="auto"/>
        <w:ind w:left="0" w:firstLine="0"/>
        <w:jc w:val="both"/>
        <w:rPr>
          <w:rFonts w:ascii="Times New Roman" w:hAnsi="Times New Roman"/>
          <w:sz w:val="24"/>
          <w:szCs w:val="24"/>
        </w:rPr>
      </w:pPr>
    </w:p>
    <w:p w:rsidR="00DE23EA" w:rsidRDefault="00DE23EA"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1501E3">
        <w:rPr>
          <w:rFonts w:ascii="Times New Roman" w:hAnsi="Times New Roman"/>
          <w:sz w:val="24"/>
          <w:szCs w:val="24"/>
        </w:rPr>
        <w:t xml:space="preserve">New Zealand can request help to collect tax from foreign investors from overseas revenue authorities under its various international agreements, including the Multilateral Convention on Mutual Administrative Assistance in Tax Matters, </w:t>
      </w:r>
      <w:r w:rsidR="00EA5B35">
        <w:rPr>
          <w:rFonts w:ascii="Times New Roman" w:hAnsi="Times New Roman"/>
          <w:sz w:val="24"/>
          <w:szCs w:val="24"/>
        </w:rPr>
        <w:t xml:space="preserve">and bilateral </w:t>
      </w:r>
      <w:r w:rsidRPr="001501E3">
        <w:rPr>
          <w:rFonts w:ascii="Times New Roman" w:hAnsi="Times New Roman"/>
          <w:sz w:val="24"/>
          <w:szCs w:val="24"/>
        </w:rPr>
        <w:t>double tax agreements and tax information exchange agreements</w:t>
      </w:r>
      <w:r w:rsidR="005965C4">
        <w:rPr>
          <w:rFonts w:ascii="Times New Roman" w:hAnsi="Times New Roman"/>
          <w:sz w:val="24"/>
          <w:szCs w:val="24"/>
        </w:rPr>
        <w:t xml:space="preserve">.  </w:t>
      </w:r>
      <w:r w:rsidRPr="001501E3">
        <w:rPr>
          <w:rFonts w:ascii="Times New Roman" w:hAnsi="Times New Roman"/>
          <w:sz w:val="24"/>
          <w:szCs w:val="24"/>
        </w:rPr>
        <w:t>These agreements allow for the exchange of tax-related information and assistance in the collection of taxes</w:t>
      </w:r>
      <w:r w:rsidR="005965C4">
        <w:rPr>
          <w:rFonts w:ascii="Times New Roman" w:hAnsi="Times New Roman"/>
          <w:sz w:val="24"/>
          <w:szCs w:val="24"/>
        </w:rPr>
        <w:t xml:space="preserve">.  </w:t>
      </w:r>
      <w:r w:rsidRPr="001501E3">
        <w:rPr>
          <w:rFonts w:ascii="Times New Roman" w:hAnsi="Times New Roman"/>
          <w:sz w:val="24"/>
          <w:szCs w:val="24"/>
        </w:rPr>
        <w:t xml:space="preserve">While these are useful tools in enabling the Government to collect tax, they </w:t>
      </w:r>
      <w:r w:rsidR="00B06228">
        <w:rPr>
          <w:rFonts w:ascii="Times New Roman" w:hAnsi="Times New Roman"/>
          <w:sz w:val="24"/>
          <w:szCs w:val="24"/>
        </w:rPr>
        <w:t>should only act as a backstop</w:t>
      </w:r>
      <w:r w:rsidR="005965C4">
        <w:rPr>
          <w:rFonts w:ascii="Times New Roman" w:hAnsi="Times New Roman"/>
          <w:sz w:val="24"/>
          <w:szCs w:val="24"/>
        </w:rPr>
        <w:t xml:space="preserve">.  </w:t>
      </w:r>
    </w:p>
    <w:p w:rsidR="00166E66" w:rsidRDefault="00166E66">
      <w:pPr>
        <w:pStyle w:val="ListParagraph"/>
        <w:rPr>
          <w:rFonts w:ascii="Times New Roman" w:hAnsi="Times New Roman"/>
          <w:sz w:val="24"/>
          <w:szCs w:val="24"/>
        </w:rPr>
      </w:pPr>
    </w:p>
    <w:p w:rsidR="00166E66" w:rsidRDefault="00166E66"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Inland Revenue does not have detailed data </w:t>
      </w:r>
      <w:r w:rsidR="006D282B">
        <w:rPr>
          <w:rFonts w:ascii="Times New Roman" w:hAnsi="Times New Roman"/>
          <w:sz w:val="24"/>
          <w:szCs w:val="24"/>
        </w:rPr>
        <w:t xml:space="preserve">about the </w:t>
      </w:r>
      <w:r>
        <w:rPr>
          <w:rFonts w:ascii="Times New Roman" w:hAnsi="Times New Roman"/>
          <w:sz w:val="24"/>
          <w:szCs w:val="24"/>
        </w:rPr>
        <w:t xml:space="preserve">compliance </w:t>
      </w:r>
      <w:r w:rsidR="006D282B">
        <w:rPr>
          <w:rFonts w:ascii="Times New Roman" w:hAnsi="Times New Roman"/>
          <w:sz w:val="24"/>
          <w:szCs w:val="24"/>
        </w:rPr>
        <w:t xml:space="preserve">of </w:t>
      </w:r>
      <w:r>
        <w:rPr>
          <w:rFonts w:ascii="Times New Roman" w:hAnsi="Times New Roman"/>
          <w:sz w:val="24"/>
          <w:szCs w:val="24"/>
        </w:rPr>
        <w:t xml:space="preserve">non-residents </w:t>
      </w:r>
      <w:r w:rsidR="00FC6209">
        <w:rPr>
          <w:rFonts w:ascii="Times New Roman" w:hAnsi="Times New Roman"/>
          <w:sz w:val="24"/>
          <w:szCs w:val="24"/>
        </w:rPr>
        <w:t xml:space="preserve">with </w:t>
      </w:r>
      <w:r>
        <w:rPr>
          <w:rFonts w:ascii="Times New Roman" w:hAnsi="Times New Roman"/>
          <w:sz w:val="24"/>
          <w:szCs w:val="24"/>
        </w:rPr>
        <w:t xml:space="preserve">their </w:t>
      </w:r>
      <w:r w:rsidR="006D282B">
        <w:rPr>
          <w:rFonts w:ascii="Times New Roman" w:hAnsi="Times New Roman"/>
          <w:sz w:val="24"/>
          <w:szCs w:val="24"/>
        </w:rPr>
        <w:t xml:space="preserve">New Zealand tax obligations on their </w:t>
      </w:r>
      <w:r>
        <w:rPr>
          <w:rFonts w:ascii="Times New Roman" w:hAnsi="Times New Roman"/>
          <w:sz w:val="24"/>
          <w:szCs w:val="24"/>
        </w:rPr>
        <w:t>New Zealand-sourced income</w:t>
      </w:r>
      <w:r w:rsidR="005965C4">
        <w:rPr>
          <w:rFonts w:ascii="Times New Roman" w:hAnsi="Times New Roman"/>
          <w:sz w:val="24"/>
          <w:szCs w:val="24"/>
        </w:rPr>
        <w:t xml:space="preserve">.  </w:t>
      </w:r>
      <w:r w:rsidR="00DA7EAA">
        <w:rPr>
          <w:rFonts w:ascii="Times New Roman" w:hAnsi="Times New Roman"/>
          <w:sz w:val="24"/>
          <w:szCs w:val="24"/>
        </w:rPr>
        <w:t>However, there is anecdotal evidence that compliance with the land sale rules to date has been low, particularly in relation to non-residents</w:t>
      </w:r>
      <w:r w:rsidR="005965C4">
        <w:rPr>
          <w:rFonts w:ascii="Times New Roman" w:hAnsi="Times New Roman"/>
          <w:sz w:val="24"/>
          <w:szCs w:val="24"/>
        </w:rPr>
        <w:t xml:space="preserve">.  </w:t>
      </w:r>
      <w:r>
        <w:rPr>
          <w:rFonts w:ascii="Times New Roman" w:hAnsi="Times New Roman"/>
          <w:sz w:val="24"/>
          <w:szCs w:val="24"/>
        </w:rPr>
        <w:t>New information collection and reporting measures introduced from 1 October 2015 regarding residential land sales should provide better quality information in the future</w:t>
      </w:r>
      <w:r w:rsidR="003C1411">
        <w:rPr>
          <w:rFonts w:ascii="Times New Roman" w:hAnsi="Times New Roman"/>
          <w:sz w:val="24"/>
          <w:szCs w:val="24"/>
        </w:rPr>
        <w:t>, but</w:t>
      </w:r>
      <w:r w:rsidR="00A017CA">
        <w:rPr>
          <w:rFonts w:ascii="Times New Roman" w:hAnsi="Times New Roman"/>
          <w:sz w:val="24"/>
          <w:szCs w:val="24"/>
        </w:rPr>
        <w:t xml:space="preserve"> using this data to form views about compliance rates and trends</w:t>
      </w:r>
      <w:r w:rsidR="003F7D8B">
        <w:rPr>
          <w:rFonts w:ascii="Times New Roman" w:hAnsi="Times New Roman"/>
          <w:sz w:val="24"/>
          <w:szCs w:val="24"/>
        </w:rPr>
        <w:t xml:space="preserve"> regarding the</w:t>
      </w:r>
      <w:r w:rsidR="006D282B">
        <w:rPr>
          <w:rFonts w:ascii="Times New Roman" w:hAnsi="Times New Roman"/>
          <w:sz w:val="24"/>
          <w:szCs w:val="24"/>
        </w:rPr>
        <w:t xml:space="preserve"> proposed</w:t>
      </w:r>
      <w:r w:rsidR="003F7D8B">
        <w:rPr>
          <w:rFonts w:ascii="Times New Roman" w:hAnsi="Times New Roman"/>
          <w:sz w:val="24"/>
          <w:szCs w:val="24"/>
        </w:rPr>
        <w:t xml:space="preserve"> bright-line test</w:t>
      </w:r>
      <w:r w:rsidR="00A017CA">
        <w:rPr>
          <w:rFonts w:ascii="Times New Roman" w:hAnsi="Times New Roman"/>
          <w:sz w:val="24"/>
          <w:szCs w:val="24"/>
        </w:rPr>
        <w:t xml:space="preserve"> will not be </w:t>
      </w:r>
      <w:r w:rsidR="003F7D8B">
        <w:rPr>
          <w:rFonts w:ascii="Times New Roman" w:hAnsi="Times New Roman"/>
          <w:sz w:val="24"/>
          <w:szCs w:val="24"/>
        </w:rPr>
        <w:t>possible for several years</w:t>
      </w:r>
      <w:r w:rsidR="005965C4">
        <w:rPr>
          <w:rFonts w:ascii="Times New Roman" w:hAnsi="Times New Roman"/>
          <w:sz w:val="24"/>
          <w:szCs w:val="24"/>
        </w:rPr>
        <w:t xml:space="preserve">.  </w:t>
      </w:r>
    </w:p>
    <w:p w:rsidR="002E6730" w:rsidRDefault="002E6730" w:rsidP="006C19A4">
      <w:pPr>
        <w:pStyle w:val="Bullet-list"/>
        <w:spacing w:after="0" w:line="240" w:lineRule="auto"/>
        <w:ind w:left="0" w:firstLine="0"/>
        <w:jc w:val="both"/>
        <w:rPr>
          <w:rFonts w:ascii="Times New Roman" w:hAnsi="Times New Roman"/>
          <w:sz w:val="24"/>
          <w:szCs w:val="24"/>
        </w:rPr>
      </w:pPr>
    </w:p>
    <w:p w:rsidR="001D6F98" w:rsidRPr="001D6F98" w:rsidRDefault="00403183"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Option 1</w:t>
      </w:r>
      <w:r w:rsidR="002E6730">
        <w:rPr>
          <w:rFonts w:ascii="Times New Roman" w:hAnsi="Times New Roman"/>
          <w:sz w:val="24"/>
          <w:szCs w:val="24"/>
        </w:rPr>
        <w:t xml:space="preserve"> is not Inland Revenue’s preferred option</w:t>
      </w:r>
      <w:r w:rsidR="005965C4">
        <w:rPr>
          <w:rFonts w:ascii="Times New Roman" w:hAnsi="Times New Roman"/>
          <w:sz w:val="24"/>
          <w:szCs w:val="24"/>
        </w:rPr>
        <w:t xml:space="preserve">.  </w:t>
      </w:r>
      <w:r w:rsidR="005E0687">
        <w:rPr>
          <w:rFonts w:ascii="Times New Roman" w:hAnsi="Times New Roman"/>
          <w:sz w:val="24"/>
          <w:szCs w:val="24"/>
        </w:rPr>
        <w:t>It would make the tax system less coherent as a whole</w:t>
      </w:r>
      <w:r w:rsidR="00F607D9">
        <w:rPr>
          <w:rFonts w:ascii="Times New Roman" w:hAnsi="Times New Roman"/>
          <w:sz w:val="24"/>
          <w:szCs w:val="24"/>
        </w:rPr>
        <w:t>,</w:t>
      </w:r>
      <w:r w:rsidR="005E0687">
        <w:rPr>
          <w:rFonts w:ascii="Times New Roman" w:hAnsi="Times New Roman"/>
          <w:sz w:val="24"/>
          <w:szCs w:val="24"/>
        </w:rPr>
        <w:t xml:space="preserve"> given that </w:t>
      </w:r>
      <w:r w:rsidR="009008DB">
        <w:rPr>
          <w:rFonts w:ascii="Times New Roman" w:hAnsi="Times New Roman"/>
          <w:sz w:val="24"/>
          <w:szCs w:val="24"/>
        </w:rPr>
        <w:t>withholding taxes are required in relation to other forms of income in similar circumstances (that is, where a payee is likely to have a tax liability and where there may be enforceability or evasion concerns)</w:t>
      </w:r>
      <w:r w:rsidR="005965C4">
        <w:rPr>
          <w:rFonts w:ascii="Times New Roman" w:hAnsi="Times New Roman"/>
          <w:sz w:val="24"/>
          <w:szCs w:val="24"/>
        </w:rPr>
        <w:t xml:space="preserve">.  </w:t>
      </w:r>
      <w:r w:rsidR="006D282B">
        <w:rPr>
          <w:rFonts w:ascii="Times New Roman" w:hAnsi="Times New Roman"/>
          <w:sz w:val="24"/>
          <w:szCs w:val="24"/>
        </w:rPr>
        <w:t xml:space="preserve">The absence of </w:t>
      </w:r>
      <w:r w:rsidR="00513891">
        <w:rPr>
          <w:rFonts w:ascii="Times New Roman" w:hAnsi="Times New Roman"/>
          <w:sz w:val="24"/>
          <w:szCs w:val="24"/>
        </w:rPr>
        <w:t>a withholding tax</w:t>
      </w:r>
      <w:r w:rsidR="002E6730">
        <w:rPr>
          <w:rFonts w:ascii="Times New Roman" w:hAnsi="Times New Roman"/>
          <w:sz w:val="24"/>
          <w:szCs w:val="24"/>
        </w:rPr>
        <w:t xml:space="preserve"> as </w:t>
      </w:r>
      <w:r w:rsidR="006D282B">
        <w:rPr>
          <w:rFonts w:ascii="Times New Roman" w:hAnsi="Times New Roman"/>
          <w:sz w:val="24"/>
          <w:szCs w:val="24"/>
        </w:rPr>
        <w:t xml:space="preserve">part of </w:t>
      </w:r>
      <w:r w:rsidR="002E6730">
        <w:rPr>
          <w:rFonts w:ascii="Times New Roman" w:hAnsi="Times New Roman"/>
          <w:sz w:val="24"/>
          <w:szCs w:val="24"/>
        </w:rPr>
        <w:t xml:space="preserve">the Commissioner’s current tools for collection and enforcement </w:t>
      </w:r>
      <w:r w:rsidR="006D282B">
        <w:rPr>
          <w:rFonts w:ascii="Times New Roman" w:hAnsi="Times New Roman"/>
          <w:sz w:val="24"/>
          <w:szCs w:val="24"/>
        </w:rPr>
        <w:t xml:space="preserve">is </w:t>
      </w:r>
      <w:r>
        <w:rPr>
          <w:rFonts w:ascii="Times New Roman" w:hAnsi="Times New Roman"/>
          <w:sz w:val="24"/>
          <w:szCs w:val="24"/>
        </w:rPr>
        <w:t>not practical where the taxpayer has limited or no presence in New Zealand, which is where voluntary compliance with New Zealand’s tax rules is less likely to occur</w:t>
      </w:r>
      <w:r w:rsidR="005965C4">
        <w:rPr>
          <w:rFonts w:ascii="Times New Roman" w:hAnsi="Times New Roman"/>
          <w:sz w:val="24"/>
          <w:szCs w:val="24"/>
        </w:rPr>
        <w:t xml:space="preserve">.  </w:t>
      </w:r>
      <w:r w:rsidR="002B6908">
        <w:rPr>
          <w:rFonts w:ascii="Times New Roman" w:hAnsi="Times New Roman"/>
          <w:sz w:val="24"/>
          <w:szCs w:val="24"/>
        </w:rPr>
        <w:t xml:space="preserve">There is also a strong risk that </w:t>
      </w:r>
      <w:r w:rsidR="0077032B">
        <w:rPr>
          <w:rFonts w:ascii="Times New Roman" w:hAnsi="Times New Roman"/>
          <w:sz w:val="24"/>
          <w:szCs w:val="24"/>
        </w:rPr>
        <w:t xml:space="preserve">this </w:t>
      </w:r>
      <w:r w:rsidR="002B6908">
        <w:rPr>
          <w:rFonts w:ascii="Times New Roman" w:hAnsi="Times New Roman"/>
          <w:sz w:val="24"/>
          <w:szCs w:val="24"/>
        </w:rPr>
        <w:t xml:space="preserve">could create a perception that foreign investors are not paying their </w:t>
      </w:r>
      <w:r w:rsidR="005965C4">
        <w:rPr>
          <w:rFonts w:ascii="Times New Roman" w:hAnsi="Times New Roman"/>
          <w:sz w:val="24"/>
          <w:szCs w:val="24"/>
        </w:rPr>
        <w:t>“</w:t>
      </w:r>
      <w:r w:rsidR="002B6908">
        <w:rPr>
          <w:rFonts w:ascii="Times New Roman" w:hAnsi="Times New Roman"/>
          <w:sz w:val="24"/>
          <w:szCs w:val="24"/>
        </w:rPr>
        <w:t>fair share of tax</w:t>
      </w:r>
      <w:r w:rsidR="005965C4">
        <w:rPr>
          <w:rFonts w:ascii="Times New Roman" w:hAnsi="Times New Roman"/>
          <w:sz w:val="24"/>
          <w:szCs w:val="24"/>
        </w:rPr>
        <w:t>”</w:t>
      </w:r>
      <w:r w:rsidR="001D6F98">
        <w:rPr>
          <w:rFonts w:ascii="Times New Roman" w:hAnsi="Times New Roman"/>
          <w:sz w:val="24"/>
          <w:szCs w:val="24"/>
        </w:rPr>
        <w:t xml:space="preserve"> in relation to income </w:t>
      </w:r>
      <w:r w:rsidR="0077032B">
        <w:rPr>
          <w:rFonts w:ascii="Times New Roman" w:hAnsi="Times New Roman"/>
          <w:sz w:val="24"/>
          <w:szCs w:val="24"/>
        </w:rPr>
        <w:t>derived</w:t>
      </w:r>
      <w:r w:rsidR="006D282B">
        <w:rPr>
          <w:rFonts w:ascii="Times New Roman" w:hAnsi="Times New Roman"/>
          <w:sz w:val="24"/>
          <w:szCs w:val="24"/>
        </w:rPr>
        <w:t xml:space="preserve"> </w:t>
      </w:r>
      <w:r w:rsidR="001D6F98">
        <w:rPr>
          <w:rFonts w:ascii="Times New Roman" w:hAnsi="Times New Roman"/>
          <w:sz w:val="24"/>
          <w:szCs w:val="24"/>
        </w:rPr>
        <w:t>from residential land</w:t>
      </w:r>
      <w:r w:rsidR="006D282B">
        <w:rPr>
          <w:rFonts w:ascii="Times New Roman" w:hAnsi="Times New Roman"/>
          <w:sz w:val="24"/>
          <w:szCs w:val="24"/>
        </w:rPr>
        <w:t>,</w:t>
      </w:r>
      <w:r w:rsidR="00A22AC0">
        <w:rPr>
          <w:rFonts w:ascii="Times New Roman" w:hAnsi="Times New Roman"/>
          <w:sz w:val="24"/>
          <w:szCs w:val="24"/>
        </w:rPr>
        <w:t xml:space="preserve"> </w:t>
      </w:r>
      <w:r w:rsidR="001D6F98">
        <w:rPr>
          <w:rFonts w:ascii="Times New Roman" w:hAnsi="Times New Roman"/>
          <w:sz w:val="24"/>
          <w:szCs w:val="24"/>
        </w:rPr>
        <w:t>and that their tax obligations are not being sufficiently enforced</w:t>
      </w:r>
      <w:r w:rsidR="002B6908">
        <w:rPr>
          <w:rFonts w:ascii="Times New Roman" w:hAnsi="Times New Roman"/>
          <w:sz w:val="24"/>
          <w:szCs w:val="24"/>
        </w:rPr>
        <w:t>, thereby undermining the integrity of the tax system</w:t>
      </w:r>
      <w:r w:rsidR="005965C4">
        <w:rPr>
          <w:rFonts w:ascii="Times New Roman" w:hAnsi="Times New Roman"/>
          <w:sz w:val="24"/>
          <w:szCs w:val="24"/>
        </w:rPr>
        <w:t xml:space="preserve">.  </w:t>
      </w:r>
    </w:p>
    <w:p w:rsidR="00DE23EA" w:rsidRDefault="00DE23EA" w:rsidP="006C19A4">
      <w:pPr>
        <w:pStyle w:val="CommentText"/>
        <w:spacing w:after="0" w:line="240" w:lineRule="auto"/>
        <w:jc w:val="both"/>
        <w:rPr>
          <w:rFonts w:ascii="Times New Roman" w:hAnsi="Times New Roman"/>
          <w:sz w:val="24"/>
          <w:szCs w:val="24"/>
        </w:rPr>
      </w:pPr>
    </w:p>
    <w:p w:rsidR="00F777E4" w:rsidRDefault="00F777E4" w:rsidP="006C19A4">
      <w:pPr>
        <w:pStyle w:val="Bullet-list"/>
        <w:spacing w:after="0" w:line="240" w:lineRule="auto"/>
        <w:ind w:left="0" w:firstLine="0"/>
        <w:jc w:val="both"/>
        <w:rPr>
          <w:rFonts w:ascii="Times New Roman" w:hAnsi="Times New Roman"/>
          <w:b/>
          <w:sz w:val="24"/>
          <w:szCs w:val="24"/>
        </w:rPr>
      </w:pPr>
      <w:r>
        <w:rPr>
          <w:rFonts w:ascii="Times New Roman" w:hAnsi="Times New Roman"/>
          <w:b/>
          <w:sz w:val="24"/>
          <w:szCs w:val="24"/>
        </w:rPr>
        <w:t>Option 2: status quo, but provide more</w:t>
      </w:r>
      <w:r w:rsidR="00BB2C0B">
        <w:rPr>
          <w:rFonts w:ascii="Times New Roman" w:hAnsi="Times New Roman"/>
          <w:b/>
          <w:sz w:val="24"/>
          <w:szCs w:val="24"/>
        </w:rPr>
        <w:t xml:space="preserve"> information</w:t>
      </w:r>
      <w:r>
        <w:rPr>
          <w:rFonts w:ascii="Times New Roman" w:hAnsi="Times New Roman"/>
          <w:b/>
          <w:sz w:val="24"/>
          <w:szCs w:val="24"/>
        </w:rPr>
        <w:t xml:space="preserve"> guidance on tax obligations in relation to residential property</w:t>
      </w:r>
    </w:p>
    <w:p w:rsidR="001D5FBC" w:rsidRDefault="001D5FBC" w:rsidP="006C19A4">
      <w:pPr>
        <w:pStyle w:val="Bullet-list"/>
        <w:spacing w:after="0" w:line="240" w:lineRule="auto"/>
        <w:ind w:left="0" w:firstLine="0"/>
        <w:jc w:val="both"/>
        <w:rPr>
          <w:rFonts w:ascii="Times New Roman" w:hAnsi="Times New Roman"/>
          <w:b/>
          <w:sz w:val="24"/>
          <w:szCs w:val="24"/>
        </w:rPr>
      </w:pPr>
    </w:p>
    <w:p w:rsidR="00BB2C0B" w:rsidRDefault="00BB2C0B"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This option is a non-regulatory response that is similar to option 1, but in addition to the Commissioner’s existing powers for collection and</w:t>
      </w:r>
      <w:r w:rsidR="004F5574">
        <w:rPr>
          <w:rFonts w:ascii="Times New Roman" w:hAnsi="Times New Roman"/>
          <w:sz w:val="24"/>
          <w:szCs w:val="24"/>
        </w:rPr>
        <w:t xml:space="preserve"> the</w:t>
      </w:r>
      <w:r>
        <w:rPr>
          <w:rFonts w:ascii="Times New Roman" w:hAnsi="Times New Roman"/>
          <w:sz w:val="24"/>
          <w:szCs w:val="24"/>
        </w:rPr>
        <w:t xml:space="preserve"> standard “business-as-usual” response </w:t>
      </w:r>
      <w:r w:rsidR="004F5574">
        <w:rPr>
          <w:rFonts w:ascii="Times New Roman" w:hAnsi="Times New Roman"/>
          <w:sz w:val="24"/>
          <w:szCs w:val="24"/>
        </w:rPr>
        <w:t>to new legislation</w:t>
      </w:r>
      <w:r w:rsidR="00CD0CB3">
        <w:rPr>
          <w:rFonts w:ascii="Times New Roman" w:hAnsi="Times New Roman"/>
          <w:sz w:val="24"/>
          <w:szCs w:val="24"/>
        </w:rPr>
        <w:t xml:space="preserve">, it would also </w:t>
      </w:r>
      <w:r w:rsidR="008E07F5">
        <w:rPr>
          <w:rFonts w:ascii="Times New Roman" w:hAnsi="Times New Roman"/>
          <w:sz w:val="24"/>
          <w:szCs w:val="24"/>
        </w:rPr>
        <w:t>involve additional information</w:t>
      </w:r>
      <w:r w:rsidR="00FC6209">
        <w:rPr>
          <w:rFonts w:ascii="Times New Roman" w:hAnsi="Times New Roman"/>
          <w:sz w:val="24"/>
          <w:szCs w:val="24"/>
        </w:rPr>
        <w:t xml:space="preserve"> being provided</w:t>
      </w:r>
      <w:r w:rsidR="008E07F5">
        <w:rPr>
          <w:rFonts w:ascii="Times New Roman" w:hAnsi="Times New Roman"/>
          <w:sz w:val="24"/>
          <w:szCs w:val="24"/>
        </w:rPr>
        <w:t xml:space="preserve"> and education campaigns</w:t>
      </w:r>
      <w:r w:rsidR="00CE7F7E">
        <w:rPr>
          <w:rFonts w:ascii="Times New Roman" w:hAnsi="Times New Roman"/>
          <w:sz w:val="24"/>
          <w:szCs w:val="24"/>
        </w:rPr>
        <w:t xml:space="preserve"> being run</w:t>
      </w:r>
      <w:r w:rsidR="008E07F5">
        <w:rPr>
          <w:rFonts w:ascii="Times New Roman" w:hAnsi="Times New Roman"/>
          <w:sz w:val="24"/>
          <w:szCs w:val="24"/>
        </w:rPr>
        <w:t xml:space="preserve"> in an effort to boost levels of voluntary compliance in relation to the new bright-line test (and potentially </w:t>
      </w:r>
      <w:r w:rsidR="006D282B">
        <w:rPr>
          <w:rFonts w:ascii="Times New Roman" w:hAnsi="Times New Roman"/>
          <w:sz w:val="24"/>
          <w:szCs w:val="24"/>
        </w:rPr>
        <w:t xml:space="preserve">the </w:t>
      </w:r>
      <w:r w:rsidR="008E07F5">
        <w:rPr>
          <w:rFonts w:ascii="Times New Roman" w:hAnsi="Times New Roman"/>
          <w:sz w:val="24"/>
          <w:szCs w:val="24"/>
        </w:rPr>
        <w:t>other land</w:t>
      </w:r>
      <w:r w:rsidR="006D282B">
        <w:rPr>
          <w:rFonts w:ascii="Times New Roman" w:hAnsi="Times New Roman"/>
          <w:sz w:val="24"/>
          <w:szCs w:val="24"/>
        </w:rPr>
        <w:t xml:space="preserve"> </w:t>
      </w:r>
      <w:r w:rsidR="008E07F5">
        <w:rPr>
          <w:rFonts w:ascii="Times New Roman" w:hAnsi="Times New Roman"/>
          <w:sz w:val="24"/>
          <w:szCs w:val="24"/>
        </w:rPr>
        <w:t>sale rules).</w:t>
      </w:r>
    </w:p>
    <w:p w:rsidR="008E07F5" w:rsidRDefault="008E07F5" w:rsidP="006C19A4">
      <w:pPr>
        <w:pStyle w:val="Bullet-list"/>
        <w:spacing w:after="0" w:line="240" w:lineRule="auto"/>
        <w:ind w:left="0" w:firstLine="0"/>
        <w:jc w:val="both"/>
        <w:rPr>
          <w:rFonts w:ascii="Times New Roman" w:hAnsi="Times New Roman"/>
          <w:sz w:val="24"/>
          <w:szCs w:val="24"/>
        </w:rPr>
      </w:pPr>
    </w:p>
    <w:p w:rsidR="008E07F5" w:rsidRDefault="00CE7F7E"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Targeted</w:t>
      </w:r>
      <w:r w:rsidR="00FC6209">
        <w:rPr>
          <w:rFonts w:ascii="Times New Roman" w:hAnsi="Times New Roman"/>
          <w:sz w:val="24"/>
          <w:szCs w:val="24"/>
        </w:rPr>
        <w:t xml:space="preserve"> </w:t>
      </w:r>
      <w:r>
        <w:rPr>
          <w:rFonts w:ascii="Times New Roman" w:hAnsi="Times New Roman"/>
          <w:sz w:val="24"/>
          <w:szCs w:val="24"/>
        </w:rPr>
        <w:t>education campaigns have been utilised by Inland Revenue in the past to deliver messages regarding significant changes to the tax system and</w:t>
      </w:r>
      <w:r w:rsidR="00F71C19">
        <w:rPr>
          <w:rFonts w:ascii="Times New Roman" w:hAnsi="Times New Roman"/>
          <w:sz w:val="24"/>
          <w:szCs w:val="24"/>
        </w:rPr>
        <w:t xml:space="preserve"> to ensure</w:t>
      </w:r>
      <w:r>
        <w:rPr>
          <w:rFonts w:ascii="Times New Roman" w:hAnsi="Times New Roman"/>
          <w:sz w:val="24"/>
          <w:szCs w:val="24"/>
        </w:rPr>
        <w:t xml:space="preserve"> </w:t>
      </w:r>
      <w:r w:rsidR="006D282B">
        <w:rPr>
          <w:rFonts w:ascii="Times New Roman" w:hAnsi="Times New Roman"/>
          <w:sz w:val="24"/>
          <w:szCs w:val="24"/>
        </w:rPr>
        <w:t>those affected</w:t>
      </w:r>
      <w:r w:rsidR="00F71C19">
        <w:rPr>
          <w:rFonts w:ascii="Times New Roman" w:hAnsi="Times New Roman"/>
          <w:sz w:val="24"/>
          <w:szCs w:val="24"/>
        </w:rPr>
        <w:t xml:space="preserve"> understand their</w:t>
      </w:r>
      <w:r>
        <w:rPr>
          <w:rFonts w:ascii="Times New Roman" w:hAnsi="Times New Roman"/>
          <w:sz w:val="24"/>
          <w:szCs w:val="24"/>
        </w:rPr>
        <w:t xml:space="preserve"> obligations, for example in the </w:t>
      </w:r>
      <w:r w:rsidR="006D282B">
        <w:rPr>
          <w:rFonts w:ascii="Times New Roman" w:hAnsi="Times New Roman"/>
          <w:sz w:val="24"/>
          <w:szCs w:val="24"/>
        </w:rPr>
        <w:t xml:space="preserve">child support </w:t>
      </w:r>
      <w:r>
        <w:rPr>
          <w:rFonts w:ascii="Times New Roman" w:hAnsi="Times New Roman"/>
          <w:sz w:val="24"/>
          <w:szCs w:val="24"/>
        </w:rPr>
        <w:t>area</w:t>
      </w:r>
      <w:r w:rsidR="005965C4">
        <w:rPr>
          <w:rFonts w:ascii="Times New Roman" w:hAnsi="Times New Roman"/>
          <w:sz w:val="24"/>
          <w:szCs w:val="24"/>
        </w:rPr>
        <w:t xml:space="preserve">.  </w:t>
      </w:r>
    </w:p>
    <w:p w:rsidR="006F2EE7" w:rsidRDefault="006F2EE7">
      <w:pPr>
        <w:pStyle w:val="ListParagraph"/>
        <w:rPr>
          <w:rFonts w:ascii="Times New Roman" w:hAnsi="Times New Roman"/>
          <w:sz w:val="24"/>
          <w:szCs w:val="24"/>
        </w:rPr>
      </w:pPr>
    </w:p>
    <w:p w:rsidR="006F2EE7" w:rsidRDefault="006F2EE7"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A similar strategy could be</w:t>
      </w:r>
      <w:r w:rsidR="00FC6209">
        <w:rPr>
          <w:rFonts w:ascii="Times New Roman" w:hAnsi="Times New Roman"/>
          <w:sz w:val="24"/>
          <w:szCs w:val="24"/>
        </w:rPr>
        <w:t xml:space="preserve"> used</w:t>
      </w:r>
      <w:r>
        <w:rPr>
          <w:rFonts w:ascii="Times New Roman" w:hAnsi="Times New Roman"/>
          <w:sz w:val="24"/>
          <w:szCs w:val="24"/>
        </w:rPr>
        <w:t xml:space="preserve"> </w:t>
      </w:r>
      <w:r w:rsidR="006D282B">
        <w:rPr>
          <w:rFonts w:ascii="Times New Roman" w:hAnsi="Times New Roman"/>
          <w:sz w:val="24"/>
          <w:szCs w:val="24"/>
        </w:rPr>
        <w:t xml:space="preserve">for the proposed </w:t>
      </w:r>
      <w:r w:rsidR="008931EC">
        <w:rPr>
          <w:rFonts w:ascii="Times New Roman" w:hAnsi="Times New Roman"/>
          <w:sz w:val="24"/>
          <w:szCs w:val="24"/>
        </w:rPr>
        <w:t>bright-line test</w:t>
      </w:r>
      <w:r>
        <w:rPr>
          <w:rFonts w:ascii="Times New Roman" w:hAnsi="Times New Roman"/>
          <w:sz w:val="24"/>
          <w:szCs w:val="24"/>
        </w:rPr>
        <w:t xml:space="preserve">, with the level of detail </w:t>
      </w:r>
      <w:r w:rsidR="003F5193">
        <w:rPr>
          <w:rFonts w:ascii="Times New Roman" w:hAnsi="Times New Roman"/>
          <w:sz w:val="24"/>
          <w:szCs w:val="24"/>
        </w:rPr>
        <w:t xml:space="preserve">of the information provided </w:t>
      </w:r>
      <w:r>
        <w:rPr>
          <w:rFonts w:ascii="Times New Roman" w:hAnsi="Times New Roman"/>
          <w:sz w:val="24"/>
          <w:szCs w:val="24"/>
        </w:rPr>
        <w:t>and the medium dependent on the target audience</w:t>
      </w:r>
      <w:r w:rsidR="005965C4">
        <w:rPr>
          <w:rFonts w:ascii="Times New Roman" w:hAnsi="Times New Roman"/>
          <w:sz w:val="24"/>
          <w:szCs w:val="24"/>
        </w:rPr>
        <w:t xml:space="preserve">.  </w:t>
      </w:r>
    </w:p>
    <w:p w:rsidR="00083BAB" w:rsidRDefault="00083BAB">
      <w:pPr>
        <w:pStyle w:val="ListParagraph"/>
        <w:rPr>
          <w:rFonts w:ascii="Times New Roman" w:hAnsi="Times New Roman"/>
          <w:sz w:val="24"/>
          <w:szCs w:val="24"/>
        </w:rPr>
      </w:pPr>
    </w:p>
    <w:p w:rsidR="00674786" w:rsidRPr="00A959BE" w:rsidRDefault="007310C8"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However, a major limitation with this approach is that</w:t>
      </w:r>
      <w:r w:rsidR="006D282B">
        <w:rPr>
          <w:rFonts w:ascii="Times New Roman" w:hAnsi="Times New Roman"/>
          <w:sz w:val="24"/>
          <w:szCs w:val="24"/>
        </w:rPr>
        <w:t xml:space="preserve"> it</w:t>
      </w:r>
      <w:r w:rsidR="00F53ADE">
        <w:rPr>
          <w:rFonts w:ascii="Times New Roman" w:hAnsi="Times New Roman"/>
          <w:sz w:val="24"/>
          <w:szCs w:val="24"/>
        </w:rPr>
        <w:t xml:space="preserve"> requires in-depth knowledge </w:t>
      </w:r>
      <w:r w:rsidR="006D282B">
        <w:rPr>
          <w:rFonts w:ascii="Times New Roman" w:hAnsi="Times New Roman"/>
          <w:sz w:val="24"/>
          <w:szCs w:val="24"/>
        </w:rPr>
        <w:t xml:space="preserve">of the appropriate medium in other jurisdictions to </w:t>
      </w:r>
      <w:r w:rsidR="00674786">
        <w:rPr>
          <w:rFonts w:ascii="Times New Roman" w:hAnsi="Times New Roman"/>
          <w:sz w:val="24"/>
          <w:szCs w:val="24"/>
        </w:rPr>
        <w:t>best ensure that the appropriate audiences are covered</w:t>
      </w:r>
      <w:r w:rsidR="005965C4">
        <w:rPr>
          <w:rFonts w:ascii="Times New Roman" w:hAnsi="Times New Roman"/>
          <w:sz w:val="24"/>
          <w:szCs w:val="24"/>
        </w:rPr>
        <w:t xml:space="preserve">.  </w:t>
      </w:r>
      <w:r w:rsidR="00674786">
        <w:rPr>
          <w:rFonts w:ascii="Times New Roman" w:hAnsi="Times New Roman"/>
          <w:sz w:val="24"/>
          <w:szCs w:val="24"/>
        </w:rPr>
        <w:t xml:space="preserve">As previously </w:t>
      </w:r>
      <w:r w:rsidR="00F71C19">
        <w:rPr>
          <w:rFonts w:ascii="Times New Roman" w:hAnsi="Times New Roman"/>
          <w:sz w:val="24"/>
          <w:szCs w:val="24"/>
        </w:rPr>
        <w:t>mentioned</w:t>
      </w:r>
      <w:r w:rsidR="00674786">
        <w:rPr>
          <w:rFonts w:ascii="Times New Roman" w:hAnsi="Times New Roman"/>
          <w:sz w:val="24"/>
          <w:szCs w:val="24"/>
        </w:rPr>
        <w:t xml:space="preserve">, Inland Revenue </w:t>
      </w:r>
      <w:r w:rsidR="006D282B">
        <w:rPr>
          <w:rFonts w:ascii="Times New Roman" w:hAnsi="Times New Roman"/>
          <w:sz w:val="24"/>
          <w:szCs w:val="24"/>
        </w:rPr>
        <w:t xml:space="preserve">does </w:t>
      </w:r>
      <w:r w:rsidR="00674786">
        <w:rPr>
          <w:rFonts w:ascii="Times New Roman" w:hAnsi="Times New Roman"/>
          <w:sz w:val="24"/>
          <w:szCs w:val="24"/>
        </w:rPr>
        <w:t xml:space="preserve">not </w:t>
      </w:r>
      <w:r w:rsidR="006D282B">
        <w:rPr>
          <w:rFonts w:ascii="Times New Roman" w:hAnsi="Times New Roman"/>
          <w:sz w:val="24"/>
          <w:szCs w:val="24"/>
        </w:rPr>
        <w:t xml:space="preserve">currently </w:t>
      </w:r>
      <w:r w:rsidR="00674786">
        <w:rPr>
          <w:rFonts w:ascii="Times New Roman" w:hAnsi="Times New Roman"/>
          <w:sz w:val="24"/>
          <w:szCs w:val="24"/>
        </w:rPr>
        <w:t>ha</w:t>
      </w:r>
      <w:r w:rsidR="006D282B">
        <w:rPr>
          <w:rFonts w:ascii="Times New Roman" w:hAnsi="Times New Roman"/>
          <w:sz w:val="24"/>
          <w:szCs w:val="24"/>
        </w:rPr>
        <w:t>ve</w:t>
      </w:r>
      <w:r w:rsidR="00674786">
        <w:rPr>
          <w:rFonts w:ascii="Times New Roman" w:hAnsi="Times New Roman"/>
          <w:sz w:val="24"/>
          <w:szCs w:val="24"/>
        </w:rPr>
        <w:t xml:space="preserve"> access to detailed information about land sales</w:t>
      </w:r>
      <w:r w:rsidR="006D282B">
        <w:rPr>
          <w:rFonts w:ascii="Times New Roman" w:hAnsi="Times New Roman"/>
          <w:sz w:val="24"/>
          <w:szCs w:val="24"/>
        </w:rPr>
        <w:t xml:space="preserve"> in New Zealand</w:t>
      </w:r>
      <w:r w:rsidR="005965C4">
        <w:rPr>
          <w:rFonts w:ascii="Times New Roman" w:hAnsi="Times New Roman"/>
          <w:sz w:val="24"/>
          <w:szCs w:val="24"/>
        </w:rPr>
        <w:t xml:space="preserve">.  </w:t>
      </w:r>
      <w:r w:rsidR="00674786">
        <w:rPr>
          <w:rFonts w:ascii="Times New Roman" w:hAnsi="Times New Roman"/>
          <w:sz w:val="24"/>
          <w:szCs w:val="24"/>
        </w:rPr>
        <w:t>Information</w:t>
      </w:r>
      <w:r w:rsidR="00674786" w:rsidRPr="00A959BE">
        <w:rPr>
          <w:rFonts w:ascii="Times New Roman" w:hAnsi="Times New Roman"/>
          <w:sz w:val="24"/>
          <w:szCs w:val="24"/>
        </w:rPr>
        <w:t xml:space="preserve"> collection measures in</w:t>
      </w:r>
      <w:r w:rsidR="00674786" w:rsidRPr="00DD63AB">
        <w:rPr>
          <w:rFonts w:ascii="Times New Roman" w:hAnsi="Times New Roman"/>
          <w:sz w:val="24"/>
          <w:szCs w:val="24"/>
        </w:rPr>
        <w:t xml:space="preserve">troduced </w:t>
      </w:r>
      <w:r w:rsidR="00674786" w:rsidRPr="00DD63AB">
        <w:rPr>
          <w:rFonts w:ascii="Times New Roman" w:hAnsi="Times New Roman"/>
          <w:sz w:val="24"/>
          <w:szCs w:val="24"/>
          <w:lang w:val="en-NZ"/>
        </w:rPr>
        <w:t>in the Land Transfer Amendment Act 2015 and the Tax Administration Amendment Act 2015 will provide more useful information to Inland Revenue about land sales in the future</w:t>
      </w:r>
      <w:r w:rsidR="005965C4">
        <w:rPr>
          <w:rFonts w:ascii="Times New Roman" w:hAnsi="Times New Roman"/>
          <w:sz w:val="24"/>
          <w:szCs w:val="24"/>
          <w:lang w:val="en-NZ"/>
        </w:rPr>
        <w:t xml:space="preserve">.  </w:t>
      </w:r>
      <w:r w:rsidR="00674786">
        <w:rPr>
          <w:rFonts w:ascii="Times New Roman" w:hAnsi="Times New Roman"/>
          <w:sz w:val="24"/>
          <w:szCs w:val="24"/>
          <w:lang w:val="en-NZ"/>
        </w:rPr>
        <w:t xml:space="preserve">However, </w:t>
      </w:r>
      <w:r w:rsidR="00EA46A3">
        <w:rPr>
          <w:rFonts w:ascii="Times New Roman" w:hAnsi="Times New Roman"/>
          <w:sz w:val="24"/>
          <w:szCs w:val="24"/>
          <w:lang w:val="en-NZ"/>
        </w:rPr>
        <w:t xml:space="preserve">in order to be able to </w:t>
      </w:r>
      <w:r w:rsidR="00636DED">
        <w:rPr>
          <w:rFonts w:ascii="Times New Roman" w:hAnsi="Times New Roman"/>
          <w:sz w:val="24"/>
          <w:szCs w:val="24"/>
          <w:lang w:val="en-NZ"/>
        </w:rPr>
        <w:t xml:space="preserve">understand characteristics of and patterns surrounding residential land sales, </w:t>
      </w:r>
      <w:r w:rsidR="005965C4">
        <w:rPr>
          <w:rFonts w:ascii="Times New Roman" w:hAnsi="Times New Roman"/>
          <w:sz w:val="24"/>
          <w:szCs w:val="24"/>
          <w:lang w:val="en-NZ"/>
        </w:rPr>
        <w:t>for example</w:t>
      </w:r>
      <w:r w:rsidR="006D282B">
        <w:rPr>
          <w:rFonts w:ascii="Times New Roman" w:hAnsi="Times New Roman"/>
          <w:sz w:val="24"/>
          <w:szCs w:val="24"/>
          <w:lang w:val="en-NZ"/>
        </w:rPr>
        <w:t>, the country of residence of th</w:t>
      </w:r>
      <w:r w:rsidR="00946B63">
        <w:rPr>
          <w:rFonts w:ascii="Times New Roman" w:hAnsi="Times New Roman"/>
          <w:sz w:val="24"/>
          <w:szCs w:val="24"/>
          <w:lang w:val="en-NZ"/>
        </w:rPr>
        <w:t>ose involved,</w:t>
      </w:r>
      <w:r w:rsidR="006D282B">
        <w:rPr>
          <w:rFonts w:ascii="Times New Roman" w:hAnsi="Times New Roman"/>
          <w:sz w:val="24"/>
          <w:szCs w:val="24"/>
          <w:lang w:val="en-NZ"/>
        </w:rPr>
        <w:t xml:space="preserve"> the </w:t>
      </w:r>
      <w:r w:rsidR="00636DED">
        <w:rPr>
          <w:rFonts w:ascii="Times New Roman" w:hAnsi="Times New Roman"/>
          <w:sz w:val="24"/>
          <w:szCs w:val="24"/>
          <w:lang w:val="en-NZ"/>
        </w:rPr>
        <w:t>data over the medium term will need to be evaluated to ensure effective targeting</w:t>
      </w:r>
      <w:r w:rsidR="005965C4">
        <w:rPr>
          <w:rFonts w:ascii="Times New Roman" w:hAnsi="Times New Roman"/>
          <w:sz w:val="24"/>
          <w:szCs w:val="24"/>
          <w:lang w:val="en-NZ"/>
        </w:rPr>
        <w:t xml:space="preserve">. </w:t>
      </w:r>
    </w:p>
    <w:p w:rsidR="006F2EE7" w:rsidRDefault="006F2EE7">
      <w:pPr>
        <w:pStyle w:val="ListParagraph"/>
        <w:rPr>
          <w:rFonts w:ascii="Times New Roman" w:hAnsi="Times New Roman"/>
          <w:sz w:val="24"/>
          <w:szCs w:val="24"/>
        </w:rPr>
      </w:pPr>
    </w:p>
    <w:p w:rsidR="006F2EE7" w:rsidRDefault="00083BAB"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In addition, t</w:t>
      </w:r>
      <w:r w:rsidR="008931EC">
        <w:rPr>
          <w:rFonts w:ascii="Times New Roman" w:hAnsi="Times New Roman"/>
          <w:sz w:val="24"/>
          <w:szCs w:val="24"/>
        </w:rPr>
        <w:t>he success of this option is de</w:t>
      </w:r>
      <w:r w:rsidR="006E15EA">
        <w:rPr>
          <w:rFonts w:ascii="Times New Roman" w:hAnsi="Times New Roman"/>
          <w:sz w:val="24"/>
          <w:szCs w:val="24"/>
        </w:rPr>
        <w:t>pendent on</w:t>
      </w:r>
      <w:r>
        <w:rPr>
          <w:rFonts w:ascii="Times New Roman" w:hAnsi="Times New Roman"/>
          <w:sz w:val="24"/>
          <w:szCs w:val="24"/>
        </w:rPr>
        <w:t xml:space="preserve"> another</w:t>
      </w:r>
      <w:r w:rsidR="006E15EA">
        <w:rPr>
          <w:rFonts w:ascii="Times New Roman" w:hAnsi="Times New Roman"/>
          <w:sz w:val="24"/>
          <w:szCs w:val="24"/>
        </w:rPr>
        <w:t xml:space="preserve"> major assumption</w:t>
      </w:r>
      <w:r w:rsidR="005965C4">
        <w:rPr>
          <w:rFonts w:ascii="Times New Roman" w:hAnsi="Times New Roman"/>
          <w:sz w:val="24"/>
          <w:szCs w:val="24"/>
        </w:rPr>
        <w:t xml:space="preserve"> </w:t>
      </w:r>
      <w:r w:rsidR="000912A0">
        <w:rPr>
          <w:rFonts w:ascii="Times New Roman" w:hAnsi="Times New Roman"/>
          <w:sz w:val="24"/>
          <w:szCs w:val="24"/>
        </w:rPr>
        <w:t>–</w:t>
      </w:r>
      <w:r w:rsidR="008931EC">
        <w:rPr>
          <w:rFonts w:ascii="Times New Roman" w:hAnsi="Times New Roman"/>
          <w:sz w:val="24"/>
          <w:szCs w:val="24"/>
        </w:rPr>
        <w:t xml:space="preserve"> </w:t>
      </w:r>
      <w:proofErr w:type="gramStart"/>
      <w:r w:rsidR="008931EC">
        <w:rPr>
          <w:rFonts w:ascii="Times New Roman" w:hAnsi="Times New Roman"/>
          <w:sz w:val="24"/>
          <w:szCs w:val="24"/>
        </w:rPr>
        <w:t>that</w:t>
      </w:r>
      <w:proofErr w:type="gramEnd"/>
      <w:r w:rsidR="008931EC">
        <w:rPr>
          <w:rFonts w:ascii="Times New Roman" w:hAnsi="Times New Roman"/>
          <w:sz w:val="24"/>
          <w:szCs w:val="24"/>
        </w:rPr>
        <w:t xml:space="preserve"> non-compliance with the </w:t>
      </w:r>
      <w:r w:rsidR="00815E91">
        <w:rPr>
          <w:rFonts w:ascii="Times New Roman" w:hAnsi="Times New Roman"/>
          <w:sz w:val="24"/>
          <w:szCs w:val="24"/>
        </w:rPr>
        <w:t xml:space="preserve">proposed </w:t>
      </w:r>
      <w:r w:rsidR="008931EC">
        <w:rPr>
          <w:rFonts w:ascii="Times New Roman" w:hAnsi="Times New Roman"/>
          <w:sz w:val="24"/>
          <w:szCs w:val="24"/>
        </w:rPr>
        <w:t xml:space="preserve">bright-line test </w:t>
      </w:r>
      <w:r w:rsidR="006E15EA">
        <w:rPr>
          <w:rFonts w:ascii="Times New Roman" w:hAnsi="Times New Roman"/>
          <w:sz w:val="24"/>
          <w:szCs w:val="24"/>
        </w:rPr>
        <w:t>will arise</w:t>
      </w:r>
      <w:r w:rsidR="008931EC">
        <w:rPr>
          <w:rFonts w:ascii="Times New Roman" w:hAnsi="Times New Roman"/>
          <w:sz w:val="24"/>
          <w:szCs w:val="24"/>
        </w:rPr>
        <w:t xml:space="preserve"> from a lack of information and knowledge about the tax implications </w:t>
      </w:r>
      <w:r w:rsidR="009C4DB1">
        <w:rPr>
          <w:rFonts w:ascii="Times New Roman" w:hAnsi="Times New Roman"/>
          <w:sz w:val="24"/>
          <w:szCs w:val="24"/>
        </w:rPr>
        <w:t>of sales of residential land</w:t>
      </w:r>
      <w:r w:rsidR="005965C4">
        <w:rPr>
          <w:rFonts w:ascii="Times New Roman" w:hAnsi="Times New Roman"/>
          <w:sz w:val="24"/>
          <w:szCs w:val="24"/>
        </w:rPr>
        <w:t xml:space="preserve">.  </w:t>
      </w:r>
      <w:r w:rsidR="009C4DB1">
        <w:rPr>
          <w:rFonts w:ascii="Times New Roman" w:hAnsi="Times New Roman"/>
          <w:sz w:val="24"/>
          <w:szCs w:val="24"/>
        </w:rPr>
        <w:t xml:space="preserve">There </w:t>
      </w:r>
      <w:r w:rsidR="006E15EA">
        <w:rPr>
          <w:rFonts w:ascii="Times New Roman" w:hAnsi="Times New Roman"/>
          <w:sz w:val="24"/>
          <w:szCs w:val="24"/>
        </w:rPr>
        <w:t>will</w:t>
      </w:r>
      <w:r w:rsidR="009C4DB1">
        <w:rPr>
          <w:rFonts w:ascii="Times New Roman" w:hAnsi="Times New Roman"/>
          <w:sz w:val="24"/>
          <w:szCs w:val="24"/>
        </w:rPr>
        <w:t xml:space="preserve"> be instances where </w:t>
      </w:r>
      <w:r w:rsidR="006E15EA">
        <w:rPr>
          <w:rFonts w:ascii="Times New Roman" w:hAnsi="Times New Roman"/>
          <w:sz w:val="24"/>
          <w:szCs w:val="24"/>
        </w:rPr>
        <w:t>an improved understanding of the tax rules and one’s tax obligations in relation to a particular transaction may lead to higher levels of compliance</w:t>
      </w:r>
      <w:r w:rsidR="005965C4">
        <w:rPr>
          <w:rFonts w:ascii="Times New Roman" w:hAnsi="Times New Roman"/>
          <w:sz w:val="24"/>
          <w:szCs w:val="24"/>
        </w:rPr>
        <w:t xml:space="preserve">.  </w:t>
      </w:r>
      <w:r w:rsidR="006E15EA">
        <w:rPr>
          <w:rFonts w:ascii="Times New Roman" w:hAnsi="Times New Roman"/>
          <w:sz w:val="24"/>
          <w:szCs w:val="24"/>
        </w:rPr>
        <w:t xml:space="preserve">However, there will be taxpayers who, regardless of their level of knowledge, will </w:t>
      </w:r>
      <w:r w:rsidR="00443039">
        <w:rPr>
          <w:rFonts w:ascii="Times New Roman" w:hAnsi="Times New Roman"/>
          <w:sz w:val="24"/>
          <w:szCs w:val="24"/>
        </w:rPr>
        <w:t>not voluntarily comply with their tax obligations</w:t>
      </w:r>
      <w:r w:rsidR="005965C4">
        <w:rPr>
          <w:rFonts w:ascii="Times New Roman" w:hAnsi="Times New Roman"/>
          <w:sz w:val="24"/>
          <w:szCs w:val="24"/>
        </w:rPr>
        <w:t xml:space="preserve">.  </w:t>
      </w:r>
    </w:p>
    <w:p w:rsidR="00636DED" w:rsidRDefault="00636DED" w:rsidP="006C19A4">
      <w:pPr>
        <w:pStyle w:val="Bullet-list"/>
        <w:spacing w:after="0" w:line="240" w:lineRule="auto"/>
        <w:ind w:left="0" w:firstLine="0"/>
        <w:jc w:val="both"/>
        <w:rPr>
          <w:rFonts w:ascii="Times New Roman" w:hAnsi="Times New Roman"/>
          <w:sz w:val="24"/>
          <w:szCs w:val="24"/>
        </w:rPr>
      </w:pPr>
    </w:p>
    <w:p w:rsidR="00A22AC0" w:rsidRPr="006C19A4" w:rsidRDefault="00443039"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As noted in option 1,</w:t>
      </w:r>
      <w:r w:rsidR="00A22AC0">
        <w:rPr>
          <w:rFonts w:ascii="Times New Roman" w:hAnsi="Times New Roman"/>
          <w:sz w:val="24"/>
          <w:szCs w:val="24"/>
        </w:rPr>
        <w:t xml:space="preserve"> </w:t>
      </w:r>
      <w:r w:rsidR="00FB453A">
        <w:rPr>
          <w:rFonts w:ascii="Times New Roman" w:hAnsi="Times New Roman"/>
          <w:sz w:val="24"/>
          <w:szCs w:val="24"/>
        </w:rPr>
        <w:t>the Commissioner’s standard</w:t>
      </w:r>
      <w:r w:rsidR="00FB453A" w:rsidRPr="001467A9">
        <w:rPr>
          <w:rFonts w:ascii="Times New Roman" w:hAnsi="Times New Roman"/>
          <w:sz w:val="24"/>
          <w:szCs w:val="24"/>
        </w:rPr>
        <w:t xml:space="preserve"> </w:t>
      </w:r>
      <w:r w:rsidR="00FB453A" w:rsidRPr="009008DB">
        <w:rPr>
          <w:rFonts w:ascii="Times New Roman" w:hAnsi="Times New Roman"/>
          <w:sz w:val="24"/>
          <w:szCs w:val="24"/>
        </w:rPr>
        <w:t>tools for collection and enforcement in relation to general income tax liabilities are not always practical where the taxpayer has limite</w:t>
      </w:r>
      <w:r w:rsidR="00FB453A">
        <w:rPr>
          <w:rFonts w:ascii="Times New Roman" w:hAnsi="Times New Roman"/>
          <w:sz w:val="24"/>
          <w:szCs w:val="24"/>
        </w:rPr>
        <w:t>d or no presence in New Zealand</w:t>
      </w:r>
      <w:r w:rsidR="005965C4">
        <w:rPr>
          <w:rFonts w:ascii="Times New Roman" w:hAnsi="Times New Roman"/>
          <w:sz w:val="24"/>
          <w:szCs w:val="24"/>
        </w:rPr>
        <w:t xml:space="preserve">.  </w:t>
      </w:r>
      <w:r w:rsidR="00FB453A">
        <w:rPr>
          <w:rFonts w:ascii="Times New Roman" w:hAnsi="Times New Roman"/>
          <w:sz w:val="24"/>
          <w:szCs w:val="24"/>
        </w:rPr>
        <w:t>As a result,</w:t>
      </w:r>
      <w:r w:rsidR="00FB453A" w:rsidRPr="009008DB">
        <w:rPr>
          <w:rFonts w:ascii="Times New Roman" w:hAnsi="Times New Roman"/>
          <w:sz w:val="24"/>
          <w:szCs w:val="24"/>
        </w:rPr>
        <w:t xml:space="preserve"> </w:t>
      </w:r>
      <w:r w:rsidR="00FB453A">
        <w:rPr>
          <w:rFonts w:ascii="Times New Roman" w:hAnsi="Times New Roman"/>
          <w:sz w:val="24"/>
          <w:szCs w:val="24"/>
        </w:rPr>
        <w:t xml:space="preserve">withholding taxes are commonly imposed </w:t>
      </w:r>
      <w:r w:rsidR="005965C4">
        <w:rPr>
          <w:rFonts w:ascii="Times New Roman" w:hAnsi="Times New Roman"/>
          <w:sz w:val="24"/>
          <w:szCs w:val="24"/>
        </w:rPr>
        <w:t xml:space="preserve">in other situations </w:t>
      </w:r>
      <w:r w:rsidR="00FB453A">
        <w:rPr>
          <w:rFonts w:ascii="Times New Roman" w:hAnsi="Times New Roman"/>
          <w:sz w:val="24"/>
          <w:szCs w:val="24"/>
        </w:rPr>
        <w:t xml:space="preserve">where </w:t>
      </w:r>
      <w:r w:rsidR="0077032B" w:rsidRPr="00A22AC0">
        <w:rPr>
          <w:rFonts w:ascii="Times New Roman" w:hAnsi="Times New Roman"/>
          <w:sz w:val="24"/>
          <w:szCs w:val="24"/>
          <w:lang w:val="en-NZ"/>
        </w:rPr>
        <w:t>there is the possibility of unenforceability or evasion of a tax liability, before the payee receives the income</w:t>
      </w:r>
      <w:r w:rsidR="005965C4">
        <w:rPr>
          <w:rFonts w:ascii="Times New Roman" w:hAnsi="Times New Roman"/>
          <w:sz w:val="24"/>
          <w:szCs w:val="24"/>
          <w:lang w:val="en-NZ"/>
        </w:rPr>
        <w:t xml:space="preserve">.  </w:t>
      </w:r>
      <w:r w:rsidR="0077032B" w:rsidRPr="001467A9">
        <w:rPr>
          <w:rFonts w:ascii="Times New Roman" w:hAnsi="Times New Roman"/>
          <w:sz w:val="24"/>
          <w:szCs w:val="24"/>
        </w:rPr>
        <w:t>Withholding taxes are important in these situations because they ensure that the relevant tax is paid out of the amount due to the payee before the payee gets control of the funds</w:t>
      </w:r>
      <w:r w:rsidR="005965C4">
        <w:rPr>
          <w:rFonts w:ascii="Times New Roman" w:hAnsi="Times New Roman"/>
          <w:sz w:val="24"/>
          <w:szCs w:val="24"/>
        </w:rPr>
        <w:t xml:space="preserve">.  </w:t>
      </w:r>
      <w:r w:rsidR="001467A9" w:rsidRPr="00CA5F20">
        <w:rPr>
          <w:rFonts w:ascii="Times New Roman" w:hAnsi="Times New Roman"/>
          <w:sz w:val="24"/>
          <w:szCs w:val="24"/>
        </w:rPr>
        <w:t xml:space="preserve">This is discussed in further detail in the section titled </w:t>
      </w:r>
      <w:r w:rsidR="001467A9" w:rsidRPr="00CA5F20">
        <w:rPr>
          <w:rFonts w:ascii="Times New Roman" w:hAnsi="Times New Roman"/>
          <w:i/>
          <w:sz w:val="24"/>
          <w:szCs w:val="24"/>
        </w:rPr>
        <w:t>Status quo and problem definition</w:t>
      </w:r>
      <w:r w:rsidR="005965C4">
        <w:rPr>
          <w:rFonts w:ascii="Times New Roman" w:hAnsi="Times New Roman"/>
          <w:sz w:val="24"/>
          <w:szCs w:val="24"/>
        </w:rPr>
        <w:t xml:space="preserve">.  </w:t>
      </w:r>
      <w:r w:rsidR="001467A9" w:rsidRPr="001467A9">
        <w:rPr>
          <w:rFonts w:ascii="Times New Roman" w:hAnsi="Times New Roman"/>
          <w:sz w:val="24"/>
          <w:szCs w:val="24"/>
        </w:rPr>
        <w:t>However, in the cas</w:t>
      </w:r>
      <w:r w:rsidR="001467A9" w:rsidRPr="00CA5F20">
        <w:rPr>
          <w:rFonts w:ascii="Times New Roman" w:hAnsi="Times New Roman"/>
          <w:sz w:val="24"/>
          <w:szCs w:val="24"/>
        </w:rPr>
        <w:t>e of residential property sales, the Commissioner’s current tools for collection and enforcement do not include a withholding tax</w:t>
      </w:r>
      <w:r w:rsidR="005965C4">
        <w:rPr>
          <w:rFonts w:ascii="Times New Roman" w:hAnsi="Times New Roman"/>
          <w:sz w:val="24"/>
          <w:szCs w:val="24"/>
        </w:rPr>
        <w:t xml:space="preserve">.  </w:t>
      </w:r>
    </w:p>
    <w:p w:rsidR="00A22AC0" w:rsidRPr="001467A9" w:rsidRDefault="00A22AC0" w:rsidP="006C19A4">
      <w:pPr>
        <w:pStyle w:val="Bullet-list"/>
        <w:spacing w:after="0" w:line="240" w:lineRule="auto"/>
        <w:ind w:left="0" w:firstLine="0"/>
        <w:jc w:val="both"/>
        <w:rPr>
          <w:rFonts w:ascii="Times New Roman" w:hAnsi="Times New Roman"/>
          <w:sz w:val="24"/>
          <w:szCs w:val="24"/>
        </w:rPr>
      </w:pPr>
    </w:p>
    <w:p w:rsidR="008931EC" w:rsidRPr="00DA7EAA" w:rsidRDefault="008931EC"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Option 2 is</w:t>
      </w:r>
      <w:r w:rsidR="00393C90">
        <w:rPr>
          <w:rFonts w:ascii="Times New Roman" w:hAnsi="Times New Roman"/>
          <w:sz w:val="24"/>
          <w:szCs w:val="24"/>
        </w:rPr>
        <w:t xml:space="preserve"> </w:t>
      </w:r>
      <w:r>
        <w:rPr>
          <w:rFonts w:ascii="Times New Roman" w:hAnsi="Times New Roman"/>
          <w:sz w:val="24"/>
          <w:szCs w:val="24"/>
        </w:rPr>
        <w:t>not preferred</w:t>
      </w:r>
      <w:r w:rsidR="005965C4">
        <w:rPr>
          <w:rFonts w:ascii="Times New Roman" w:hAnsi="Times New Roman"/>
          <w:sz w:val="24"/>
          <w:szCs w:val="24"/>
        </w:rPr>
        <w:t xml:space="preserve">.  </w:t>
      </w:r>
      <w:r w:rsidR="009008DB">
        <w:rPr>
          <w:rFonts w:ascii="Times New Roman" w:hAnsi="Times New Roman"/>
          <w:sz w:val="24"/>
          <w:szCs w:val="24"/>
        </w:rPr>
        <w:t xml:space="preserve">As noted in option 1, </w:t>
      </w:r>
      <w:r w:rsidR="00815E91">
        <w:rPr>
          <w:rFonts w:ascii="Times New Roman" w:hAnsi="Times New Roman"/>
          <w:sz w:val="24"/>
          <w:szCs w:val="24"/>
        </w:rPr>
        <w:t xml:space="preserve">the absence of </w:t>
      </w:r>
      <w:r w:rsidR="009008DB">
        <w:rPr>
          <w:rFonts w:ascii="Times New Roman" w:hAnsi="Times New Roman"/>
          <w:sz w:val="24"/>
          <w:szCs w:val="24"/>
        </w:rPr>
        <w:t>a withholding tax would make the tax system less coherent as a whole given that withholding taxes are required in relation to other forms of income in similar circumstances (that is, where a payee is likely to have a tax liability and where there may be enforceability or evasion concerns)</w:t>
      </w:r>
      <w:r w:rsidR="005965C4">
        <w:rPr>
          <w:rFonts w:ascii="Times New Roman" w:hAnsi="Times New Roman"/>
          <w:sz w:val="24"/>
          <w:szCs w:val="24"/>
        </w:rPr>
        <w:t xml:space="preserve">.  </w:t>
      </w:r>
      <w:r w:rsidR="009008DB">
        <w:rPr>
          <w:rFonts w:ascii="Times New Roman" w:hAnsi="Times New Roman"/>
          <w:sz w:val="24"/>
          <w:szCs w:val="24"/>
        </w:rPr>
        <w:t xml:space="preserve">Further, </w:t>
      </w:r>
      <w:r>
        <w:rPr>
          <w:rFonts w:ascii="Times New Roman" w:hAnsi="Times New Roman"/>
          <w:sz w:val="24"/>
          <w:szCs w:val="24"/>
        </w:rPr>
        <w:t xml:space="preserve">while </w:t>
      </w:r>
      <w:r w:rsidR="00815E91">
        <w:rPr>
          <w:rFonts w:ascii="Times New Roman" w:hAnsi="Times New Roman"/>
          <w:sz w:val="24"/>
          <w:szCs w:val="24"/>
        </w:rPr>
        <w:t xml:space="preserve">option 2 </w:t>
      </w:r>
      <w:r>
        <w:rPr>
          <w:rFonts w:ascii="Times New Roman" w:hAnsi="Times New Roman"/>
          <w:sz w:val="24"/>
          <w:szCs w:val="24"/>
        </w:rPr>
        <w:t xml:space="preserve">may assist in increasing taxpayers’ </w:t>
      </w:r>
      <w:r w:rsidR="00551606">
        <w:rPr>
          <w:rFonts w:ascii="Times New Roman" w:hAnsi="Times New Roman"/>
          <w:sz w:val="24"/>
          <w:szCs w:val="24"/>
        </w:rPr>
        <w:t>awareness and understanding</w:t>
      </w:r>
      <w:r>
        <w:rPr>
          <w:rFonts w:ascii="Times New Roman" w:hAnsi="Times New Roman"/>
          <w:sz w:val="24"/>
          <w:szCs w:val="24"/>
        </w:rPr>
        <w:t xml:space="preserve"> of their tax obligations in relation to resi</w:t>
      </w:r>
      <w:r w:rsidR="00443039">
        <w:rPr>
          <w:rFonts w:ascii="Times New Roman" w:hAnsi="Times New Roman"/>
          <w:sz w:val="24"/>
          <w:szCs w:val="24"/>
        </w:rPr>
        <w:t xml:space="preserve">dential property sales, it will not </w:t>
      </w:r>
      <w:r w:rsidR="00DA7EAA">
        <w:rPr>
          <w:rFonts w:ascii="Times New Roman" w:hAnsi="Times New Roman"/>
          <w:sz w:val="24"/>
          <w:szCs w:val="24"/>
        </w:rPr>
        <w:t>increase compliance with the</w:t>
      </w:r>
      <w:r w:rsidR="00443039">
        <w:rPr>
          <w:rFonts w:ascii="Times New Roman" w:hAnsi="Times New Roman"/>
          <w:sz w:val="24"/>
          <w:szCs w:val="24"/>
        </w:rPr>
        <w:t xml:space="preserve"> </w:t>
      </w:r>
      <w:r w:rsidR="00815E91">
        <w:rPr>
          <w:rFonts w:ascii="Times New Roman" w:hAnsi="Times New Roman"/>
          <w:sz w:val="24"/>
          <w:szCs w:val="24"/>
        </w:rPr>
        <w:t xml:space="preserve">proposed </w:t>
      </w:r>
      <w:r w:rsidR="00443039">
        <w:rPr>
          <w:rFonts w:ascii="Times New Roman" w:hAnsi="Times New Roman"/>
          <w:sz w:val="24"/>
          <w:szCs w:val="24"/>
        </w:rPr>
        <w:t xml:space="preserve">bright-line </w:t>
      </w:r>
      <w:r w:rsidR="003D06B5">
        <w:rPr>
          <w:rFonts w:ascii="Times New Roman" w:hAnsi="Times New Roman"/>
          <w:sz w:val="24"/>
          <w:szCs w:val="24"/>
        </w:rPr>
        <w:t xml:space="preserve">test in instances where voluntary compliance is </w:t>
      </w:r>
      <w:r w:rsidR="00CC3DC5">
        <w:rPr>
          <w:rFonts w:ascii="Times New Roman" w:hAnsi="Times New Roman"/>
          <w:sz w:val="24"/>
          <w:szCs w:val="24"/>
        </w:rPr>
        <w:t xml:space="preserve">unlikely to occur </w:t>
      </w:r>
      <w:r w:rsidR="006721D1">
        <w:rPr>
          <w:rFonts w:ascii="Times New Roman" w:hAnsi="Times New Roman"/>
          <w:sz w:val="24"/>
          <w:szCs w:val="24"/>
        </w:rPr>
        <w:t>regardless of the extent of taxpayer education</w:t>
      </w:r>
      <w:r w:rsidR="005965C4">
        <w:rPr>
          <w:rFonts w:ascii="Times New Roman" w:hAnsi="Times New Roman"/>
          <w:sz w:val="24"/>
          <w:szCs w:val="24"/>
        </w:rPr>
        <w:t xml:space="preserve">.  </w:t>
      </w:r>
      <w:r w:rsidR="00815E91">
        <w:rPr>
          <w:rFonts w:ascii="Times New Roman" w:hAnsi="Times New Roman"/>
          <w:sz w:val="24"/>
          <w:szCs w:val="24"/>
        </w:rPr>
        <w:t xml:space="preserve">It </w:t>
      </w:r>
      <w:r w:rsidR="00DA7EAA">
        <w:rPr>
          <w:rFonts w:ascii="Times New Roman" w:hAnsi="Times New Roman"/>
          <w:sz w:val="24"/>
          <w:szCs w:val="24"/>
        </w:rPr>
        <w:t xml:space="preserve">would </w:t>
      </w:r>
      <w:r w:rsidR="00815E91">
        <w:rPr>
          <w:rFonts w:ascii="Times New Roman" w:hAnsi="Times New Roman"/>
          <w:sz w:val="24"/>
          <w:szCs w:val="24"/>
        </w:rPr>
        <w:t xml:space="preserve">also </w:t>
      </w:r>
      <w:r w:rsidR="00DA7EAA">
        <w:rPr>
          <w:rFonts w:ascii="Times New Roman" w:hAnsi="Times New Roman"/>
          <w:sz w:val="24"/>
          <w:szCs w:val="24"/>
        </w:rPr>
        <w:t>require the use of Inland Revenue resources to implement</w:t>
      </w:r>
      <w:r w:rsidR="005965C4">
        <w:rPr>
          <w:rFonts w:ascii="Times New Roman" w:hAnsi="Times New Roman"/>
          <w:sz w:val="24"/>
          <w:szCs w:val="24"/>
        </w:rPr>
        <w:t xml:space="preserve">.  </w:t>
      </w:r>
    </w:p>
    <w:p w:rsidR="00F777E4" w:rsidRDefault="00F777E4" w:rsidP="006C19A4">
      <w:pPr>
        <w:pStyle w:val="Bullet-list"/>
        <w:spacing w:after="0" w:line="240" w:lineRule="auto"/>
        <w:ind w:left="0" w:firstLine="0"/>
        <w:jc w:val="both"/>
        <w:rPr>
          <w:rFonts w:ascii="Times New Roman" w:hAnsi="Times New Roman"/>
          <w:b/>
          <w:sz w:val="24"/>
          <w:szCs w:val="24"/>
        </w:rPr>
      </w:pPr>
    </w:p>
    <w:p w:rsidR="00F777E4" w:rsidRDefault="00231AEE" w:rsidP="006C19A4">
      <w:pPr>
        <w:pStyle w:val="Bullet-list"/>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Option 3: status quo, but assess </w:t>
      </w:r>
      <w:r w:rsidR="00AF7665">
        <w:rPr>
          <w:rFonts w:ascii="Times New Roman" w:hAnsi="Times New Roman"/>
          <w:b/>
          <w:sz w:val="24"/>
          <w:szCs w:val="24"/>
        </w:rPr>
        <w:t xml:space="preserve">levels of </w:t>
      </w:r>
      <w:r w:rsidR="00F777E4">
        <w:rPr>
          <w:rFonts w:ascii="Times New Roman" w:hAnsi="Times New Roman"/>
          <w:b/>
          <w:sz w:val="24"/>
          <w:szCs w:val="24"/>
        </w:rPr>
        <w:t>compliance with the bright-line test in t</w:t>
      </w:r>
      <w:r w:rsidR="00C53549">
        <w:rPr>
          <w:rFonts w:ascii="Times New Roman" w:hAnsi="Times New Roman"/>
          <w:b/>
          <w:sz w:val="24"/>
          <w:szCs w:val="24"/>
        </w:rPr>
        <w:t>hree to four</w:t>
      </w:r>
      <w:r w:rsidR="00F777E4">
        <w:rPr>
          <w:rFonts w:ascii="Times New Roman" w:hAnsi="Times New Roman"/>
          <w:b/>
          <w:sz w:val="24"/>
          <w:szCs w:val="24"/>
        </w:rPr>
        <w:t xml:space="preserve"> years</w:t>
      </w:r>
    </w:p>
    <w:p w:rsidR="008916F1" w:rsidRDefault="008916F1" w:rsidP="006C19A4">
      <w:pPr>
        <w:pStyle w:val="Bullet-list"/>
        <w:spacing w:after="0" w:line="240" w:lineRule="auto"/>
        <w:ind w:left="0" w:firstLine="0"/>
        <w:jc w:val="both"/>
        <w:rPr>
          <w:rFonts w:ascii="Times New Roman" w:hAnsi="Times New Roman"/>
          <w:b/>
          <w:sz w:val="24"/>
          <w:szCs w:val="24"/>
        </w:rPr>
      </w:pPr>
    </w:p>
    <w:p w:rsidR="0063259E" w:rsidRDefault="00AF7665"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This option is also similar to option 1 in that it</w:t>
      </w:r>
      <w:r w:rsidR="008916F1" w:rsidRPr="008916F1">
        <w:rPr>
          <w:rFonts w:ascii="Times New Roman" w:hAnsi="Times New Roman"/>
          <w:sz w:val="24"/>
          <w:szCs w:val="24"/>
        </w:rPr>
        <w:t xml:space="preserve"> </w:t>
      </w:r>
      <w:r>
        <w:rPr>
          <w:rFonts w:ascii="Times New Roman" w:hAnsi="Times New Roman"/>
          <w:sz w:val="24"/>
          <w:szCs w:val="24"/>
        </w:rPr>
        <w:t>relies on the Commissioner’s existing powers for collection and enforcement and the standard “business-as-usual” response to new legislation</w:t>
      </w:r>
      <w:r w:rsidR="00551606">
        <w:rPr>
          <w:rFonts w:ascii="Times New Roman" w:hAnsi="Times New Roman"/>
          <w:sz w:val="24"/>
          <w:szCs w:val="24"/>
        </w:rPr>
        <w:t xml:space="preserve">, but it also introduces an explicit requirement that the effectiveness of the </w:t>
      </w:r>
      <w:r w:rsidR="00815E91">
        <w:rPr>
          <w:rFonts w:ascii="Times New Roman" w:hAnsi="Times New Roman"/>
          <w:sz w:val="24"/>
          <w:szCs w:val="24"/>
        </w:rPr>
        <w:t xml:space="preserve">proposed </w:t>
      </w:r>
      <w:r w:rsidR="00551606">
        <w:rPr>
          <w:rFonts w:ascii="Times New Roman" w:hAnsi="Times New Roman"/>
          <w:sz w:val="24"/>
          <w:szCs w:val="24"/>
        </w:rPr>
        <w:t>bright-line test be reviewed in t</w:t>
      </w:r>
      <w:r w:rsidR="00C53549">
        <w:rPr>
          <w:rFonts w:ascii="Times New Roman" w:hAnsi="Times New Roman"/>
          <w:sz w:val="24"/>
          <w:szCs w:val="24"/>
        </w:rPr>
        <w:t xml:space="preserve">hree to four </w:t>
      </w:r>
      <w:r w:rsidR="00551606">
        <w:rPr>
          <w:rFonts w:ascii="Times New Roman" w:hAnsi="Times New Roman"/>
          <w:sz w:val="24"/>
          <w:szCs w:val="24"/>
        </w:rPr>
        <w:t>years</w:t>
      </w:r>
      <w:r w:rsidR="00C53549">
        <w:rPr>
          <w:rFonts w:ascii="Times New Roman" w:hAnsi="Times New Roman"/>
          <w:sz w:val="24"/>
          <w:szCs w:val="24"/>
        </w:rPr>
        <w:t xml:space="preserve"> (when it is expected that those</w:t>
      </w:r>
      <w:r w:rsidR="00C64E67">
        <w:rPr>
          <w:rFonts w:ascii="Times New Roman" w:hAnsi="Times New Roman"/>
          <w:sz w:val="24"/>
          <w:szCs w:val="24"/>
        </w:rPr>
        <w:t xml:space="preserve"> who</w:t>
      </w:r>
      <w:r w:rsidR="00C53549">
        <w:rPr>
          <w:rFonts w:ascii="Times New Roman" w:hAnsi="Times New Roman"/>
          <w:sz w:val="24"/>
          <w:szCs w:val="24"/>
        </w:rPr>
        <w:t xml:space="preserve"> purchased on 1 October 2015</w:t>
      </w:r>
      <w:r w:rsidR="00C64E67">
        <w:rPr>
          <w:rFonts w:ascii="Times New Roman" w:hAnsi="Times New Roman"/>
          <w:sz w:val="24"/>
          <w:szCs w:val="24"/>
        </w:rPr>
        <w:t xml:space="preserve"> or shortly after</w:t>
      </w:r>
      <w:r w:rsidR="001467A9">
        <w:rPr>
          <w:rFonts w:ascii="Times New Roman" w:hAnsi="Times New Roman"/>
          <w:sz w:val="24"/>
          <w:szCs w:val="24"/>
        </w:rPr>
        <w:t xml:space="preserve">, </w:t>
      </w:r>
      <w:r w:rsidR="00C53549">
        <w:rPr>
          <w:rFonts w:ascii="Times New Roman" w:hAnsi="Times New Roman"/>
          <w:sz w:val="24"/>
          <w:szCs w:val="24"/>
        </w:rPr>
        <w:t xml:space="preserve">and sold at </w:t>
      </w:r>
      <w:r w:rsidR="001467A9">
        <w:rPr>
          <w:rFonts w:ascii="Times New Roman" w:hAnsi="Times New Roman"/>
          <w:sz w:val="24"/>
          <w:szCs w:val="24"/>
        </w:rPr>
        <w:t xml:space="preserve">or prior to </w:t>
      </w:r>
      <w:r w:rsidR="00C53549">
        <w:rPr>
          <w:rFonts w:ascii="Times New Roman" w:hAnsi="Times New Roman"/>
          <w:sz w:val="24"/>
          <w:szCs w:val="24"/>
        </w:rPr>
        <w:t>the two</w:t>
      </w:r>
      <w:r w:rsidR="000F5290">
        <w:rPr>
          <w:rFonts w:ascii="Times New Roman" w:hAnsi="Times New Roman"/>
          <w:sz w:val="24"/>
          <w:szCs w:val="24"/>
        </w:rPr>
        <w:t>-</w:t>
      </w:r>
      <w:r w:rsidR="00C53549">
        <w:rPr>
          <w:rFonts w:ascii="Times New Roman" w:hAnsi="Times New Roman"/>
          <w:sz w:val="24"/>
          <w:szCs w:val="24"/>
        </w:rPr>
        <w:t>year mark</w:t>
      </w:r>
      <w:r w:rsidR="001467A9">
        <w:rPr>
          <w:rFonts w:ascii="Times New Roman" w:hAnsi="Times New Roman"/>
          <w:sz w:val="24"/>
          <w:szCs w:val="24"/>
        </w:rPr>
        <w:t>,</w:t>
      </w:r>
      <w:r w:rsidR="00C53549">
        <w:rPr>
          <w:rFonts w:ascii="Times New Roman" w:hAnsi="Times New Roman"/>
          <w:sz w:val="24"/>
          <w:szCs w:val="24"/>
        </w:rPr>
        <w:t xml:space="preserve"> to file their income tax return).</w:t>
      </w:r>
    </w:p>
    <w:p w:rsidR="0063259E" w:rsidRDefault="0063259E" w:rsidP="006C19A4">
      <w:pPr>
        <w:pStyle w:val="Bullet-list"/>
        <w:spacing w:after="0" w:line="240" w:lineRule="auto"/>
        <w:jc w:val="both"/>
        <w:rPr>
          <w:rFonts w:ascii="Times New Roman" w:hAnsi="Times New Roman"/>
          <w:sz w:val="24"/>
          <w:szCs w:val="24"/>
        </w:rPr>
      </w:pPr>
    </w:p>
    <w:p w:rsidR="008916F1" w:rsidRPr="0063259E" w:rsidRDefault="0063259E"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Some submissions on the officials’ issues paper </w:t>
      </w:r>
      <w:r>
        <w:rPr>
          <w:rFonts w:ascii="Times New Roman" w:hAnsi="Times New Roman"/>
          <w:i/>
          <w:sz w:val="24"/>
          <w:szCs w:val="24"/>
        </w:rPr>
        <w:t>Residential land withholding tax</w:t>
      </w:r>
      <w:r>
        <w:rPr>
          <w:rFonts w:ascii="Times New Roman" w:hAnsi="Times New Roman"/>
          <w:sz w:val="24"/>
          <w:szCs w:val="24"/>
        </w:rPr>
        <w:t xml:space="preserve"> expressed concern that until Inland Revenue has undergone its Business Transformation Programme, it would be unable implement an effective and efficient withholding tax</w:t>
      </w:r>
      <w:r w:rsidR="005965C4">
        <w:rPr>
          <w:rFonts w:ascii="Times New Roman" w:hAnsi="Times New Roman"/>
          <w:sz w:val="24"/>
          <w:szCs w:val="24"/>
        </w:rPr>
        <w:t xml:space="preserve">.  </w:t>
      </w:r>
      <w:r>
        <w:rPr>
          <w:rFonts w:ascii="Times New Roman" w:hAnsi="Times New Roman"/>
          <w:sz w:val="24"/>
          <w:szCs w:val="24"/>
        </w:rPr>
        <w:t xml:space="preserve">These submissions therefore recommended delaying the implementation of a withholding tax on </w:t>
      </w:r>
      <w:r w:rsidR="00815E91">
        <w:rPr>
          <w:rFonts w:ascii="Times New Roman" w:hAnsi="Times New Roman"/>
          <w:sz w:val="24"/>
          <w:szCs w:val="24"/>
        </w:rPr>
        <w:t xml:space="preserve">income derived from </w:t>
      </w:r>
      <w:r>
        <w:rPr>
          <w:rFonts w:ascii="Times New Roman" w:hAnsi="Times New Roman"/>
          <w:sz w:val="24"/>
          <w:szCs w:val="24"/>
        </w:rPr>
        <w:t>sales of residential property</w:t>
      </w:r>
      <w:r w:rsidR="00815E91">
        <w:rPr>
          <w:rFonts w:ascii="Times New Roman" w:hAnsi="Times New Roman"/>
          <w:sz w:val="24"/>
          <w:szCs w:val="24"/>
        </w:rPr>
        <w:t>,</w:t>
      </w:r>
      <w:r>
        <w:rPr>
          <w:rFonts w:ascii="Times New Roman" w:hAnsi="Times New Roman"/>
          <w:sz w:val="24"/>
          <w:szCs w:val="24"/>
        </w:rPr>
        <w:t xml:space="preserve"> and </w:t>
      </w:r>
      <w:r w:rsidR="005965C4">
        <w:rPr>
          <w:rFonts w:ascii="Times New Roman" w:hAnsi="Times New Roman"/>
          <w:sz w:val="24"/>
          <w:szCs w:val="24"/>
        </w:rPr>
        <w:t>Inland Revenue should first conduct</w:t>
      </w:r>
      <w:r>
        <w:rPr>
          <w:rFonts w:ascii="Times New Roman" w:hAnsi="Times New Roman"/>
          <w:sz w:val="24"/>
          <w:szCs w:val="24"/>
        </w:rPr>
        <w:t xml:space="preserve"> a review of the </w:t>
      </w:r>
      <w:r w:rsidR="00815E91">
        <w:rPr>
          <w:rFonts w:ascii="Times New Roman" w:hAnsi="Times New Roman"/>
          <w:sz w:val="24"/>
          <w:szCs w:val="24"/>
        </w:rPr>
        <w:t xml:space="preserve">effectiveness of the proposed </w:t>
      </w:r>
      <w:r>
        <w:rPr>
          <w:rFonts w:ascii="Times New Roman" w:hAnsi="Times New Roman"/>
          <w:sz w:val="24"/>
          <w:szCs w:val="24"/>
        </w:rPr>
        <w:t>bright-line test.</w:t>
      </w:r>
    </w:p>
    <w:p w:rsidR="00231AEE" w:rsidRDefault="00231AEE" w:rsidP="006C19A4">
      <w:pPr>
        <w:pStyle w:val="Bullet-list"/>
        <w:spacing w:after="0" w:line="240" w:lineRule="auto"/>
        <w:ind w:left="0" w:firstLine="0"/>
        <w:jc w:val="both"/>
        <w:rPr>
          <w:rFonts w:ascii="Times New Roman" w:hAnsi="Times New Roman"/>
          <w:sz w:val="24"/>
          <w:szCs w:val="24"/>
        </w:rPr>
      </w:pPr>
    </w:p>
    <w:p w:rsidR="00231AEE" w:rsidRPr="001C53D8" w:rsidRDefault="00231AEE"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review of the </w:t>
      </w:r>
      <w:r w:rsidR="001C53D8">
        <w:rPr>
          <w:rFonts w:ascii="Times New Roman" w:hAnsi="Times New Roman"/>
          <w:sz w:val="24"/>
          <w:szCs w:val="24"/>
        </w:rPr>
        <w:t xml:space="preserve">effectiveness of the </w:t>
      </w:r>
      <w:r w:rsidR="00815E91">
        <w:rPr>
          <w:rFonts w:ascii="Times New Roman" w:hAnsi="Times New Roman"/>
          <w:sz w:val="24"/>
          <w:szCs w:val="24"/>
        </w:rPr>
        <w:t xml:space="preserve">proposed </w:t>
      </w:r>
      <w:r>
        <w:rPr>
          <w:rFonts w:ascii="Times New Roman" w:hAnsi="Times New Roman"/>
          <w:sz w:val="24"/>
          <w:szCs w:val="24"/>
        </w:rPr>
        <w:t xml:space="preserve">bright-line test </w:t>
      </w:r>
      <w:r w:rsidR="0063259E">
        <w:rPr>
          <w:rFonts w:ascii="Times New Roman" w:hAnsi="Times New Roman"/>
          <w:sz w:val="24"/>
          <w:szCs w:val="24"/>
        </w:rPr>
        <w:t xml:space="preserve">under this option </w:t>
      </w:r>
      <w:r>
        <w:rPr>
          <w:rFonts w:ascii="Times New Roman" w:hAnsi="Times New Roman"/>
          <w:sz w:val="24"/>
          <w:szCs w:val="24"/>
        </w:rPr>
        <w:t xml:space="preserve">would involve analysing data on land sales collected under the new </w:t>
      </w:r>
      <w:r w:rsidRPr="005933EB">
        <w:rPr>
          <w:rFonts w:ascii="Times New Roman" w:hAnsi="Times New Roman"/>
          <w:sz w:val="24"/>
          <w:szCs w:val="24"/>
          <w:lang w:val="en-NZ"/>
        </w:rPr>
        <w:t>Land Transfer Amendment Act 2015 and the Tax Administration Amendment Act 2015</w:t>
      </w:r>
      <w:r w:rsidR="001C53D8">
        <w:rPr>
          <w:rFonts w:ascii="Times New Roman" w:hAnsi="Times New Roman"/>
          <w:sz w:val="24"/>
          <w:szCs w:val="24"/>
          <w:lang w:val="en-NZ"/>
        </w:rPr>
        <w:t xml:space="preserve"> and identifying areas of risk and non-compliance</w:t>
      </w:r>
      <w:r w:rsidR="005965C4">
        <w:rPr>
          <w:rFonts w:ascii="Times New Roman" w:hAnsi="Times New Roman"/>
          <w:sz w:val="24"/>
          <w:szCs w:val="24"/>
          <w:lang w:val="en-NZ"/>
        </w:rPr>
        <w:t xml:space="preserve">.  </w:t>
      </w:r>
      <w:r w:rsidR="001C53D8">
        <w:rPr>
          <w:rFonts w:ascii="Times New Roman" w:hAnsi="Times New Roman"/>
          <w:sz w:val="24"/>
          <w:szCs w:val="24"/>
          <w:lang w:val="en-NZ"/>
        </w:rPr>
        <w:t>Identification of specific areas of non-compliance would allow for better targeting of Inland Revenue’s resources.</w:t>
      </w:r>
    </w:p>
    <w:p w:rsidR="001C53D8" w:rsidRDefault="001C53D8">
      <w:pPr>
        <w:pStyle w:val="ListParagraph"/>
        <w:rPr>
          <w:rFonts w:ascii="Times New Roman" w:hAnsi="Times New Roman"/>
          <w:sz w:val="24"/>
          <w:szCs w:val="24"/>
        </w:rPr>
      </w:pPr>
    </w:p>
    <w:p w:rsidR="005E0307" w:rsidRPr="000047F2" w:rsidRDefault="001C53D8"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In addition</w:t>
      </w:r>
      <w:r w:rsidR="003F5193">
        <w:rPr>
          <w:rFonts w:ascii="Times New Roman" w:hAnsi="Times New Roman"/>
          <w:sz w:val="24"/>
          <w:szCs w:val="24"/>
        </w:rPr>
        <w:t>,</w:t>
      </w:r>
      <w:r w:rsidR="009225F9">
        <w:rPr>
          <w:rFonts w:ascii="Times New Roman" w:hAnsi="Times New Roman"/>
          <w:sz w:val="24"/>
          <w:szCs w:val="24"/>
        </w:rPr>
        <w:t xml:space="preserve"> the </w:t>
      </w:r>
      <w:r w:rsidR="001F02F3">
        <w:rPr>
          <w:rFonts w:ascii="Times New Roman" w:hAnsi="Times New Roman"/>
          <w:sz w:val="24"/>
          <w:szCs w:val="24"/>
        </w:rPr>
        <w:t xml:space="preserve">resulting analysis could </w:t>
      </w:r>
      <w:r w:rsidR="00880279">
        <w:rPr>
          <w:rFonts w:ascii="Times New Roman" w:hAnsi="Times New Roman"/>
          <w:sz w:val="24"/>
          <w:szCs w:val="24"/>
        </w:rPr>
        <w:t>assist in determining</w:t>
      </w:r>
      <w:r w:rsidR="001F02F3">
        <w:rPr>
          <w:rFonts w:ascii="Times New Roman" w:hAnsi="Times New Roman"/>
          <w:sz w:val="24"/>
          <w:szCs w:val="24"/>
        </w:rPr>
        <w:t xml:space="preserve"> whether a separate regulatory response to optimise the effectiveness of the</w:t>
      </w:r>
      <w:r w:rsidR="00815E91">
        <w:rPr>
          <w:rFonts w:ascii="Times New Roman" w:hAnsi="Times New Roman"/>
          <w:sz w:val="24"/>
          <w:szCs w:val="24"/>
        </w:rPr>
        <w:t xml:space="preserve"> proposed</w:t>
      </w:r>
      <w:r w:rsidR="001F02F3">
        <w:rPr>
          <w:rFonts w:ascii="Times New Roman" w:hAnsi="Times New Roman"/>
          <w:sz w:val="24"/>
          <w:szCs w:val="24"/>
        </w:rPr>
        <w:t xml:space="preserve"> bright-line test is, in fact, required</w:t>
      </w:r>
      <w:r w:rsidR="005965C4">
        <w:rPr>
          <w:rFonts w:ascii="Times New Roman" w:hAnsi="Times New Roman"/>
          <w:sz w:val="24"/>
          <w:szCs w:val="24"/>
        </w:rPr>
        <w:t xml:space="preserve">.  </w:t>
      </w:r>
      <w:r w:rsidR="00880279">
        <w:rPr>
          <w:rFonts w:ascii="Times New Roman" w:hAnsi="Times New Roman"/>
          <w:sz w:val="24"/>
          <w:szCs w:val="24"/>
        </w:rPr>
        <w:t>It may also provide useful information for shaping the scope of any regulatory response, such as a withholding tax, which has been identified as a feasible option in option</w:t>
      </w:r>
      <w:r w:rsidR="004850D5">
        <w:rPr>
          <w:rFonts w:ascii="Times New Roman" w:hAnsi="Times New Roman"/>
          <w:sz w:val="24"/>
          <w:szCs w:val="24"/>
        </w:rPr>
        <w:t>s</w:t>
      </w:r>
      <w:r w:rsidR="00880279">
        <w:rPr>
          <w:rFonts w:ascii="Times New Roman" w:hAnsi="Times New Roman"/>
          <w:sz w:val="24"/>
          <w:szCs w:val="24"/>
        </w:rPr>
        <w:t xml:space="preserve"> 4</w:t>
      </w:r>
      <w:r w:rsidR="004850D5">
        <w:rPr>
          <w:rFonts w:ascii="Times New Roman" w:hAnsi="Times New Roman"/>
          <w:sz w:val="24"/>
          <w:szCs w:val="24"/>
        </w:rPr>
        <w:t>(a) and 4(b)</w:t>
      </w:r>
      <w:r w:rsidR="00880279">
        <w:rPr>
          <w:rFonts w:ascii="Times New Roman" w:hAnsi="Times New Roman"/>
          <w:sz w:val="24"/>
          <w:szCs w:val="24"/>
        </w:rPr>
        <w:t>.</w:t>
      </w:r>
    </w:p>
    <w:p w:rsidR="00515A71" w:rsidRDefault="00515A71" w:rsidP="006C19A4">
      <w:pPr>
        <w:pStyle w:val="Bullet-list"/>
        <w:spacing w:after="0" w:line="240" w:lineRule="auto"/>
        <w:ind w:left="0" w:firstLine="0"/>
        <w:jc w:val="both"/>
        <w:rPr>
          <w:rFonts w:ascii="Times New Roman" w:hAnsi="Times New Roman"/>
          <w:sz w:val="24"/>
          <w:szCs w:val="24"/>
        </w:rPr>
      </w:pPr>
    </w:p>
    <w:p w:rsidR="00880279" w:rsidRDefault="0065548F"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One </w:t>
      </w:r>
      <w:r w:rsidR="00880279">
        <w:rPr>
          <w:rFonts w:ascii="Times New Roman" w:hAnsi="Times New Roman"/>
          <w:sz w:val="24"/>
          <w:szCs w:val="24"/>
        </w:rPr>
        <w:t xml:space="preserve">advantage of this approach is that it may turn out </w:t>
      </w:r>
      <w:r w:rsidR="004850D5">
        <w:rPr>
          <w:rFonts w:ascii="Times New Roman" w:hAnsi="Times New Roman"/>
          <w:sz w:val="24"/>
          <w:szCs w:val="24"/>
        </w:rPr>
        <w:t xml:space="preserve">that </w:t>
      </w:r>
      <w:r w:rsidR="00880279">
        <w:rPr>
          <w:rFonts w:ascii="Times New Roman" w:hAnsi="Times New Roman"/>
          <w:sz w:val="24"/>
          <w:szCs w:val="24"/>
        </w:rPr>
        <w:t>the Commissioner’s current powers for collection</w:t>
      </w:r>
      <w:r>
        <w:rPr>
          <w:rFonts w:ascii="Times New Roman" w:hAnsi="Times New Roman"/>
          <w:sz w:val="24"/>
          <w:szCs w:val="24"/>
        </w:rPr>
        <w:t xml:space="preserve"> and enforcement are sufficient in ensuring high levels of compliance with the </w:t>
      </w:r>
      <w:r w:rsidR="00815E91">
        <w:rPr>
          <w:rFonts w:ascii="Times New Roman" w:hAnsi="Times New Roman"/>
          <w:sz w:val="24"/>
          <w:szCs w:val="24"/>
        </w:rPr>
        <w:t xml:space="preserve">proposed </w:t>
      </w:r>
      <w:r>
        <w:rPr>
          <w:rFonts w:ascii="Times New Roman" w:hAnsi="Times New Roman"/>
          <w:sz w:val="24"/>
          <w:szCs w:val="24"/>
        </w:rPr>
        <w:t>bright-line test</w:t>
      </w:r>
      <w:r w:rsidR="005965C4">
        <w:rPr>
          <w:rFonts w:ascii="Times New Roman" w:hAnsi="Times New Roman"/>
          <w:sz w:val="24"/>
          <w:szCs w:val="24"/>
        </w:rPr>
        <w:t xml:space="preserve">.  </w:t>
      </w:r>
      <w:r>
        <w:rPr>
          <w:rFonts w:ascii="Times New Roman" w:hAnsi="Times New Roman"/>
          <w:sz w:val="24"/>
          <w:szCs w:val="24"/>
        </w:rPr>
        <w:t xml:space="preserve">Conversely, if there are low levels of compliance with the </w:t>
      </w:r>
      <w:r w:rsidR="00815E91">
        <w:rPr>
          <w:rFonts w:ascii="Times New Roman" w:hAnsi="Times New Roman"/>
          <w:sz w:val="24"/>
          <w:szCs w:val="24"/>
        </w:rPr>
        <w:t xml:space="preserve">proposed </w:t>
      </w:r>
      <w:r>
        <w:rPr>
          <w:rFonts w:ascii="Times New Roman" w:hAnsi="Times New Roman"/>
          <w:sz w:val="24"/>
          <w:szCs w:val="24"/>
        </w:rPr>
        <w:t>bright-line test, the Commissioner will need to rely on her existing tools and powers to remedy the non-compliance in the period prior to the review</w:t>
      </w:r>
      <w:r w:rsidR="00815E91">
        <w:rPr>
          <w:rFonts w:ascii="Times New Roman" w:hAnsi="Times New Roman"/>
          <w:sz w:val="24"/>
          <w:szCs w:val="24"/>
        </w:rPr>
        <w:t>,</w:t>
      </w:r>
      <w:r>
        <w:rPr>
          <w:rFonts w:ascii="Times New Roman" w:hAnsi="Times New Roman"/>
          <w:sz w:val="24"/>
          <w:szCs w:val="24"/>
        </w:rPr>
        <w:t xml:space="preserve"> and a regulatory response would </w:t>
      </w:r>
      <w:r w:rsidR="005965C4">
        <w:rPr>
          <w:rFonts w:ascii="Times New Roman" w:hAnsi="Times New Roman"/>
          <w:sz w:val="24"/>
          <w:szCs w:val="24"/>
        </w:rPr>
        <w:t>also need</w:t>
      </w:r>
      <w:r>
        <w:rPr>
          <w:rFonts w:ascii="Times New Roman" w:hAnsi="Times New Roman"/>
          <w:sz w:val="24"/>
          <w:szCs w:val="24"/>
        </w:rPr>
        <w:t xml:space="preserve"> to be subsequently designed.</w:t>
      </w:r>
    </w:p>
    <w:p w:rsidR="00515A71" w:rsidRDefault="00515A71" w:rsidP="006C19A4">
      <w:pPr>
        <w:pStyle w:val="Bullet-list"/>
        <w:spacing w:after="0" w:line="240" w:lineRule="auto"/>
        <w:ind w:left="0" w:firstLine="0"/>
        <w:jc w:val="both"/>
        <w:rPr>
          <w:rFonts w:ascii="Times New Roman" w:hAnsi="Times New Roman"/>
          <w:sz w:val="24"/>
          <w:szCs w:val="24"/>
        </w:rPr>
      </w:pPr>
    </w:p>
    <w:p w:rsidR="007F6A75" w:rsidRPr="00CA5F20" w:rsidRDefault="007F6A75"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As noted in options 1 and 2, the Commissioner’s standard</w:t>
      </w:r>
      <w:r w:rsidRPr="001467A9">
        <w:rPr>
          <w:rFonts w:ascii="Times New Roman" w:hAnsi="Times New Roman"/>
          <w:sz w:val="24"/>
          <w:szCs w:val="24"/>
        </w:rPr>
        <w:t xml:space="preserve"> </w:t>
      </w:r>
      <w:r w:rsidRPr="009008DB">
        <w:rPr>
          <w:rFonts w:ascii="Times New Roman" w:hAnsi="Times New Roman"/>
          <w:sz w:val="24"/>
          <w:szCs w:val="24"/>
        </w:rPr>
        <w:t>tools for collection and enforcement in relation to general income tax liabilities are not always practical where the taxpayer has limite</w:t>
      </w:r>
      <w:r>
        <w:rPr>
          <w:rFonts w:ascii="Times New Roman" w:hAnsi="Times New Roman"/>
          <w:sz w:val="24"/>
          <w:szCs w:val="24"/>
        </w:rPr>
        <w:t>d or no presence in New Zealand</w:t>
      </w:r>
      <w:r w:rsidR="005965C4">
        <w:rPr>
          <w:rFonts w:ascii="Times New Roman" w:hAnsi="Times New Roman"/>
          <w:sz w:val="24"/>
          <w:szCs w:val="24"/>
        </w:rPr>
        <w:t xml:space="preserve">.  </w:t>
      </w:r>
      <w:r>
        <w:rPr>
          <w:rFonts w:ascii="Times New Roman" w:hAnsi="Times New Roman"/>
          <w:sz w:val="24"/>
          <w:szCs w:val="24"/>
        </w:rPr>
        <w:t>As a result,</w:t>
      </w:r>
      <w:r w:rsidRPr="009008DB">
        <w:rPr>
          <w:rFonts w:ascii="Times New Roman" w:hAnsi="Times New Roman"/>
          <w:sz w:val="24"/>
          <w:szCs w:val="24"/>
        </w:rPr>
        <w:t xml:space="preserve"> </w:t>
      </w:r>
      <w:r>
        <w:rPr>
          <w:rFonts w:ascii="Times New Roman" w:hAnsi="Times New Roman"/>
          <w:sz w:val="24"/>
          <w:szCs w:val="24"/>
        </w:rPr>
        <w:t xml:space="preserve">withholding taxes are commonly imposed </w:t>
      </w:r>
      <w:r w:rsidR="005965C4">
        <w:rPr>
          <w:rFonts w:ascii="Times New Roman" w:hAnsi="Times New Roman"/>
          <w:sz w:val="24"/>
          <w:szCs w:val="24"/>
        </w:rPr>
        <w:t xml:space="preserve">in other situations </w:t>
      </w:r>
      <w:r>
        <w:rPr>
          <w:rFonts w:ascii="Times New Roman" w:hAnsi="Times New Roman"/>
          <w:sz w:val="24"/>
          <w:szCs w:val="24"/>
        </w:rPr>
        <w:t xml:space="preserve">where </w:t>
      </w:r>
      <w:r w:rsidRPr="00A22AC0">
        <w:rPr>
          <w:rFonts w:ascii="Times New Roman" w:hAnsi="Times New Roman"/>
          <w:sz w:val="24"/>
          <w:szCs w:val="24"/>
          <w:lang w:val="en-NZ"/>
        </w:rPr>
        <w:t>there is the possibility of unenforceability or evasion of a tax liability, before the payee receives the income</w:t>
      </w:r>
      <w:r w:rsidR="005965C4">
        <w:rPr>
          <w:rFonts w:ascii="Times New Roman" w:hAnsi="Times New Roman"/>
          <w:sz w:val="24"/>
          <w:szCs w:val="24"/>
          <w:lang w:val="en-NZ"/>
        </w:rPr>
        <w:t xml:space="preserve">.  </w:t>
      </w:r>
      <w:r w:rsidRPr="001467A9">
        <w:rPr>
          <w:rFonts w:ascii="Times New Roman" w:hAnsi="Times New Roman"/>
          <w:sz w:val="24"/>
          <w:szCs w:val="24"/>
        </w:rPr>
        <w:t>Withholding taxes are important in these situations because they ensure that the relevant tax is paid out of the amount due to the payee before the payee gets control of the funds</w:t>
      </w:r>
      <w:r w:rsidR="005965C4">
        <w:rPr>
          <w:rFonts w:ascii="Times New Roman" w:hAnsi="Times New Roman"/>
          <w:sz w:val="24"/>
          <w:szCs w:val="24"/>
        </w:rPr>
        <w:t xml:space="preserve">.  </w:t>
      </w:r>
      <w:r w:rsidRPr="00CA5F20">
        <w:rPr>
          <w:rFonts w:ascii="Times New Roman" w:hAnsi="Times New Roman"/>
          <w:sz w:val="24"/>
          <w:szCs w:val="24"/>
        </w:rPr>
        <w:t xml:space="preserve">This is discussed in further detail in the section titled </w:t>
      </w:r>
      <w:r w:rsidRPr="00CA5F20">
        <w:rPr>
          <w:rFonts w:ascii="Times New Roman" w:hAnsi="Times New Roman"/>
          <w:i/>
          <w:sz w:val="24"/>
          <w:szCs w:val="24"/>
        </w:rPr>
        <w:t>Status quo and problem definition</w:t>
      </w:r>
      <w:r w:rsidR="005965C4">
        <w:rPr>
          <w:rFonts w:ascii="Times New Roman" w:hAnsi="Times New Roman"/>
          <w:sz w:val="24"/>
          <w:szCs w:val="24"/>
        </w:rPr>
        <w:t xml:space="preserve">.  </w:t>
      </w:r>
      <w:r w:rsidRPr="001467A9">
        <w:rPr>
          <w:rFonts w:ascii="Times New Roman" w:hAnsi="Times New Roman"/>
          <w:sz w:val="24"/>
          <w:szCs w:val="24"/>
        </w:rPr>
        <w:t>However, in the cas</w:t>
      </w:r>
      <w:r w:rsidRPr="00CA5F20">
        <w:rPr>
          <w:rFonts w:ascii="Times New Roman" w:hAnsi="Times New Roman"/>
          <w:sz w:val="24"/>
          <w:szCs w:val="24"/>
        </w:rPr>
        <w:t>e of residential property sales, the Commissioner’s current tools for collection and enforcement do not include a withholding tax</w:t>
      </w:r>
      <w:r w:rsidR="005965C4">
        <w:rPr>
          <w:rFonts w:ascii="Times New Roman" w:hAnsi="Times New Roman"/>
          <w:sz w:val="24"/>
          <w:szCs w:val="24"/>
        </w:rPr>
        <w:t xml:space="preserve">.  </w:t>
      </w:r>
    </w:p>
    <w:p w:rsidR="00880279" w:rsidRPr="007F6A75" w:rsidRDefault="00880279" w:rsidP="006C19A4">
      <w:pPr>
        <w:pStyle w:val="Bullet-list"/>
        <w:spacing w:after="0" w:line="240" w:lineRule="auto"/>
        <w:ind w:left="0" w:firstLine="0"/>
        <w:jc w:val="both"/>
      </w:pPr>
    </w:p>
    <w:p w:rsidR="0065548F" w:rsidRDefault="00BF3563"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As noted in option 1, </w:t>
      </w:r>
      <w:r w:rsidR="00815E91">
        <w:rPr>
          <w:rFonts w:ascii="Times New Roman" w:hAnsi="Times New Roman"/>
          <w:sz w:val="24"/>
          <w:szCs w:val="24"/>
        </w:rPr>
        <w:t xml:space="preserve">the absence of </w:t>
      </w:r>
      <w:r>
        <w:rPr>
          <w:rFonts w:ascii="Times New Roman" w:hAnsi="Times New Roman"/>
          <w:sz w:val="24"/>
          <w:szCs w:val="24"/>
        </w:rPr>
        <w:t>a withholding tax would make the tax system less coherent as a whole given that withholding taxes are required in relation to other forms of income in similar circumstances (that is, where a payee is likely to have a tax liability and where there may be enforceability or evasion concerns)</w:t>
      </w:r>
      <w:r w:rsidR="005965C4">
        <w:rPr>
          <w:rFonts w:ascii="Times New Roman" w:hAnsi="Times New Roman"/>
          <w:sz w:val="24"/>
          <w:szCs w:val="24"/>
        </w:rPr>
        <w:t xml:space="preserve">.  </w:t>
      </w:r>
      <w:r w:rsidR="002E67EB">
        <w:rPr>
          <w:rFonts w:ascii="Times New Roman" w:hAnsi="Times New Roman"/>
          <w:sz w:val="24"/>
          <w:szCs w:val="24"/>
        </w:rPr>
        <w:t>Given</w:t>
      </w:r>
      <w:r w:rsidR="00880279">
        <w:rPr>
          <w:rFonts w:ascii="Times New Roman" w:hAnsi="Times New Roman"/>
          <w:sz w:val="24"/>
          <w:szCs w:val="24"/>
        </w:rPr>
        <w:t xml:space="preserve"> the</w:t>
      </w:r>
      <w:r>
        <w:rPr>
          <w:rFonts w:ascii="Times New Roman" w:hAnsi="Times New Roman"/>
          <w:sz w:val="24"/>
          <w:szCs w:val="24"/>
        </w:rPr>
        <w:t xml:space="preserve"> structural inconsistency with other types of income that this would create, and the </w:t>
      </w:r>
      <w:r w:rsidR="00815E91">
        <w:rPr>
          <w:rFonts w:ascii="Times New Roman" w:hAnsi="Times New Roman"/>
          <w:sz w:val="24"/>
          <w:szCs w:val="24"/>
        </w:rPr>
        <w:t xml:space="preserve">apparent </w:t>
      </w:r>
      <w:r w:rsidR="00880279">
        <w:rPr>
          <w:rFonts w:ascii="Times New Roman" w:hAnsi="Times New Roman"/>
          <w:sz w:val="24"/>
          <w:szCs w:val="24"/>
        </w:rPr>
        <w:t>low levels</w:t>
      </w:r>
      <w:r w:rsidR="0065548F">
        <w:rPr>
          <w:rFonts w:ascii="Times New Roman" w:hAnsi="Times New Roman"/>
          <w:sz w:val="24"/>
          <w:szCs w:val="24"/>
        </w:rPr>
        <w:t xml:space="preserve"> of compliance with the current land rules </w:t>
      </w:r>
      <w:r w:rsidR="00B372A6">
        <w:rPr>
          <w:rFonts w:ascii="Times New Roman" w:hAnsi="Times New Roman"/>
          <w:sz w:val="24"/>
          <w:szCs w:val="24"/>
        </w:rPr>
        <w:t xml:space="preserve">to date </w:t>
      </w:r>
      <w:r w:rsidR="0065548F">
        <w:rPr>
          <w:rFonts w:ascii="Times New Roman" w:hAnsi="Times New Roman"/>
          <w:sz w:val="24"/>
          <w:szCs w:val="24"/>
        </w:rPr>
        <w:t>in relation to residential property, option 3 as a “wait and see” type approach is not Inland Revenue’s preferred option</w:t>
      </w:r>
      <w:r w:rsidR="005965C4">
        <w:rPr>
          <w:rFonts w:ascii="Times New Roman" w:hAnsi="Times New Roman"/>
          <w:sz w:val="24"/>
          <w:szCs w:val="24"/>
        </w:rPr>
        <w:t xml:space="preserve">.  </w:t>
      </w:r>
      <w:r w:rsidR="007F6A75">
        <w:rPr>
          <w:rFonts w:ascii="Times New Roman" w:hAnsi="Times New Roman"/>
          <w:sz w:val="24"/>
          <w:szCs w:val="24"/>
        </w:rPr>
        <w:t>This is</w:t>
      </w:r>
      <w:r w:rsidR="0065548F">
        <w:rPr>
          <w:rFonts w:ascii="Times New Roman" w:hAnsi="Times New Roman"/>
          <w:sz w:val="24"/>
          <w:szCs w:val="24"/>
        </w:rPr>
        <w:t xml:space="preserve"> because it would likely shift the problem </w:t>
      </w:r>
      <w:r w:rsidR="00F51C85">
        <w:rPr>
          <w:rFonts w:ascii="Times New Roman" w:hAnsi="Times New Roman"/>
          <w:sz w:val="24"/>
          <w:szCs w:val="24"/>
        </w:rPr>
        <w:t>to a later date</w:t>
      </w:r>
      <w:r w:rsidR="00B372A6">
        <w:rPr>
          <w:rFonts w:ascii="Times New Roman" w:hAnsi="Times New Roman"/>
          <w:sz w:val="24"/>
          <w:szCs w:val="24"/>
        </w:rPr>
        <w:t xml:space="preserve"> and require</w:t>
      </w:r>
      <w:r w:rsidR="002E67EB">
        <w:rPr>
          <w:rFonts w:ascii="Times New Roman" w:hAnsi="Times New Roman"/>
          <w:sz w:val="24"/>
          <w:szCs w:val="24"/>
        </w:rPr>
        <w:t xml:space="preserve"> the</w:t>
      </w:r>
      <w:r w:rsidR="00B372A6">
        <w:rPr>
          <w:rFonts w:ascii="Times New Roman" w:hAnsi="Times New Roman"/>
          <w:sz w:val="24"/>
          <w:szCs w:val="24"/>
        </w:rPr>
        <w:t xml:space="preserve"> use of the Commissioner’s resources to collect unpaid amounts of tax that arose in the review period</w:t>
      </w:r>
      <w:r w:rsidR="00A34384">
        <w:rPr>
          <w:rFonts w:ascii="Times New Roman" w:hAnsi="Times New Roman"/>
          <w:sz w:val="24"/>
          <w:szCs w:val="24"/>
        </w:rPr>
        <w:t>.</w:t>
      </w:r>
      <w:r w:rsidR="00476B63" w:rsidRPr="00EB3175">
        <w:rPr>
          <w:rStyle w:val="FootnoteReference"/>
          <w:rFonts w:ascii="Times New Roman" w:hAnsi="Times New Roman"/>
          <w:szCs w:val="24"/>
        </w:rPr>
        <w:footnoteReference w:id="2"/>
      </w:r>
      <w:r w:rsidR="00A34384">
        <w:rPr>
          <w:rFonts w:ascii="Times New Roman" w:hAnsi="Times New Roman"/>
          <w:sz w:val="24"/>
          <w:szCs w:val="24"/>
        </w:rPr>
        <w:t xml:space="preserve"> </w:t>
      </w:r>
      <w:r w:rsidR="002E67EB">
        <w:rPr>
          <w:rFonts w:ascii="Times New Roman" w:hAnsi="Times New Roman"/>
          <w:sz w:val="24"/>
          <w:szCs w:val="24"/>
        </w:rPr>
        <w:t xml:space="preserve">Inland Revenue’s preference </w:t>
      </w:r>
      <w:r w:rsidR="00815E91">
        <w:rPr>
          <w:rFonts w:ascii="Times New Roman" w:hAnsi="Times New Roman"/>
          <w:sz w:val="24"/>
          <w:szCs w:val="24"/>
        </w:rPr>
        <w:t xml:space="preserve">is to </w:t>
      </w:r>
      <w:r w:rsidR="00476B63">
        <w:rPr>
          <w:rFonts w:ascii="Times New Roman" w:hAnsi="Times New Roman"/>
          <w:sz w:val="24"/>
          <w:szCs w:val="24"/>
        </w:rPr>
        <w:t xml:space="preserve">optimise the effectiveness of the </w:t>
      </w:r>
      <w:r w:rsidR="00815E91">
        <w:rPr>
          <w:rFonts w:ascii="Times New Roman" w:hAnsi="Times New Roman"/>
          <w:sz w:val="24"/>
          <w:szCs w:val="24"/>
        </w:rPr>
        <w:t xml:space="preserve">proposed </w:t>
      </w:r>
      <w:r w:rsidR="00476B63">
        <w:rPr>
          <w:rFonts w:ascii="Times New Roman" w:hAnsi="Times New Roman"/>
          <w:sz w:val="24"/>
          <w:szCs w:val="24"/>
        </w:rPr>
        <w:t>bright-line test as soon as the new rules take effect</w:t>
      </w:r>
      <w:r w:rsidR="005965C4">
        <w:rPr>
          <w:rFonts w:ascii="Times New Roman" w:hAnsi="Times New Roman"/>
          <w:sz w:val="24"/>
          <w:szCs w:val="24"/>
        </w:rPr>
        <w:t xml:space="preserve">.  </w:t>
      </w:r>
      <w:r w:rsidR="00D17920">
        <w:rPr>
          <w:rFonts w:ascii="Times New Roman" w:hAnsi="Times New Roman"/>
          <w:sz w:val="24"/>
          <w:szCs w:val="24"/>
        </w:rPr>
        <w:t>Like options 1 and 2, th</w:t>
      </w:r>
      <w:r w:rsidR="00815E91">
        <w:rPr>
          <w:rFonts w:ascii="Times New Roman" w:hAnsi="Times New Roman"/>
          <w:sz w:val="24"/>
          <w:szCs w:val="24"/>
        </w:rPr>
        <w:t xml:space="preserve">e </w:t>
      </w:r>
      <w:r w:rsidR="00D17920">
        <w:rPr>
          <w:rFonts w:ascii="Times New Roman" w:hAnsi="Times New Roman"/>
          <w:sz w:val="24"/>
          <w:szCs w:val="24"/>
        </w:rPr>
        <w:t xml:space="preserve">“wait and see” strategy </w:t>
      </w:r>
      <w:r w:rsidR="00815E91">
        <w:rPr>
          <w:rFonts w:ascii="Times New Roman" w:hAnsi="Times New Roman"/>
          <w:sz w:val="24"/>
          <w:szCs w:val="24"/>
        </w:rPr>
        <w:t xml:space="preserve">of option 3 </w:t>
      </w:r>
      <w:r w:rsidR="00D17920">
        <w:rPr>
          <w:rFonts w:ascii="Times New Roman" w:hAnsi="Times New Roman"/>
          <w:sz w:val="24"/>
          <w:szCs w:val="24"/>
        </w:rPr>
        <w:t>may undermine the integrity of the tax system if there is a public perception that foreign investors, particularly in residential property, are not paying their “fair share of tax” in New Zealand.</w:t>
      </w:r>
    </w:p>
    <w:p w:rsidR="00D17920" w:rsidRDefault="00D17920">
      <w:pPr>
        <w:pStyle w:val="ListParagraph"/>
        <w:rPr>
          <w:rFonts w:ascii="Times New Roman" w:hAnsi="Times New Roman"/>
          <w:sz w:val="24"/>
          <w:szCs w:val="24"/>
        </w:rPr>
      </w:pPr>
    </w:p>
    <w:p w:rsidR="00F777E4" w:rsidRDefault="00F777E4" w:rsidP="006C19A4">
      <w:pPr>
        <w:pStyle w:val="Bullet-list"/>
        <w:spacing w:after="0" w:line="240" w:lineRule="auto"/>
        <w:ind w:left="0" w:firstLine="0"/>
        <w:jc w:val="both"/>
        <w:rPr>
          <w:rFonts w:ascii="Times New Roman" w:hAnsi="Times New Roman"/>
          <w:b/>
          <w:sz w:val="24"/>
          <w:szCs w:val="24"/>
        </w:rPr>
      </w:pPr>
    </w:p>
    <w:p w:rsidR="00DE23EA" w:rsidRDefault="00D46A34" w:rsidP="006C19A4">
      <w:pPr>
        <w:pStyle w:val="Bullet-list"/>
        <w:spacing w:after="0" w:line="240" w:lineRule="auto"/>
        <w:ind w:left="0" w:firstLine="0"/>
        <w:jc w:val="both"/>
        <w:rPr>
          <w:rFonts w:ascii="Times New Roman" w:hAnsi="Times New Roman"/>
          <w:b/>
          <w:sz w:val="24"/>
          <w:szCs w:val="24"/>
        </w:rPr>
      </w:pPr>
      <w:r>
        <w:rPr>
          <w:rFonts w:ascii="Times New Roman" w:hAnsi="Times New Roman"/>
          <w:b/>
          <w:sz w:val="24"/>
          <w:szCs w:val="24"/>
        </w:rPr>
        <w:t>Option 4</w:t>
      </w:r>
      <w:r w:rsidR="00DE23EA" w:rsidRPr="00EB3AB2">
        <w:rPr>
          <w:rFonts w:ascii="Times New Roman" w:hAnsi="Times New Roman"/>
          <w:b/>
          <w:sz w:val="24"/>
          <w:szCs w:val="24"/>
        </w:rPr>
        <w:t xml:space="preserve">: </w:t>
      </w:r>
      <w:r w:rsidR="00222159">
        <w:rPr>
          <w:rFonts w:ascii="Times New Roman" w:hAnsi="Times New Roman"/>
          <w:b/>
          <w:sz w:val="24"/>
          <w:szCs w:val="24"/>
        </w:rPr>
        <w:t xml:space="preserve">introduce </w:t>
      </w:r>
      <w:r w:rsidR="00DE23EA">
        <w:rPr>
          <w:rFonts w:ascii="Times New Roman" w:hAnsi="Times New Roman"/>
          <w:b/>
          <w:sz w:val="24"/>
          <w:szCs w:val="24"/>
        </w:rPr>
        <w:t>a withholding tax on sales of residential property</w:t>
      </w:r>
      <w:r w:rsidR="002E6730">
        <w:rPr>
          <w:rFonts w:ascii="Times New Roman" w:hAnsi="Times New Roman"/>
          <w:b/>
          <w:sz w:val="24"/>
          <w:szCs w:val="24"/>
        </w:rPr>
        <w:t xml:space="preserve"> (“residential land withholding tax” or “RLWT”)</w:t>
      </w:r>
    </w:p>
    <w:p w:rsidR="00F43B25" w:rsidRDefault="00F43B25" w:rsidP="006C19A4">
      <w:pPr>
        <w:pStyle w:val="Bullet-list"/>
        <w:spacing w:after="0" w:line="240" w:lineRule="auto"/>
        <w:ind w:left="0" w:firstLine="0"/>
        <w:jc w:val="both"/>
        <w:rPr>
          <w:rFonts w:ascii="Times New Roman" w:hAnsi="Times New Roman"/>
          <w:b/>
          <w:sz w:val="24"/>
          <w:szCs w:val="24"/>
        </w:rPr>
      </w:pPr>
    </w:p>
    <w:p w:rsidR="00F607D9" w:rsidRDefault="00F43B25"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This option would introduce a withholding tax on sales of residential land (“residential land withholding tax” or “RLWT”) where the seller acquire</w:t>
      </w:r>
      <w:r w:rsidR="00362E4E">
        <w:rPr>
          <w:rFonts w:ascii="Times New Roman" w:hAnsi="Times New Roman"/>
          <w:sz w:val="24"/>
          <w:szCs w:val="24"/>
        </w:rPr>
        <w:t>s</w:t>
      </w:r>
      <w:r>
        <w:rPr>
          <w:rFonts w:ascii="Times New Roman" w:hAnsi="Times New Roman"/>
          <w:sz w:val="24"/>
          <w:szCs w:val="24"/>
        </w:rPr>
        <w:t xml:space="preserve"> the property on or after 1 October 2015 and has subsequently disposed of the property within two years</w:t>
      </w:r>
      <w:r w:rsidR="005965C4">
        <w:rPr>
          <w:rFonts w:ascii="Times New Roman" w:hAnsi="Times New Roman"/>
          <w:sz w:val="24"/>
          <w:szCs w:val="24"/>
        </w:rPr>
        <w:t xml:space="preserve">.  </w:t>
      </w:r>
      <w:r>
        <w:rPr>
          <w:rFonts w:ascii="Times New Roman" w:hAnsi="Times New Roman"/>
          <w:sz w:val="24"/>
          <w:szCs w:val="24"/>
        </w:rPr>
        <w:t xml:space="preserve">The meaning of “residential land” and how the two-year ownership period is calculated would directly follow the </w:t>
      </w:r>
      <w:r w:rsidR="00AA5DC3">
        <w:rPr>
          <w:rFonts w:ascii="Times New Roman" w:hAnsi="Times New Roman"/>
          <w:sz w:val="24"/>
          <w:szCs w:val="24"/>
        </w:rPr>
        <w:t xml:space="preserve">proposed </w:t>
      </w:r>
      <w:r>
        <w:rPr>
          <w:rFonts w:ascii="Times New Roman" w:hAnsi="Times New Roman"/>
          <w:sz w:val="24"/>
          <w:szCs w:val="24"/>
        </w:rPr>
        <w:t>bright-line test.</w:t>
      </w:r>
    </w:p>
    <w:p w:rsidR="00F607D9" w:rsidRPr="00F607D9" w:rsidRDefault="00F607D9" w:rsidP="006C19A4">
      <w:pPr>
        <w:pStyle w:val="Bullet-list"/>
        <w:spacing w:after="0" w:line="240" w:lineRule="auto"/>
        <w:ind w:left="0" w:firstLine="0"/>
        <w:jc w:val="both"/>
      </w:pPr>
    </w:p>
    <w:p w:rsidR="00F607D9" w:rsidRDefault="00F607D9"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As noted in the section</w:t>
      </w:r>
      <w:r w:rsidR="00362E4E">
        <w:rPr>
          <w:rFonts w:ascii="Times New Roman" w:hAnsi="Times New Roman"/>
          <w:sz w:val="24"/>
          <w:szCs w:val="24"/>
          <w:lang w:val="en-NZ"/>
        </w:rPr>
        <w:t xml:space="preserve"> titled</w:t>
      </w:r>
      <w:r>
        <w:rPr>
          <w:rFonts w:ascii="Times New Roman" w:hAnsi="Times New Roman"/>
          <w:sz w:val="24"/>
          <w:szCs w:val="24"/>
          <w:lang w:val="en-NZ"/>
        </w:rPr>
        <w:t xml:space="preserve"> </w:t>
      </w:r>
      <w:r w:rsidRPr="00CA5F20">
        <w:rPr>
          <w:rFonts w:ascii="Times New Roman" w:hAnsi="Times New Roman"/>
          <w:i/>
          <w:sz w:val="24"/>
          <w:szCs w:val="24"/>
          <w:lang w:val="en-NZ"/>
        </w:rPr>
        <w:t>Status quo and problem definition</w:t>
      </w:r>
      <w:r>
        <w:rPr>
          <w:rFonts w:ascii="Times New Roman" w:hAnsi="Times New Roman"/>
          <w:sz w:val="24"/>
          <w:szCs w:val="24"/>
          <w:lang w:val="en-NZ"/>
        </w:rPr>
        <w:t xml:space="preserve">, </w:t>
      </w:r>
      <w:r w:rsidRPr="00513891">
        <w:rPr>
          <w:rFonts w:ascii="Times New Roman" w:hAnsi="Times New Roman"/>
          <w:sz w:val="24"/>
          <w:szCs w:val="24"/>
          <w:lang w:val="en-NZ"/>
        </w:rPr>
        <w:t>an important feature of New Zealand’s tax system is the existence of withholding taxes on many types of income where there is likely to be</w:t>
      </w:r>
      <w:r w:rsidR="007F6A75">
        <w:rPr>
          <w:rFonts w:ascii="Times New Roman" w:hAnsi="Times New Roman"/>
          <w:sz w:val="24"/>
          <w:szCs w:val="24"/>
          <w:lang w:val="en-NZ"/>
        </w:rPr>
        <w:t xml:space="preserve"> a</w:t>
      </w:r>
      <w:r w:rsidRPr="00513891">
        <w:rPr>
          <w:rFonts w:ascii="Times New Roman" w:hAnsi="Times New Roman"/>
          <w:sz w:val="24"/>
          <w:szCs w:val="24"/>
          <w:lang w:val="en-NZ"/>
        </w:rPr>
        <w:t xml:space="preserve"> tax liability and the possibility of</w:t>
      </w:r>
      <w:r>
        <w:rPr>
          <w:rFonts w:ascii="Times New Roman" w:hAnsi="Times New Roman"/>
          <w:sz w:val="24"/>
          <w:szCs w:val="24"/>
          <w:lang w:val="en-NZ"/>
        </w:rPr>
        <w:t xml:space="preserve"> un</w:t>
      </w:r>
      <w:r w:rsidRPr="00513891">
        <w:rPr>
          <w:rFonts w:ascii="Times New Roman" w:hAnsi="Times New Roman"/>
          <w:sz w:val="24"/>
          <w:szCs w:val="24"/>
          <w:lang w:val="en-NZ"/>
        </w:rPr>
        <w:t>enforceability or evasion</w:t>
      </w:r>
      <w:r w:rsidR="00131302">
        <w:rPr>
          <w:rFonts w:ascii="Times New Roman" w:hAnsi="Times New Roman"/>
          <w:sz w:val="24"/>
          <w:szCs w:val="24"/>
          <w:lang w:val="en-NZ"/>
        </w:rPr>
        <w:t xml:space="preserve">. </w:t>
      </w:r>
      <w:r w:rsidR="005965C4">
        <w:rPr>
          <w:rFonts w:ascii="Times New Roman" w:hAnsi="Times New Roman"/>
          <w:sz w:val="24"/>
          <w:szCs w:val="24"/>
          <w:lang w:val="en-NZ"/>
        </w:rPr>
        <w:t xml:space="preserve"> </w:t>
      </w:r>
      <w:r>
        <w:rPr>
          <w:rFonts w:ascii="Times New Roman" w:hAnsi="Times New Roman"/>
          <w:sz w:val="24"/>
          <w:szCs w:val="24"/>
          <w:lang w:val="en-NZ"/>
        </w:rPr>
        <w:t>In these situations, it is likely that the payee will have a New Zealand tax liability in relation to the income they receive, and tax is accordingly withheld before the payee receives the income.</w:t>
      </w:r>
    </w:p>
    <w:p w:rsidR="00B61CD2" w:rsidRDefault="00B61CD2" w:rsidP="00E222FF">
      <w:pPr>
        <w:pStyle w:val="ListParagraph"/>
        <w:rPr>
          <w:rFonts w:ascii="Times New Roman" w:hAnsi="Times New Roman"/>
          <w:sz w:val="24"/>
          <w:szCs w:val="24"/>
        </w:rPr>
      </w:pPr>
    </w:p>
    <w:p w:rsidR="00B61CD2" w:rsidRPr="00423532" w:rsidRDefault="00B61CD2" w:rsidP="00B61CD2">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lang w:val="en-NZ"/>
        </w:rPr>
      </w:pPr>
      <w:r w:rsidRPr="002546F2">
        <w:rPr>
          <w:rFonts w:ascii="Times New Roman" w:hAnsi="Times New Roman"/>
          <w:sz w:val="24"/>
          <w:szCs w:val="24"/>
          <w:lang w:val="en-NZ"/>
        </w:rPr>
        <w:t xml:space="preserve">With the proposed introduction of the bright-line test, it highly likely that </w:t>
      </w:r>
      <w:r w:rsidR="002D3278">
        <w:rPr>
          <w:rFonts w:ascii="Times New Roman" w:hAnsi="Times New Roman"/>
          <w:sz w:val="24"/>
          <w:szCs w:val="24"/>
          <w:lang w:val="en-NZ"/>
        </w:rPr>
        <w:t>seller</w:t>
      </w:r>
      <w:r w:rsidR="002D3278" w:rsidRPr="002546F2">
        <w:rPr>
          <w:rFonts w:ascii="Times New Roman" w:hAnsi="Times New Roman"/>
          <w:sz w:val="24"/>
          <w:szCs w:val="24"/>
          <w:lang w:val="en-NZ"/>
        </w:rPr>
        <w:t xml:space="preserve">s </w:t>
      </w:r>
      <w:r w:rsidRPr="002546F2">
        <w:rPr>
          <w:rFonts w:ascii="Times New Roman" w:hAnsi="Times New Roman"/>
          <w:sz w:val="24"/>
          <w:szCs w:val="24"/>
          <w:lang w:val="en-NZ"/>
        </w:rPr>
        <w:t>who sell residential property within two years will have a tax liability in New Zealand in relation to income from that property</w:t>
      </w:r>
      <w:r>
        <w:rPr>
          <w:rFonts w:ascii="Times New Roman" w:hAnsi="Times New Roman"/>
          <w:sz w:val="24"/>
          <w:szCs w:val="24"/>
          <w:lang w:val="en-NZ"/>
        </w:rPr>
        <w:t xml:space="preserve">.  </w:t>
      </w:r>
      <w:r w:rsidR="00131302">
        <w:rPr>
          <w:rFonts w:ascii="Times New Roman" w:hAnsi="Times New Roman"/>
          <w:sz w:val="24"/>
          <w:szCs w:val="24"/>
          <w:lang w:val="en-NZ"/>
        </w:rPr>
        <w:t>As noted, t</w:t>
      </w:r>
      <w:r>
        <w:rPr>
          <w:rFonts w:ascii="Times New Roman" w:hAnsi="Times New Roman"/>
          <w:sz w:val="24"/>
          <w:szCs w:val="24"/>
          <w:lang w:val="en-NZ"/>
        </w:rPr>
        <w:t xml:space="preserve">he </w:t>
      </w:r>
      <w:r w:rsidRPr="00423532">
        <w:rPr>
          <w:rFonts w:ascii="Times New Roman" w:hAnsi="Times New Roman"/>
          <w:sz w:val="24"/>
          <w:szCs w:val="24"/>
        </w:rPr>
        <w:t xml:space="preserve">Commissioner’s standard </w:t>
      </w:r>
      <w:r w:rsidRPr="00486DD1">
        <w:rPr>
          <w:rFonts w:ascii="Times New Roman" w:hAnsi="Times New Roman"/>
          <w:sz w:val="24"/>
          <w:szCs w:val="24"/>
        </w:rPr>
        <w:t>tools for collection and enforcement in relation to general income tax liabilities are not always practical where the taxpayer has limited or no presence in New Zealand</w:t>
      </w:r>
      <w:r>
        <w:rPr>
          <w:rFonts w:ascii="Times New Roman" w:hAnsi="Times New Roman"/>
          <w:sz w:val="24"/>
          <w:szCs w:val="24"/>
        </w:rPr>
        <w:t>.  In the case of bright-line sales made by overseas sellers, it would be consistent with New Zealand’s broader approach to withholding taxes to withhold tax from the amount received by the seller.</w:t>
      </w:r>
    </w:p>
    <w:p w:rsidR="00BF3563" w:rsidRDefault="00BF3563" w:rsidP="006C19A4">
      <w:pPr>
        <w:pStyle w:val="Bullet-list"/>
        <w:spacing w:after="0" w:line="240" w:lineRule="auto"/>
        <w:jc w:val="both"/>
        <w:rPr>
          <w:rFonts w:ascii="Times New Roman" w:hAnsi="Times New Roman"/>
          <w:sz w:val="24"/>
          <w:szCs w:val="24"/>
          <w:lang w:val="en-NZ"/>
        </w:rPr>
      </w:pPr>
      <w:r>
        <w:rPr>
          <w:rFonts w:ascii="Times New Roman" w:hAnsi="Times New Roman"/>
          <w:sz w:val="24"/>
          <w:szCs w:val="24"/>
          <w:lang w:val="en-NZ"/>
        </w:rPr>
        <w:tab/>
      </w:r>
      <w:r>
        <w:rPr>
          <w:rFonts w:ascii="Times New Roman" w:hAnsi="Times New Roman"/>
          <w:sz w:val="24"/>
          <w:szCs w:val="24"/>
          <w:lang w:val="en-NZ"/>
        </w:rPr>
        <w:tab/>
      </w:r>
    </w:p>
    <w:p w:rsidR="002546F2" w:rsidRDefault="002546F2"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As New Zealand currently only taxes the disposal of land in very limited circumstances, there has been no imperative to have a withholding tax on property-related transactions</w:t>
      </w:r>
      <w:r w:rsidR="005965C4">
        <w:rPr>
          <w:rFonts w:ascii="Times New Roman" w:hAnsi="Times New Roman"/>
          <w:sz w:val="24"/>
          <w:szCs w:val="24"/>
        </w:rPr>
        <w:t xml:space="preserve">.    </w:t>
      </w:r>
      <w:r>
        <w:rPr>
          <w:rFonts w:ascii="Times New Roman" w:hAnsi="Times New Roman"/>
          <w:sz w:val="24"/>
          <w:szCs w:val="24"/>
        </w:rPr>
        <w:t>Further, because under current law tax is generally imposed only when certain intention tests are met, it would be practically difficult to identify situations where tax should be withheld</w:t>
      </w:r>
      <w:r w:rsidR="005965C4">
        <w:rPr>
          <w:rFonts w:ascii="Times New Roman" w:hAnsi="Times New Roman"/>
          <w:sz w:val="24"/>
          <w:szCs w:val="24"/>
        </w:rPr>
        <w:t xml:space="preserve">.    </w:t>
      </w:r>
    </w:p>
    <w:p w:rsidR="00317341" w:rsidRDefault="00317341" w:rsidP="006C19A4">
      <w:pPr>
        <w:pStyle w:val="Bullet-list"/>
        <w:spacing w:after="0" w:line="240" w:lineRule="auto"/>
        <w:ind w:left="0" w:firstLine="0"/>
        <w:jc w:val="both"/>
        <w:rPr>
          <w:rFonts w:ascii="Times New Roman" w:hAnsi="Times New Roman"/>
          <w:sz w:val="24"/>
          <w:szCs w:val="24"/>
        </w:rPr>
      </w:pPr>
    </w:p>
    <w:p w:rsidR="002546F2" w:rsidRDefault="002546F2" w:rsidP="006C19A4">
      <w:pPr>
        <w:pStyle w:val="Bullet-list"/>
        <w:spacing w:after="0" w:line="240" w:lineRule="auto"/>
        <w:ind w:left="0" w:firstLine="0"/>
        <w:jc w:val="both"/>
        <w:rPr>
          <w:rFonts w:ascii="Times New Roman" w:hAnsi="Times New Roman"/>
          <w:sz w:val="24"/>
          <w:szCs w:val="24"/>
          <w:lang w:val="en-NZ"/>
        </w:rPr>
      </w:pPr>
    </w:p>
    <w:p w:rsidR="002546F2" w:rsidRDefault="002546F2"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In situations when tax is likely to be imposed </w:t>
      </w:r>
      <w:r w:rsidR="00362E4E">
        <w:rPr>
          <w:rFonts w:ascii="Times New Roman" w:hAnsi="Times New Roman"/>
          <w:sz w:val="24"/>
          <w:szCs w:val="24"/>
        </w:rPr>
        <w:t xml:space="preserve">on </w:t>
      </w:r>
      <w:r>
        <w:rPr>
          <w:rFonts w:ascii="Times New Roman" w:hAnsi="Times New Roman"/>
          <w:sz w:val="24"/>
          <w:szCs w:val="24"/>
        </w:rPr>
        <w:t>income from a disposal (such as where there is a broader capital gains tax</w:t>
      </w:r>
      <w:r w:rsidR="00423532">
        <w:rPr>
          <w:rFonts w:ascii="Times New Roman" w:hAnsi="Times New Roman"/>
          <w:sz w:val="24"/>
          <w:szCs w:val="24"/>
        </w:rPr>
        <w:t>),</w:t>
      </w:r>
      <w:r>
        <w:rPr>
          <w:rFonts w:ascii="Times New Roman" w:hAnsi="Times New Roman"/>
          <w:sz w:val="24"/>
          <w:szCs w:val="24"/>
        </w:rPr>
        <w:t xml:space="preserve"> many countries consider withholding taxes on sales of real property to be an effective collection mechanism</w:t>
      </w:r>
      <w:r w:rsidR="005965C4">
        <w:rPr>
          <w:rFonts w:ascii="Times New Roman" w:hAnsi="Times New Roman"/>
          <w:sz w:val="24"/>
          <w:szCs w:val="24"/>
        </w:rPr>
        <w:t xml:space="preserve">.  </w:t>
      </w:r>
      <w:r>
        <w:rPr>
          <w:rFonts w:ascii="Times New Roman" w:hAnsi="Times New Roman"/>
          <w:sz w:val="24"/>
          <w:szCs w:val="24"/>
        </w:rPr>
        <w:t xml:space="preserve">Countries with property withholding taxes include </w:t>
      </w:r>
      <w:r w:rsidRPr="0044734A">
        <w:rPr>
          <w:rFonts w:ascii="Times New Roman" w:hAnsi="Times New Roman"/>
          <w:sz w:val="24"/>
          <w:szCs w:val="24"/>
        </w:rPr>
        <w:t>Canada, Japan, and the United States</w:t>
      </w:r>
      <w:r w:rsidR="005965C4">
        <w:rPr>
          <w:rFonts w:ascii="Times New Roman" w:hAnsi="Times New Roman"/>
          <w:sz w:val="24"/>
          <w:szCs w:val="24"/>
        </w:rPr>
        <w:t xml:space="preserve">.  </w:t>
      </w:r>
      <w:r w:rsidRPr="0044734A">
        <w:rPr>
          <w:rFonts w:ascii="Times New Roman" w:hAnsi="Times New Roman"/>
          <w:sz w:val="24"/>
          <w:szCs w:val="24"/>
        </w:rPr>
        <w:t>In addition, Australia has recently announced that it is introducing a withholding tax on sales of certain interests in land by foreign investors to support its capital gains tax.</w:t>
      </w:r>
    </w:p>
    <w:p w:rsidR="00F43B25" w:rsidRDefault="00F43B25" w:rsidP="006C19A4">
      <w:pPr>
        <w:pStyle w:val="Bullet-list"/>
        <w:spacing w:after="0" w:line="240" w:lineRule="auto"/>
        <w:jc w:val="both"/>
        <w:rPr>
          <w:rFonts w:ascii="Times New Roman" w:hAnsi="Times New Roman"/>
          <w:sz w:val="24"/>
          <w:szCs w:val="24"/>
        </w:rPr>
      </w:pPr>
    </w:p>
    <w:p w:rsidR="00F43B25" w:rsidRDefault="00F43B25"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RLWT would require the seller’s conveyancer or solicitor involved in the conveyancing process (the withholding agent) to withhold an amount from the proceeds of the sale before the funds are released to the seller</w:t>
      </w:r>
      <w:r w:rsidR="005965C4">
        <w:rPr>
          <w:rFonts w:ascii="Times New Roman" w:hAnsi="Times New Roman"/>
          <w:sz w:val="24"/>
          <w:szCs w:val="24"/>
        </w:rPr>
        <w:t xml:space="preserve">.  </w:t>
      </w:r>
      <w:r>
        <w:rPr>
          <w:rFonts w:ascii="Times New Roman" w:hAnsi="Times New Roman"/>
          <w:sz w:val="24"/>
          <w:szCs w:val="24"/>
        </w:rPr>
        <w:t>The withholding agent would then be required to pay this amount to Inland Revenue.</w:t>
      </w:r>
    </w:p>
    <w:p w:rsidR="00F43B25" w:rsidRDefault="00F43B25">
      <w:pPr>
        <w:pStyle w:val="ListParagraph"/>
        <w:rPr>
          <w:rFonts w:ascii="Times New Roman" w:hAnsi="Times New Roman"/>
          <w:sz w:val="24"/>
          <w:szCs w:val="24"/>
        </w:rPr>
      </w:pPr>
    </w:p>
    <w:p w:rsidR="00F43B25" w:rsidRDefault="00F43B25"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RLWT has been designed as a collection mechanism for the bright-line test</w:t>
      </w:r>
      <w:r w:rsidR="00964DE8">
        <w:rPr>
          <w:rFonts w:ascii="Times New Roman" w:hAnsi="Times New Roman"/>
          <w:sz w:val="24"/>
          <w:szCs w:val="24"/>
        </w:rPr>
        <w:t xml:space="preserve">, which </w:t>
      </w:r>
      <w:r>
        <w:rPr>
          <w:rFonts w:ascii="Times New Roman" w:hAnsi="Times New Roman"/>
          <w:sz w:val="24"/>
          <w:szCs w:val="24"/>
        </w:rPr>
        <w:t>means that RLWT is a non-final withholding tax and the seller would be able to offset the amount of RLWT withheld against their income tax liability arising under the land sale rules</w:t>
      </w:r>
      <w:r w:rsidR="005965C4">
        <w:rPr>
          <w:rFonts w:ascii="Times New Roman" w:hAnsi="Times New Roman"/>
          <w:sz w:val="24"/>
          <w:szCs w:val="24"/>
        </w:rPr>
        <w:t xml:space="preserve">.  </w:t>
      </w:r>
      <w:r>
        <w:rPr>
          <w:rFonts w:ascii="Times New Roman" w:hAnsi="Times New Roman"/>
          <w:sz w:val="24"/>
          <w:szCs w:val="24"/>
        </w:rPr>
        <w:t>If the amount of RLWT withheld exceeds their final income tax liability, they would be entitled to a refund.</w:t>
      </w:r>
    </w:p>
    <w:p w:rsidR="00964DE8" w:rsidRDefault="00964DE8">
      <w:pPr>
        <w:pStyle w:val="ListParagraph"/>
        <w:rPr>
          <w:rFonts w:ascii="Times New Roman" w:hAnsi="Times New Roman"/>
          <w:sz w:val="24"/>
          <w:szCs w:val="24"/>
        </w:rPr>
      </w:pPr>
    </w:p>
    <w:p w:rsidR="009C6C7A" w:rsidRDefault="00964DE8" w:rsidP="00E222FF">
      <w:pPr>
        <w:pStyle w:val="ListParagraph"/>
        <w:numPr>
          <w:ilvl w:val="0"/>
          <w:numId w:val="3"/>
        </w:numPr>
        <w:tabs>
          <w:tab w:val="clear" w:pos="720"/>
          <w:tab w:val="num" w:pos="0"/>
        </w:tabs>
        <w:ind w:left="0" w:firstLine="0"/>
        <w:rPr>
          <w:rFonts w:ascii="Times New Roman" w:hAnsi="Times New Roman"/>
          <w:sz w:val="24"/>
          <w:szCs w:val="24"/>
        </w:rPr>
      </w:pPr>
      <w:r w:rsidRPr="00E222FF">
        <w:rPr>
          <w:rFonts w:ascii="Times New Roman" w:hAnsi="Times New Roman"/>
          <w:sz w:val="24"/>
          <w:szCs w:val="24"/>
        </w:rPr>
        <w:t>Two separate approaches have been identified under option 4</w:t>
      </w:r>
      <w:r w:rsidR="005965C4" w:rsidRPr="00E222FF">
        <w:rPr>
          <w:rFonts w:ascii="Times New Roman" w:hAnsi="Times New Roman"/>
          <w:sz w:val="24"/>
          <w:szCs w:val="24"/>
        </w:rPr>
        <w:t xml:space="preserve">.  </w:t>
      </w:r>
      <w:r w:rsidRPr="00E222FF">
        <w:rPr>
          <w:rFonts w:ascii="Times New Roman" w:hAnsi="Times New Roman"/>
          <w:sz w:val="24"/>
          <w:szCs w:val="24"/>
        </w:rPr>
        <w:t>Option 4(a) restricts the application of the RLWT to instances where the seller is an offshore person</w:t>
      </w:r>
      <w:r w:rsidR="005965C4" w:rsidRPr="00E222FF">
        <w:rPr>
          <w:rFonts w:ascii="Times New Roman" w:hAnsi="Times New Roman"/>
          <w:sz w:val="24"/>
          <w:szCs w:val="24"/>
        </w:rPr>
        <w:t xml:space="preserve">.  </w:t>
      </w:r>
      <w:r w:rsidRPr="00E222FF">
        <w:rPr>
          <w:rFonts w:ascii="Times New Roman" w:hAnsi="Times New Roman"/>
          <w:sz w:val="24"/>
          <w:szCs w:val="24"/>
        </w:rPr>
        <w:t>Option 4(b)</w:t>
      </w:r>
      <w:r w:rsidR="00E25CD4" w:rsidRPr="00E222FF">
        <w:rPr>
          <w:rFonts w:ascii="Times New Roman" w:hAnsi="Times New Roman"/>
          <w:sz w:val="24"/>
          <w:szCs w:val="24"/>
        </w:rPr>
        <w:t xml:space="preserve"> would apply to all sellers regardless</w:t>
      </w:r>
      <w:r w:rsidR="00917493" w:rsidRPr="00E222FF">
        <w:rPr>
          <w:rFonts w:ascii="Times New Roman" w:hAnsi="Times New Roman"/>
          <w:sz w:val="24"/>
          <w:szCs w:val="24"/>
        </w:rPr>
        <w:t xml:space="preserve"> of their offshore status</w:t>
      </w:r>
      <w:r w:rsidR="005965C4" w:rsidRPr="00E222FF">
        <w:rPr>
          <w:rFonts w:ascii="Times New Roman" w:hAnsi="Times New Roman"/>
          <w:sz w:val="24"/>
          <w:szCs w:val="24"/>
        </w:rPr>
        <w:t xml:space="preserve">.  </w:t>
      </w:r>
      <w:r w:rsidR="004865E1" w:rsidRPr="00E222FF">
        <w:rPr>
          <w:rFonts w:ascii="Times New Roman" w:hAnsi="Times New Roman"/>
          <w:sz w:val="24"/>
          <w:szCs w:val="24"/>
        </w:rPr>
        <w:t xml:space="preserve">Under both options, there would be an exemption for transfers of </w:t>
      </w:r>
      <w:r w:rsidR="004865E1" w:rsidRPr="00E222FF">
        <w:rPr>
          <w:rFonts w:ascii="Times New Roman" w:hAnsi="Times New Roman"/>
          <w:color w:val="000000"/>
          <w:sz w:val="24"/>
          <w:szCs w:val="24"/>
        </w:rPr>
        <w:t xml:space="preserve">inherited property or property transferred under </w:t>
      </w:r>
      <w:r w:rsidR="004865E1" w:rsidRPr="00E222FF">
        <w:rPr>
          <w:rFonts w:ascii="Times New Roman" w:hAnsi="Times New Roman"/>
          <w:sz w:val="24"/>
          <w:szCs w:val="24"/>
          <w:lang w:eastAsia="en-NZ"/>
        </w:rPr>
        <w:t>a relationship property agreement</w:t>
      </w:r>
      <w:r w:rsidR="00131302" w:rsidRPr="00E222FF">
        <w:rPr>
          <w:rFonts w:ascii="Times New Roman" w:hAnsi="Times New Roman"/>
          <w:sz w:val="24"/>
          <w:szCs w:val="24"/>
          <w:lang w:eastAsia="en-NZ"/>
        </w:rPr>
        <w:t>.</w:t>
      </w:r>
    </w:p>
    <w:p w:rsidR="00131302" w:rsidRPr="00E222FF" w:rsidRDefault="00131302" w:rsidP="00E222FF">
      <w:pPr>
        <w:pStyle w:val="ListParagraph"/>
        <w:ind w:left="0"/>
        <w:rPr>
          <w:rFonts w:ascii="Times New Roman" w:hAnsi="Times New Roman"/>
          <w:sz w:val="24"/>
          <w:szCs w:val="24"/>
        </w:rPr>
      </w:pPr>
    </w:p>
    <w:p w:rsidR="00F71C19" w:rsidRPr="00317341" w:rsidRDefault="009C6C7A"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317341">
        <w:rPr>
          <w:rFonts w:ascii="Times New Roman" w:hAnsi="Times New Roman"/>
          <w:sz w:val="24"/>
          <w:szCs w:val="24"/>
        </w:rPr>
        <w:t>Changes to Inland Revenue’s systems would be required to implement option</w:t>
      </w:r>
      <w:r w:rsidR="00362E4E">
        <w:rPr>
          <w:rFonts w:ascii="Times New Roman" w:hAnsi="Times New Roman"/>
          <w:sz w:val="24"/>
          <w:szCs w:val="24"/>
        </w:rPr>
        <w:t>s</w:t>
      </w:r>
      <w:r w:rsidRPr="00317341">
        <w:rPr>
          <w:rFonts w:ascii="Times New Roman" w:hAnsi="Times New Roman"/>
          <w:sz w:val="24"/>
          <w:szCs w:val="24"/>
        </w:rPr>
        <w:t xml:space="preserve"> 4(a)</w:t>
      </w:r>
      <w:r w:rsidR="00F71C19">
        <w:rPr>
          <w:rFonts w:ascii="Times New Roman" w:hAnsi="Times New Roman"/>
          <w:sz w:val="24"/>
          <w:szCs w:val="24"/>
        </w:rPr>
        <w:t xml:space="preserve"> and 4(b)</w:t>
      </w:r>
      <w:r w:rsidR="005965C4">
        <w:rPr>
          <w:rFonts w:ascii="Times New Roman" w:hAnsi="Times New Roman"/>
          <w:sz w:val="24"/>
          <w:szCs w:val="24"/>
        </w:rPr>
        <w:t xml:space="preserve">.  </w:t>
      </w:r>
      <w:r w:rsidR="00F71C19" w:rsidRPr="00317341">
        <w:rPr>
          <w:rFonts w:ascii="Times New Roman" w:hAnsi="Times New Roman"/>
          <w:sz w:val="24"/>
          <w:szCs w:val="24"/>
        </w:rPr>
        <w:t>Th</w:t>
      </w:r>
      <w:r w:rsidR="00F71C19">
        <w:rPr>
          <w:rFonts w:ascii="Times New Roman" w:hAnsi="Times New Roman"/>
          <w:sz w:val="24"/>
          <w:szCs w:val="24"/>
        </w:rPr>
        <w:t>ese</w:t>
      </w:r>
      <w:r w:rsidR="00F71C19" w:rsidRPr="00317341">
        <w:rPr>
          <w:rFonts w:ascii="Times New Roman" w:hAnsi="Times New Roman"/>
          <w:sz w:val="24"/>
          <w:szCs w:val="24"/>
        </w:rPr>
        <w:t xml:space="preserve"> </w:t>
      </w:r>
      <w:r w:rsidRPr="00317341">
        <w:rPr>
          <w:rFonts w:ascii="Times New Roman" w:hAnsi="Times New Roman"/>
          <w:sz w:val="24"/>
          <w:szCs w:val="24"/>
        </w:rPr>
        <w:t>option</w:t>
      </w:r>
      <w:r w:rsidR="00F71C19">
        <w:rPr>
          <w:rFonts w:ascii="Times New Roman" w:hAnsi="Times New Roman"/>
          <w:sz w:val="24"/>
          <w:szCs w:val="24"/>
        </w:rPr>
        <w:t>s</w:t>
      </w:r>
      <w:r w:rsidRPr="00317341">
        <w:rPr>
          <w:rFonts w:ascii="Times New Roman" w:hAnsi="Times New Roman"/>
          <w:sz w:val="24"/>
          <w:szCs w:val="24"/>
        </w:rPr>
        <w:t xml:space="preserve"> would impose additional compliance costs on taxpayers selling residential property</w:t>
      </w:r>
      <w:r w:rsidR="00F71C19">
        <w:rPr>
          <w:rFonts w:ascii="Times New Roman" w:hAnsi="Times New Roman"/>
          <w:sz w:val="24"/>
          <w:szCs w:val="24"/>
        </w:rPr>
        <w:t>, and would incur</w:t>
      </w:r>
      <w:r w:rsidRPr="00317341">
        <w:rPr>
          <w:rFonts w:ascii="Times New Roman" w:hAnsi="Times New Roman"/>
          <w:sz w:val="24"/>
          <w:szCs w:val="24"/>
        </w:rPr>
        <w:t xml:space="preserve"> administrative costs</w:t>
      </w:r>
      <w:r w:rsidR="005965C4">
        <w:rPr>
          <w:rFonts w:ascii="Times New Roman" w:hAnsi="Times New Roman"/>
          <w:sz w:val="24"/>
          <w:szCs w:val="24"/>
        </w:rPr>
        <w:t xml:space="preserve">.  </w:t>
      </w:r>
      <w:r w:rsidR="00F71C19">
        <w:rPr>
          <w:rFonts w:ascii="Times New Roman" w:hAnsi="Times New Roman"/>
          <w:sz w:val="24"/>
          <w:szCs w:val="24"/>
        </w:rPr>
        <w:t>The administrative and compliance costs of 4(b)</w:t>
      </w:r>
      <w:r w:rsidR="00423532">
        <w:rPr>
          <w:rFonts w:ascii="Times New Roman" w:hAnsi="Times New Roman"/>
          <w:sz w:val="24"/>
          <w:szCs w:val="24"/>
        </w:rPr>
        <w:t xml:space="preserve"> are</w:t>
      </w:r>
      <w:r w:rsidR="00F71C19">
        <w:rPr>
          <w:rFonts w:ascii="Times New Roman" w:hAnsi="Times New Roman"/>
          <w:sz w:val="24"/>
          <w:szCs w:val="24"/>
        </w:rPr>
        <w:t xml:space="preserve"> </w:t>
      </w:r>
      <w:r w:rsidR="00F71C19" w:rsidRPr="00F05150">
        <w:rPr>
          <w:rFonts w:ascii="Times New Roman" w:hAnsi="Times New Roman"/>
          <w:sz w:val="24"/>
          <w:szCs w:val="24"/>
        </w:rPr>
        <w:t xml:space="preserve">likely to be </w:t>
      </w:r>
      <w:r w:rsidR="00F71C19">
        <w:rPr>
          <w:rFonts w:ascii="Times New Roman" w:hAnsi="Times New Roman"/>
          <w:sz w:val="24"/>
          <w:szCs w:val="24"/>
        </w:rPr>
        <w:t>higher than option 4(a), for the reasons discussed below</w:t>
      </w:r>
      <w:r w:rsidR="005965C4">
        <w:rPr>
          <w:rFonts w:ascii="Times New Roman" w:hAnsi="Times New Roman"/>
          <w:sz w:val="24"/>
          <w:szCs w:val="24"/>
        </w:rPr>
        <w:t xml:space="preserve">.  </w:t>
      </w:r>
    </w:p>
    <w:p w:rsidR="00317341" w:rsidRDefault="00317341" w:rsidP="006C19A4">
      <w:pPr>
        <w:pStyle w:val="Bullet-list"/>
        <w:spacing w:after="0" w:line="240" w:lineRule="auto"/>
        <w:ind w:left="0" w:firstLine="0"/>
        <w:jc w:val="both"/>
        <w:rPr>
          <w:rFonts w:ascii="Times New Roman" w:hAnsi="Times New Roman"/>
          <w:sz w:val="24"/>
          <w:szCs w:val="24"/>
        </w:rPr>
      </w:pPr>
    </w:p>
    <w:p w:rsidR="00964DE8" w:rsidRDefault="00964DE8" w:rsidP="006C19A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extent to which the two approaches under this option meet the objective </w:t>
      </w:r>
      <w:r w:rsidR="00A121F8">
        <w:rPr>
          <w:rFonts w:ascii="Times New Roman" w:hAnsi="Times New Roman"/>
          <w:sz w:val="24"/>
          <w:szCs w:val="24"/>
        </w:rPr>
        <w:t xml:space="preserve">of </w:t>
      </w:r>
      <w:r w:rsidR="00E24BA5">
        <w:rPr>
          <w:rFonts w:ascii="Times New Roman" w:hAnsi="Times New Roman"/>
          <w:sz w:val="24"/>
          <w:szCs w:val="24"/>
        </w:rPr>
        <w:t xml:space="preserve">supporting the integrity of, and </w:t>
      </w:r>
      <w:r w:rsidR="00A121F8">
        <w:rPr>
          <w:rFonts w:ascii="Times New Roman" w:hAnsi="Times New Roman"/>
          <w:sz w:val="24"/>
          <w:szCs w:val="24"/>
        </w:rPr>
        <w:t xml:space="preserve">optimising compliance </w:t>
      </w:r>
      <w:r w:rsidR="00E24BA5">
        <w:rPr>
          <w:rFonts w:ascii="Times New Roman" w:hAnsi="Times New Roman"/>
          <w:sz w:val="24"/>
          <w:szCs w:val="24"/>
        </w:rPr>
        <w:t>with</w:t>
      </w:r>
      <w:r w:rsidR="00423532">
        <w:rPr>
          <w:rFonts w:ascii="Times New Roman" w:hAnsi="Times New Roman"/>
          <w:sz w:val="24"/>
          <w:szCs w:val="24"/>
        </w:rPr>
        <w:t>,</w:t>
      </w:r>
      <w:r w:rsidR="00E24BA5">
        <w:rPr>
          <w:rFonts w:ascii="Times New Roman" w:hAnsi="Times New Roman"/>
          <w:sz w:val="24"/>
          <w:szCs w:val="24"/>
        </w:rPr>
        <w:t xml:space="preserve"> the bright</w:t>
      </w:r>
      <w:r w:rsidR="00423532">
        <w:rPr>
          <w:rFonts w:ascii="Times New Roman" w:hAnsi="Times New Roman"/>
          <w:sz w:val="24"/>
          <w:szCs w:val="24"/>
        </w:rPr>
        <w:t>-</w:t>
      </w:r>
      <w:r w:rsidR="00E24BA5">
        <w:rPr>
          <w:rFonts w:ascii="Times New Roman" w:hAnsi="Times New Roman"/>
          <w:sz w:val="24"/>
          <w:szCs w:val="24"/>
        </w:rPr>
        <w:t xml:space="preserve">line test </w:t>
      </w:r>
      <w:r>
        <w:rPr>
          <w:rFonts w:ascii="Times New Roman" w:hAnsi="Times New Roman"/>
          <w:sz w:val="24"/>
          <w:szCs w:val="24"/>
        </w:rPr>
        <w:t>is dependent on a number of key design features</w:t>
      </w:r>
      <w:r w:rsidR="005965C4">
        <w:rPr>
          <w:rFonts w:ascii="Times New Roman" w:hAnsi="Times New Roman"/>
          <w:sz w:val="24"/>
          <w:szCs w:val="24"/>
        </w:rPr>
        <w:t xml:space="preserve">.  </w:t>
      </w:r>
      <w:r>
        <w:rPr>
          <w:rFonts w:ascii="Times New Roman" w:hAnsi="Times New Roman"/>
          <w:sz w:val="24"/>
          <w:szCs w:val="24"/>
        </w:rPr>
        <w:t xml:space="preserve">These key design issues are considered in further detail in the section </w:t>
      </w:r>
      <w:r w:rsidR="00423532">
        <w:rPr>
          <w:rFonts w:ascii="Times New Roman" w:hAnsi="Times New Roman"/>
          <w:sz w:val="24"/>
          <w:szCs w:val="24"/>
        </w:rPr>
        <w:t xml:space="preserve">titled </w:t>
      </w:r>
      <w:proofErr w:type="gramStart"/>
      <w:r w:rsidRPr="000047F2">
        <w:rPr>
          <w:rFonts w:ascii="Times New Roman" w:hAnsi="Times New Roman"/>
          <w:i/>
          <w:sz w:val="24"/>
          <w:szCs w:val="24"/>
        </w:rPr>
        <w:t>Further</w:t>
      </w:r>
      <w:proofErr w:type="gramEnd"/>
      <w:r w:rsidRPr="000047F2">
        <w:rPr>
          <w:rFonts w:ascii="Times New Roman" w:hAnsi="Times New Roman"/>
          <w:i/>
          <w:sz w:val="24"/>
          <w:szCs w:val="24"/>
        </w:rPr>
        <w:t xml:space="preserve"> analysis of option 4 - detailed design issues</w:t>
      </w:r>
      <w:r>
        <w:rPr>
          <w:rFonts w:ascii="Times New Roman" w:hAnsi="Times New Roman"/>
          <w:sz w:val="24"/>
          <w:szCs w:val="24"/>
        </w:rPr>
        <w:t>.</w:t>
      </w:r>
    </w:p>
    <w:p w:rsidR="00F43B25" w:rsidRDefault="00F43B25" w:rsidP="006C19A4">
      <w:pPr>
        <w:pStyle w:val="Bullet-list"/>
        <w:spacing w:after="0" w:line="240" w:lineRule="auto"/>
        <w:ind w:left="0" w:firstLine="0"/>
        <w:jc w:val="both"/>
        <w:rPr>
          <w:rFonts w:ascii="Times New Roman" w:hAnsi="Times New Roman"/>
          <w:b/>
          <w:sz w:val="24"/>
          <w:szCs w:val="24"/>
        </w:rPr>
      </w:pPr>
    </w:p>
    <w:p w:rsidR="00F43B25" w:rsidRPr="000047F2" w:rsidRDefault="006C7694" w:rsidP="006C19A4">
      <w:pPr>
        <w:pStyle w:val="Bullet-list"/>
        <w:spacing w:after="0" w:line="240" w:lineRule="auto"/>
        <w:jc w:val="both"/>
        <w:rPr>
          <w:rFonts w:ascii="Times New Roman" w:hAnsi="Times New Roman"/>
          <w:i/>
          <w:sz w:val="24"/>
          <w:szCs w:val="24"/>
        </w:rPr>
      </w:pPr>
      <w:r w:rsidRPr="000047F2">
        <w:rPr>
          <w:rFonts w:ascii="Times New Roman" w:hAnsi="Times New Roman"/>
          <w:i/>
          <w:sz w:val="24"/>
          <w:szCs w:val="24"/>
        </w:rPr>
        <w:t>Option 4(a): a</w:t>
      </w:r>
      <w:r w:rsidR="00F43B25" w:rsidRPr="000047F2">
        <w:rPr>
          <w:rFonts w:ascii="Times New Roman" w:hAnsi="Times New Roman"/>
          <w:i/>
          <w:sz w:val="24"/>
          <w:szCs w:val="24"/>
        </w:rPr>
        <w:t>pplies to sellers who are offshore persons</w:t>
      </w:r>
    </w:p>
    <w:p w:rsidR="006C7694" w:rsidRDefault="006C7694" w:rsidP="006C19A4">
      <w:pPr>
        <w:pStyle w:val="Bullet-list"/>
        <w:spacing w:after="0" w:line="240" w:lineRule="auto"/>
        <w:jc w:val="both"/>
        <w:rPr>
          <w:rFonts w:ascii="Times New Roman" w:hAnsi="Times New Roman"/>
          <w:b/>
          <w:sz w:val="24"/>
          <w:szCs w:val="24"/>
        </w:rPr>
      </w:pPr>
    </w:p>
    <w:p w:rsidR="00A121F8" w:rsidRDefault="00982CFF"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As noted in the discussion on options 1–3, the Commissioner’s existing tools are not always practical or effective when the taxpayer has limited or no presence in New Zealand</w:t>
      </w:r>
      <w:r w:rsidR="005965C4">
        <w:rPr>
          <w:rFonts w:ascii="Times New Roman" w:hAnsi="Times New Roman"/>
          <w:sz w:val="24"/>
          <w:szCs w:val="24"/>
        </w:rPr>
        <w:t xml:space="preserve">.  </w:t>
      </w:r>
      <w:r>
        <w:rPr>
          <w:rFonts w:ascii="Times New Roman" w:hAnsi="Times New Roman"/>
          <w:sz w:val="24"/>
          <w:szCs w:val="24"/>
        </w:rPr>
        <w:t xml:space="preserve">Other areas of the income tax rules currently recognise this practical concern and use a withholding tax to assist in the collection of taxes where </w:t>
      </w:r>
      <w:r w:rsidR="00BF3563">
        <w:rPr>
          <w:rFonts w:ascii="Times New Roman" w:hAnsi="Times New Roman"/>
          <w:sz w:val="24"/>
          <w:szCs w:val="24"/>
        </w:rPr>
        <w:t>there is likely to be a tax liability and where there may be issues with enforceability or evasion</w:t>
      </w:r>
      <w:r w:rsidR="005965C4">
        <w:rPr>
          <w:rFonts w:ascii="Times New Roman" w:hAnsi="Times New Roman"/>
          <w:sz w:val="24"/>
          <w:szCs w:val="24"/>
        </w:rPr>
        <w:t xml:space="preserve">.  </w:t>
      </w:r>
    </w:p>
    <w:p w:rsidR="00A121F8" w:rsidRDefault="00A121F8" w:rsidP="006C19A4">
      <w:pPr>
        <w:pStyle w:val="Bullet-list"/>
        <w:spacing w:after="0" w:line="240" w:lineRule="auto"/>
        <w:ind w:left="0" w:firstLine="0"/>
        <w:jc w:val="both"/>
        <w:rPr>
          <w:rFonts w:ascii="Times New Roman" w:hAnsi="Times New Roman"/>
          <w:sz w:val="24"/>
          <w:szCs w:val="24"/>
        </w:rPr>
      </w:pPr>
    </w:p>
    <w:p w:rsidR="002546F2" w:rsidRDefault="00982CFF"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44734A">
        <w:rPr>
          <w:rFonts w:ascii="Times New Roman" w:hAnsi="Times New Roman"/>
          <w:sz w:val="24"/>
          <w:szCs w:val="24"/>
        </w:rPr>
        <w:t>N</w:t>
      </w:r>
      <w:r>
        <w:rPr>
          <w:rFonts w:ascii="Times New Roman" w:hAnsi="Times New Roman"/>
          <w:sz w:val="24"/>
          <w:szCs w:val="24"/>
        </w:rPr>
        <w:t>ew Zealand</w:t>
      </w:r>
      <w:r w:rsidRPr="0044734A">
        <w:rPr>
          <w:rFonts w:ascii="Times New Roman" w:hAnsi="Times New Roman"/>
          <w:sz w:val="24"/>
          <w:szCs w:val="24"/>
        </w:rPr>
        <w:t xml:space="preserve"> imposes withholding taxes on many types of New Zealand</w:t>
      </w:r>
      <w:r w:rsidR="00BF3563">
        <w:rPr>
          <w:rFonts w:ascii="Times New Roman" w:hAnsi="Times New Roman"/>
          <w:sz w:val="24"/>
          <w:szCs w:val="24"/>
        </w:rPr>
        <w:t>-</w:t>
      </w:r>
      <w:r w:rsidRPr="0044734A">
        <w:rPr>
          <w:rFonts w:ascii="Times New Roman" w:hAnsi="Times New Roman"/>
          <w:sz w:val="24"/>
          <w:szCs w:val="24"/>
        </w:rPr>
        <w:t>sourced income derived by non-residents</w:t>
      </w:r>
      <w:r w:rsidR="005965C4">
        <w:rPr>
          <w:rFonts w:ascii="Times New Roman" w:hAnsi="Times New Roman"/>
          <w:sz w:val="24"/>
          <w:szCs w:val="24"/>
        </w:rPr>
        <w:t xml:space="preserve">.  </w:t>
      </w:r>
      <w:r w:rsidRPr="0044734A">
        <w:rPr>
          <w:rFonts w:ascii="Times New Roman" w:hAnsi="Times New Roman"/>
          <w:sz w:val="24"/>
          <w:szCs w:val="24"/>
        </w:rPr>
        <w:t xml:space="preserve">For example, non-resident withholding tax (NRWT) is imposed on certain types of passive income such as dividends and royalties, and </w:t>
      </w:r>
      <w:r w:rsidR="00BF3563">
        <w:rPr>
          <w:rFonts w:ascii="Times New Roman" w:hAnsi="Times New Roman"/>
          <w:sz w:val="24"/>
          <w:szCs w:val="24"/>
        </w:rPr>
        <w:t>a form of withholding tax called “</w:t>
      </w:r>
      <w:proofErr w:type="spellStart"/>
      <w:r w:rsidR="00BF3563">
        <w:rPr>
          <w:rFonts w:ascii="Times New Roman" w:hAnsi="Times New Roman"/>
          <w:sz w:val="24"/>
          <w:szCs w:val="24"/>
        </w:rPr>
        <w:t>schedular</w:t>
      </w:r>
      <w:proofErr w:type="spellEnd"/>
      <w:r w:rsidR="00BF3563">
        <w:rPr>
          <w:rFonts w:ascii="Times New Roman" w:hAnsi="Times New Roman"/>
          <w:sz w:val="24"/>
          <w:szCs w:val="24"/>
        </w:rPr>
        <w:t xml:space="preserve"> payments” </w:t>
      </w:r>
      <w:r w:rsidRPr="0044734A">
        <w:rPr>
          <w:rFonts w:ascii="Times New Roman" w:hAnsi="Times New Roman"/>
          <w:sz w:val="24"/>
          <w:szCs w:val="24"/>
        </w:rPr>
        <w:t>is imposed on non-residents performing a contract activity</w:t>
      </w:r>
      <w:r w:rsidR="005965C4">
        <w:rPr>
          <w:rFonts w:ascii="Times New Roman" w:hAnsi="Times New Roman"/>
          <w:sz w:val="24"/>
          <w:szCs w:val="24"/>
        </w:rPr>
        <w:t xml:space="preserve">.  </w:t>
      </w:r>
      <w:r w:rsidRPr="0044734A">
        <w:rPr>
          <w:rFonts w:ascii="Times New Roman" w:hAnsi="Times New Roman"/>
          <w:sz w:val="24"/>
          <w:szCs w:val="24"/>
        </w:rPr>
        <w:t>These withholding taxes are imposed on the payer, who is</w:t>
      </w:r>
      <w:r>
        <w:rPr>
          <w:rFonts w:ascii="Times New Roman" w:hAnsi="Times New Roman"/>
          <w:sz w:val="24"/>
          <w:szCs w:val="24"/>
        </w:rPr>
        <w:t xml:space="preserve"> usually resident in New </w:t>
      </w:r>
      <w:r w:rsidR="00423532">
        <w:rPr>
          <w:rFonts w:ascii="Times New Roman" w:hAnsi="Times New Roman"/>
          <w:sz w:val="24"/>
          <w:szCs w:val="24"/>
        </w:rPr>
        <w:t>Zealand, which</w:t>
      </w:r>
      <w:r>
        <w:rPr>
          <w:rFonts w:ascii="Times New Roman" w:hAnsi="Times New Roman"/>
          <w:sz w:val="24"/>
          <w:szCs w:val="24"/>
        </w:rPr>
        <w:t xml:space="preserve"> makes enforcement and collection easier.</w:t>
      </w:r>
    </w:p>
    <w:p w:rsidR="002546F2" w:rsidRPr="001C30F1" w:rsidRDefault="002546F2" w:rsidP="006C19A4">
      <w:pPr>
        <w:pStyle w:val="Bullet-list"/>
        <w:spacing w:after="0" w:line="240" w:lineRule="auto"/>
        <w:ind w:left="0" w:firstLine="0"/>
        <w:jc w:val="both"/>
        <w:rPr>
          <w:rFonts w:ascii="Times New Roman" w:hAnsi="Times New Roman"/>
          <w:sz w:val="24"/>
          <w:szCs w:val="24"/>
        </w:rPr>
      </w:pPr>
    </w:p>
    <w:p w:rsidR="009C6C7A" w:rsidRPr="000047F2" w:rsidRDefault="006C7694" w:rsidP="006C19A4">
      <w:pPr>
        <w:pStyle w:val="Bullet-list"/>
        <w:numPr>
          <w:ilvl w:val="0"/>
          <w:numId w:val="3"/>
        </w:numPr>
        <w:tabs>
          <w:tab w:val="clear" w:pos="720"/>
          <w:tab w:val="num" w:pos="0"/>
        </w:tabs>
        <w:spacing w:after="0" w:line="240" w:lineRule="auto"/>
        <w:ind w:left="0" w:hanging="11"/>
        <w:jc w:val="both"/>
        <w:rPr>
          <w:rFonts w:ascii="Times New Roman" w:hAnsi="Times New Roman"/>
          <w:b/>
          <w:sz w:val="24"/>
          <w:szCs w:val="24"/>
        </w:rPr>
      </w:pPr>
      <w:r w:rsidRPr="009C6C7A">
        <w:rPr>
          <w:rFonts w:ascii="Times New Roman" w:hAnsi="Times New Roman"/>
          <w:sz w:val="24"/>
          <w:szCs w:val="24"/>
        </w:rPr>
        <w:t>The RLWT proposed under option 4(a) would only apply where the seller is an “offshore person”</w:t>
      </w:r>
      <w:r w:rsidR="00982CFF" w:rsidRPr="009C6C7A">
        <w:rPr>
          <w:rFonts w:ascii="Times New Roman" w:hAnsi="Times New Roman"/>
          <w:sz w:val="24"/>
          <w:szCs w:val="24"/>
        </w:rPr>
        <w:t>, a concept introduced in the Tax Administration Amendment Act 2015</w:t>
      </w:r>
      <w:r w:rsidR="005965C4">
        <w:rPr>
          <w:rFonts w:ascii="Times New Roman" w:hAnsi="Times New Roman"/>
          <w:sz w:val="24"/>
          <w:szCs w:val="24"/>
        </w:rPr>
        <w:t xml:space="preserve">.  </w:t>
      </w:r>
      <w:r w:rsidR="009C6C7A">
        <w:rPr>
          <w:rFonts w:ascii="Times New Roman" w:hAnsi="Times New Roman"/>
          <w:sz w:val="24"/>
          <w:szCs w:val="24"/>
        </w:rPr>
        <w:t>In response to submitters’ concerns relating to the difficulties of establishing whether a person is an offshore person (particularly relating to non-individuals), it is proposed that the definition be modified to be simpler and more prescriptive</w:t>
      </w:r>
      <w:r w:rsidR="005965C4">
        <w:rPr>
          <w:rFonts w:ascii="Times New Roman" w:hAnsi="Times New Roman"/>
          <w:sz w:val="24"/>
          <w:szCs w:val="24"/>
        </w:rPr>
        <w:t xml:space="preserve">.  </w:t>
      </w:r>
      <w:r w:rsidR="009C6C7A">
        <w:rPr>
          <w:rFonts w:ascii="Times New Roman" w:hAnsi="Times New Roman"/>
          <w:sz w:val="24"/>
          <w:szCs w:val="24"/>
        </w:rPr>
        <w:t xml:space="preserve">In particular, the requirements in relation to trusts have been made </w:t>
      </w:r>
      <w:r w:rsidR="004865E1">
        <w:rPr>
          <w:rFonts w:ascii="Times New Roman" w:hAnsi="Times New Roman"/>
          <w:sz w:val="24"/>
          <w:szCs w:val="24"/>
        </w:rPr>
        <w:t>clearer</w:t>
      </w:r>
      <w:r w:rsidR="005965C4">
        <w:rPr>
          <w:rFonts w:ascii="Times New Roman" w:hAnsi="Times New Roman"/>
          <w:sz w:val="24"/>
          <w:szCs w:val="24"/>
        </w:rPr>
        <w:t xml:space="preserve">.  </w:t>
      </w:r>
    </w:p>
    <w:p w:rsidR="009C6C7A" w:rsidRPr="000047F2" w:rsidRDefault="009C6C7A" w:rsidP="006C19A4">
      <w:pPr>
        <w:pStyle w:val="Bullet-list"/>
        <w:spacing w:after="0" w:line="240" w:lineRule="auto"/>
        <w:ind w:left="0" w:firstLine="0"/>
        <w:jc w:val="both"/>
        <w:rPr>
          <w:rFonts w:ascii="Times New Roman" w:hAnsi="Times New Roman"/>
          <w:b/>
          <w:sz w:val="24"/>
          <w:szCs w:val="24"/>
        </w:rPr>
      </w:pPr>
    </w:p>
    <w:p w:rsidR="002546F2" w:rsidRDefault="006C7694"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An individual is an offshore person if they are not a New Zealand citizen who has been physically present in New Zealand within the previous three years or a holder of a residence class visa who has been physically present in New Zealand in the previous year</w:t>
      </w:r>
      <w:r w:rsidR="005965C4">
        <w:rPr>
          <w:rFonts w:ascii="Times New Roman" w:hAnsi="Times New Roman"/>
          <w:sz w:val="24"/>
          <w:szCs w:val="24"/>
        </w:rPr>
        <w:t xml:space="preserve">.  </w:t>
      </w:r>
      <w:r w:rsidR="00BF3563">
        <w:rPr>
          <w:rFonts w:ascii="Times New Roman" w:hAnsi="Times New Roman"/>
          <w:sz w:val="24"/>
          <w:szCs w:val="24"/>
        </w:rPr>
        <w:t>It is proposed that a</w:t>
      </w:r>
      <w:r>
        <w:rPr>
          <w:rFonts w:ascii="Times New Roman" w:hAnsi="Times New Roman"/>
          <w:sz w:val="24"/>
          <w:szCs w:val="24"/>
        </w:rPr>
        <w:t xml:space="preserve"> non-individual </w:t>
      </w:r>
      <w:r w:rsidR="00BF3563">
        <w:rPr>
          <w:rFonts w:ascii="Times New Roman" w:hAnsi="Times New Roman"/>
          <w:sz w:val="24"/>
          <w:szCs w:val="24"/>
        </w:rPr>
        <w:t>will be</w:t>
      </w:r>
      <w:r>
        <w:rPr>
          <w:rFonts w:ascii="Times New Roman" w:hAnsi="Times New Roman"/>
          <w:sz w:val="24"/>
          <w:szCs w:val="24"/>
        </w:rPr>
        <w:t xml:space="preserve"> an offshore person </w:t>
      </w:r>
      <w:r w:rsidR="00BF3563">
        <w:rPr>
          <w:rFonts w:ascii="Times New Roman" w:hAnsi="Times New Roman"/>
          <w:sz w:val="24"/>
          <w:szCs w:val="24"/>
        </w:rPr>
        <w:t>if, in the case of a company, any of its directors are offshore persons</w:t>
      </w:r>
      <w:r w:rsidR="00840873">
        <w:rPr>
          <w:rFonts w:ascii="Times New Roman" w:hAnsi="Times New Roman"/>
          <w:sz w:val="24"/>
          <w:szCs w:val="24"/>
        </w:rPr>
        <w:t>,</w:t>
      </w:r>
      <w:r w:rsidR="00BF3563">
        <w:rPr>
          <w:rFonts w:ascii="Times New Roman" w:hAnsi="Times New Roman"/>
          <w:sz w:val="24"/>
          <w:szCs w:val="24"/>
        </w:rPr>
        <w:t xml:space="preserve"> it is </w:t>
      </w:r>
      <w:r>
        <w:rPr>
          <w:rFonts w:ascii="Times New Roman" w:hAnsi="Times New Roman"/>
          <w:sz w:val="24"/>
          <w:szCs w:val="24"/>
        </w:rPr>
        <w:t>constituted outside New Zealand</w:t>
      </w:r>
      <w:r w:rsidR="00840873">
        <w:rPr>
          <w:rFonts w:ascii="Times New Roman" w:hAnsi="Times New Roman"/>
          <w:sz w:val="24"/>
          <w:szCs w:val="24"/>
        </w:rPr>
        <w:t>,</w:t>
      </w:r>
      <w:r w:rsidR="00BF3563">
        <w:rPr>
          <w:rFonts w:ascii="Times New Roman" w:hAnsi="Times New Roman"/>
          <w:sz w:val="24"/>
          <w:szCs w:val="24"/>
        </w:rPr>
        <w:t xml:space="preserve"> or </w:t>
      </w:r>
      <w:r>
        <w:rPr>
          <w:rFonts w:ascii="Times New Roman" w:hAnsi="Times New Roman"/>
          <w:sz w:val="24"/>
          <w:szCs w:val="24"/>
        </w:rPr>
        <w:t xml:space="preserve">25% or more </w:t>
      </w:r>
      <w:r w:rsidR="00BF3563">
        <w:rPr>
          <w:rFonts w:ascii="Times New Roman" w:hAnsi="Times New Roman"/>
          <w:sz w:val="24"/>
          <w:szCs w:val="24"/>
        </w:rPr>
        <w:t xml:space="preserve">of shareholders are </w:t>
      </w:r>
      <w:r>
        <w:rPr>
          <w:rFonts w:ascii="Times New Roman" w:hAnsi="Times New Roman"/>
          <w:sz w:val="24"/>
          <w:szCs w:val="24"/>
        </w:rPr>
        <w:t>offshore persons</w:t>
      </w:r>
      <w:r w:rsidR="005965C4">
        <w:rPr>
          <w:rFonts w:ascii="Times New Roman" w:hAnsi="Times New Roman"/>
          <w:sz w:val="24"/>
          <w:szCs w:val="24"/>
        </w:rPr>
        <w:t xml:space="preserve">.  </w:t>
      </w:r>
      <w:r w:rsidR="002546F2">
        <w:rPr>
          <w:rFonts w:ascii="Times New Roman" w:hAnsi="Times New Roman"/>
          <w:sz w:val="24"/>
          <w:szCs w:val="24"/>
        </w:rPr>
        <w:t>This is broadly based on definition of “overseas person” in the Overseas Investment Act 2005, which provides for the screening and consent of proposed overseas investment in sensitive New Zealand assets, with modifications</w:t>
      </w:r>
      <w:r w:rsidR="005965C4">
        <w:rPr>
          <w:rFonts w:ascii="Times New Roman" w:hAnsi="Times New Roman"/>
          <w:sz w:val="24"/>
          <w:szCs w:val="24"/>
        </w:rPr>
        <w:t xml:space="preserve">.  </w:t>
      </w:r>
      <w:r w:rsidR="002546F2">
        <w:rPr>
          <w:rFonts w:ascii="Times New Roman" w:hAnsi="Times New Roman"/>
          <w:sz w:val="24"/>
          <w:szCs w:val="24"/>
        </w:rPr>
        <w:t>It is also proposed that a</w:t>
      </w:r>
      <w:r w:rsidR="00BF3563">
        <w:rPr>
          <w:rFonts w:ascii="Times New Roman" w:hAnsi="Times New Roman"/>
          <w:sz w:val="24"/>
          <w:szCs w:val="24"/>
        </w:rPr>
        <w:t xml:space="preserve"> partnership will be an offshore person if any of its partners are offshore persons</w:t>
      </w:r>
      <w:r w:rsidR="005965C4">
        <w:rPr>
          <w:rFonts w:ascii="Times New Roman" w:hAnsi="Times New Roman"/>
          <w:sz w:val="24"/>
          <w:szCs w:val="24"/>
        </w:rPr>
        <w:t xml:space="preserve">.  </w:t>
      </w:r>
      <w:r w:rsidR="00BF3563">
        <w:rPr>
          <w:rFonts w:ascii="Times New Roman" w:hAnsi="Times New Roman"/>
          <w:sz w:val="24"/>
          <w:szCs w:val="24"/>
        </w:rPr>
        <w:t>A trust will be an offshore person if any of its trustees</w:t>
      </w:r>
      <w:r w:rsidR="00923842">
        <w:rPr>
          <w:rFonts w:ascii="Times New Roman" w:hAnsi="Times New Roman"/>
          <w:sz w:val="24"/>
          <w:szCs w:val="24"/>
        </w:rPr>
        <w:t xml:space="preserve"> or</w:t>
      </w:r>
      <w:r w:rsidR="00BF3563">
        <w:rPr>
          <w:rFonts w:ascii="Times New Roman" w:hAnsi="Times New Roman"/>
          <w:sz w:val="24"/>
          <w:szCs w:val="24"/>
        </w:rPr>
        <w:t xml:space="preserve"> settlors</w:t>
      </w:r>
      <w:r w:rsidR="001966BE">
        <w:rPr>
          <w:rFonts w:ascii="Times New Roman" w:hAnsi="Times New Roman"/>
          <w:sz w:val="24"/>
          <w:szCs w:val="24"/>
        </w:rPr>
        <w:t xml:space="preserve"> </w:t>
      </w:r>
      <w:proofErr w:type="gramStart"/>
      <w:r w:rsidR="00DF6AC8">
        <w:rPr>
          <w:rFonts w:ascii="Times New Roman" w:hAnsi="Times New Roman"/>
          <w:sz w:val="24"/>
          <w:szCs w:val="24"/>
        </w:rPr>
        <w:t>are</w:t>
      </w:r>
      <w:proofErr w:type="gramEnd"/>
      <w:r w:rsidR="001966BE">
        <w:rPr>
          <w:rFonts w:ascii="Times New Roman" w:hAnsi="Times New Roman"/>
          <w:sz w:val="24"/>
          <w:szCs w:val="24"/>
        </w:rPr>
        <w:t xml:space="preserve"> offshore person</w:t>
      </w:r>
      <w:r w:rsidR="00DF6AC8">
        <w:rPr>
          <w:rFonts w:ascii="Times New Roman" w:hAnsi="Times New Roman"/>
          <w:sz w:val="24"/>
          <w:szCs w:val="24"/>
        </w:rPr>
        <w:t>s</w:t>
      </w:r>
      <w:r w:rsidR="005965C4">
        <w:rPr>
          <w:rFonts w:ascii="Times New Roman" w:hAnsi="Times New Roman"/>
          <w:sz w:val="24"/>
          <w:szCs w:val="24"/>
        </w:rPr>
        <w:t xml:space="preserve">.  </w:t>
      </w:r>
      <w:r w:rsidR="001966BE">
        <w:rPr>
          <w:rFonts w:ascii="Times New Roman" w:hAnsi="Times New Roman"/>
          <w:sz w:val="24"/>
          <w:szCs w:val="24"/>
        </w:rPr>
        <w:t xml:space="preserve">In addition, a trust will be an offshore person </w:t>
      </w:r>
      <w:r w:rsidR="00923842">
        <w:rPr>
          <w:rFonts w:ascii="Times New Roman" w:hAnsi="Times New Roman"/>
          <w:sz w:val="24"/>
          <w:szCs w:val="24"/>
        </w:rPr>
        <w:t>if all its beneficiaries</w:t>
      </w:r>
      <w:r w:rsidR="00BF3563">
        <w:rPr>
          <w:rFonts w:ascii="Times New Roman" w:hAnsi="Times New Roman"/>
          <w:sz w:val="24"/>
          <w:szCs w:val="24"/>
        </w:rPr>
        <w:t xml:space="preserve"> are offshore </w:t>
      </w:r>
      <w:proofErr w:type="gramStart"/>
      <w:r w:rsidR="00BF3563">
        <w:rPr>
          <w:rFonts w:ascii="Times New Roman" w:hAnsi="Times New Roman"/>
          <w:sz w:val="24"/>
          <w:szCs w:val="24"/>
        </w:rPr>
        <w:t>persons</w:t>
      </w:r>
      <w:r w:rsidR="001966BE">
        <w:rPr>
          <w:rFonts w:ascii="Times New Roman" w:hAnsi="Times New Roman"/>
          <w:sz w:val="24"/>
          <w:szCs w:val="24"/>
        </w:rPr>
        <w:t>,</w:t>
      </w:r>
      <w:proofErr w:type="gramEnd"/>
      <w:r w:rsidR="001966BE">
        <w:rPr>
          <w:rFonts w:ascii="Times New Roman" w:hAnsi="Times New Roman"/>
          <w:sz w:val="24"/>
          <w:szCs w:val="24"/>
        </w:rPr>
        <w:t xml:space="preserve"> or </w:t>
      </w:r>
      <w:r w:rsidR="006834DA">
        <w:rPr>
          <w:rFonts w:ascii="Times New Roman" w:hAnsi="Times New Roman"/>
          <w:sz w:val="24"/>
          <w:szCs w:val="24"/>
        </w:rPr>
        <w:t xml:space="preserve">if </w:t>
      </w:r>
      <w:r w:rsidR="001966BE">
        <w:rPr>
          <w:rFonts w:ascii="Times New Roman" w:hAnsi="Times New Roman"/>
          <w:sz w:val="24"/>
          <w:szCs w:val="24"/>
        </w:rPr>
        <w:t xml:space="preserve">at least one beneficiary is an offshore person and has received a distribution from the trust within the last six </w:t>
      </w:r>
      <w:r w:rsidR="001966BE" w:rsidRPr="008F746A">
        <w:rPr>
          <w:rFonts w:ascii="Times New Roman" w:hAnsi="Times New Roman"/>
          <w:sz w:val="24"/>
          <w:szCs w:val="24"/>
        </w:rPr>
        <w:t>years</w:t>
      </w:r>
      <w:r w:rsidR="005965C4" w:rsidRPr="008F746A">
        <w:rPr>
          <w:rFonts w:ascii="Times New Roman" w:hAnsi="Times New Roman"/>
          <w:sz w:val="24"/>
          <w:szCs w:val="24"/>
        </w:rPr>
        <w:t xml:space="preserve">. </w:t>
      </w:r>
      <w:r w:rsidR="00982518" w:rsidRPr="008F746A">
        <w:rPr>
          <w:rFonts w:ascii="Times New Roman" w:hAnsi="Times New Roman"/>
          <w:sz w:val="24"/>
          <w:szCs w:val="24"/>
        </w:rPr>
        <w:t>For further discussion on this issue refer to paragraphs</w:t>
      </w:r>
      <w:r w:rsidR="005965C4" w:rsidRPr="008F746A">
        <w:rPr>
          <w:rFonts w:ascii="Times New Roman" w:hAnsi="Times New Roman"/>
          <w:sz w:val="24"/>
          <w:szCs w:val="24"/>
        </w:rPr>
        <w:t xml:space="preserve"> </w:t>
      </w:r>
      <w:r w:rsidR="00A8722F">
        <w:rPr>
          <w:rFonts w:ascii="Times New Roman" w:hAnsi="Times New Roman"/>
          <w:sz w:val="24"/>
          <w:szCs w:val="24"/>
        </w:rPr>
        <w:t>103–118</w:t>
      </w:r>
      <w:r w:rsidR="008F746A" w:rsidRPr="008F746A">
        <w:rPr>
          <w:rFonts w:ascii="Times New Roman" w:hAnsi="Times New Roman"/>
          <w:sz w:val="24"/>
          <w:szCs w:val="24"/>
        </w:rPr>
        <w:t>.</w:t>
      </w:r>
    </w:p>
    <w:p w:rsidR="00182888" w:rsidRDefault="00182888" w:rsidP="006C19A4">
      <w:pPr>
        <w:pStyle w:val="Bullet-list"/>
        <w:spacing w:after="0" w:line="240" w:lineRule="auto"/>
        <w:ind w:left="0" w:firstLine="0"/>
        <w:jc w:val="both"/>
        <w:rPr>
          <w:rFonts w:ascii="Times New Roman" w:hAnsi="Times New Roman"/>
          <w:sz w:val="24"/>
          <w:szCs w:val="24"/>
        </w:rPr>
      </w:pPr>
    </w:p>
    <w:p w:rsidR="001966BE" w:rsidRDefault="00423532"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Given</w:t>
      </w:r>
      <w:r w:rsidR="008C0723">
        <w:rPr>
          <w:rFonts w:ascii="Times New Roman" w:hAnsi="Times New Roman"/>
          <w:sz w:val="24"/>
          <w:szCs w:val="24"/>
        </w:rPr>
        <w:t xml:space="preserve"> the general difficulty faced in collecting tax from foreign investors and other non-residents with limited presence in New Zealand, the introduction of a withholding tax under </w:t>
      </w:r>
      <w:r w:rsidR="00D46A34">
        <w:rPr>
          <w:rFonts w:ascii="Times New Roman" w:hAnsi="Times New Roman"/>
          <w:sz w:val="24"/>
          <w:szCs w:val="24"/>
        </w:rPr>
        <w:t>option 4</w:t>
      </w:r>
      <w:r w:rsidR="00982CFF">
        <w:rPr>
          <w:rFonts w:ascii="Times New Roman" w:hAnsi="Times New Roman"/>
          <w:sz w:val="24"/>
          <w:szCs w:val="24"/>
        </w:rPr>
        <w:t>(a)</w:t>
      </w:r>
      <w:r w:rsidR="008C0723">
        <w:rPr>
          <w:rFonts w:ascii="Times New Roman" w:hAnsi="Times New Roman"/>
          <w:sz w:val="24"/>
          <w:szCs w:val="24"/>
        </w:rPr>
        <w:t xml:space="preserve"> is Inland Revenue’s preferred approach</w:t>
      </w:r>
      <w:r w:rsidR="005965C4">
        <w:rPr>
          <w:rFonts w:ascii="Times New Roman" w:hAnsi="Times New Roman"/>
          <w:sz w:val="24"/>
          <w:szCs w:val="24"/>
        </w:rPr>
        <w:t xml:space="preserve">.  </w:t>
      </w:r>
      <w:r w:rsidR="00AF3D4F">
        <w:rPr>
          <w:rFonts w:ascii="Times New Roman" w:hAnsi="Times New Roman"/>
          <w:sz w:val="24"/>
          <w:szCs w:val="24"/>
        </w:rPr>
        <w:t xml:space="preserve">To minimise some of the potential compliance costs under this option, particularly those borne by withholding agents, some-self certification </w:t>
      </w:r>
      <w:r w:rsidR="004865E1">
        <w:rPr>
          <w:rFonts w:ascii="Times New Roman" w:hAnsi="Times New Roman"/>
          <w:sz w:val="24"/>
          <w:szCs w:val="24"/>
        </w:rPr>
        <w:t xml:space="preserve">may </w:t>
      </w:r>
      <w:r w:rsidR="00AF3D4F">
        <w:rPr>
          <w:rFonts w:ascii="Times New Roman" w:hAnsi="Times New Roman"/>
          <w:sz w:val="24"/>
          <w:szCs w:val="24"/>
        </w:rPr>
        <w:t>be required by sellers regarding whether or not they are</w:t>
      </w:r>
      <w:r w:rsidR="00982518">
        <w:rPr>
          <w:rFonts w:ascii="Times New Roman" w:hAnsi="Times New Roman"/>
          <w:sz w:val="24"/>
          <w:szCs w:val="24"/>
        </w:rPr>
        <w:t xml:space="preserve"> an</w:t>
      </w:r>
      <w:r w:rsidR="00AF3D4F">
        <w:rPr>
          <w:rFonts w:ascii="Times New Roman" w:hAnsi="Times New Roman"/>
          <w:sz w:val="24"/>
          <w:szCs w:val="24"/>
        </w:rPr>
        <w:t xml:space="preserve"> offshore person.</w:t>
      </w:r>
    </w:p>
    <w:p w:rsidR="001966BE" w:rsidRDefault="001966BE" w:rsidP="006C19A4">
      <w:pPr>
        <w:pStyle w:val="ListParagraph"/>
        <w:rPr>
          <w:rFonts w:ascii="Times New Roman" w:hAnsi="Times New Roman"/>
          <w:sz w:val="24"/>
          <w:szCs w:val="24"/>
        </w:rPr>
      </w:pPr>
    </w:p>
    <w:p w:rsidR="001966BE" w:rsidRDefault="001966BE"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This option does not explicitly provide for the main home exception available under the proposed bright-line test</w:t>
      </w:r>
      <w:r w:rsidR="005965C4">
        <w:rPr>
          <w:rFonts w:ascii="Times New Roman" w:hAnsi="Times New Roman"/>
          <w:sz w:val="24"/>
          <w:szCs w:val="24"/>
        </w:rPr>
        <w:t xml:space="preserve">.  </w:t>
      </w:r>
      <w:r>
        <w:rPr>
          <w:rFonts w:ascii="Times New Roman" w:hAnsi="Times New Roman"/>
          <w:sz w:val="24"/>
          <w:szCs w:val="24"/>
        </w:rPr>
        <w:t>However, the main home exception would not apply to most offshore</w:t>
      </w:r>
      <w:r w:rsidR="004865E1">
        <w:rPr>
          <w:rFonts w:ascii="Times New Roman" w:hAnsi="Times New Roman"/>
          <w:sz w:val="24"/>
          <w:szCs w:val="24"/>
        </w:rPr>
        <w:t xml:space="preserve"> </w:t>
      </w:r>
      <w:r>
        <w:rPr>
          <w:rFonts w:ascii="Times New Roman" w:hAnsi="Times New Roman"/>
          <w:sz w:val="24"/>
          <w:szCs w:val="24"/>
        </w:rPr>
        <w:t>persons</w:t>
      </w:r>
      <w:r w:rsidR="00982518">
        <w:rPr>
          <w:rFonts w:ascii="Times New Roman" w:hAnsi="Times New Roman"/>
          <w:sz w:val="24"/>
          <w:szCs w:val="24"/>
        </w:rPr>
        <w:t xml:space="preserve"> anyway</w:t>
      </w:r>
      <w:r>
        <w:rPr>
          <w:rFonts w:ascii="Times New Roman" w:hAnsi="Times New Roman"/>
          <w:sz w:val="24"/>
          <w:szCs w:val="24"/>
        </w:rPr>
        <w:t>, so withholding under this option where no tax liability exists is unlikely to occur.</w:t>
      </w:r>
    </w:p>
    <w:p w:rsidR="00AF3D4F" w:rsidRDefault="00AF3D4F">
      <w:pPr>
        <w:pStyle w:val="ListParagraph"/>
        <w:rPr>
          <w:rFonts w:ascii="Times New Roman" w:hAnsi="Times New Roman"/>
          <w:sz w:val="24"/>
          <w:szCs w:val="24"/>
        </w:rPr>
      </w:pPr>
    </w:p>
    <w:p w:rsidR="008C0723" w:rsidRPr="00AF3D4F" w:rsidRDefault="00000B95"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AF3D4F">
        <w:rPr>
          <w:rFonts w:ascii="Times New Roman" w:hAnsi="Times New Roman"/>
          <w:sz w:val="24"/>
          <w:szCs w:val="24"/>
        </w:rPr>
        <w:t>W</w:t>
      </w:r>
      <w:r w:rsidR="00007519">
        <w:rPr>
          <w:rFonts w:ascii="Times New Roman" w:hAnsi="Times New Roman"/>
          <w:sz w:val="24"/>
          <w:szCs w:val="24"/>
        </w:rPr>
        <w:t>hile we see this option as increasing the effectiveness of the bright-line test by increasing compliance with the new rules and other options may also do the same, we</w:t>
      </w:r>
      <w:r w:rsidR="00DF6AC8">
        <w:rPr>
          <w:rFonts w:ascii="Times New Roman" w:hAnsi="Times New Roman"/>
          <w:sz w:val="24"/>
          <w:szCs w:val="24"/>
        </w:rPr>
        <w:t xml:space="preserve"> also</w:t>
      </w:r>
      <w:r w:rsidR="00007519">
        <w:rPr>
          <w:rFonts w:ascii="Times New Roman" w:hAnsi="Times New Roman"/>
          <w:sz w:val="24"/>
          <w:szCs w:val="24"/>
        </w:rPr>
        <w:t xml:space="preserve"> view this option </w:t>
      </w:r>
      <w:r w:rsidR="00007519" w:rsidRPr="00007519">
        <w:rPr>
          <w:rFonts w:ascii="Times New Roman" w:hAnsi="Times New Roman"/>
          <w:sz w:val="24"/>
          <w:szCs w:val="24"/>
        </w:rPr>
        <w:t>as</w:t>
      </w:r>
      <w:r w:rsidR="00007519">
        <w:rPr>
          <w:rFonts w:ascii="Times New Roman" w:hAnsi="Times New Roman"/>
          <w:sz w:val="24"/>
          <w:szCs w:val="24"/>
        </w:rPr>
        <w:t xml:space="preserve"> </w:t>
      </w:r>
      <w:r w:rsidR="00007519" w:rsidRPr="00007519">
        <w:rPr>
          <w:rFonts w:ascii="Times New Roman" w:hAnsi="Times New Roman"/>
          <w:i/>
          <w:sz w:val="24"/>
          <w:szCs w:val="24"/>
        </w:rPr>
        <w:t>optimisin</w:t>
      </w:r>
      <w:r w:rsidR="00007519" w:rsidRPr="000047F2">
        <w:rPr>
          <w:rFonts w:ascii="Times New Roman" w:hAnsi="Times New Roman"/>
          <w:i/>
          <w:sz w:val="24"/>
          <w:szCs w:val="24"/>
        </w:rPr>
        <w:t>g</w:t>
      </w:r>
      <w:r w:rsidR="00007519">
        <w:rPr>
          <w:rFonts w:ascii="Times New Roman" w:hAnsi="Times New Roman"/>
          <w:i/>
          <w:sz w:val="24"/>
          <w:szCs w:val="24"/>
        </w:rPr>
        <w:t xml:space="preserve"> </w:t>
      </w:r>
      <w:r w:rsidR="00007519" w:rsidRPr="000047F2">
        <w:rPr>
          <w:rFonts w:ascii="Times New Roman" w:hAnsi="Times New Roman"/>
          <w:sz w:val="24"/>
          <w:szCs w:val="24"/>
        </w:rPr>
        <w:t>compliance with the bright-line test, due to its impact on fairness</w:t>
      </w:r>
      <w:r w:rsidR="00B1570D">
        <w:rPr>
          <w:rFonts w:ascii="Times New Roman" w:hAnsi="Times New Roman"/>
          <w:sz w:val="24"/>
          <w:szCs w:val="24"/>
        </w:rPr>
        <w:t xml:space="preserve"> as well as compliance and administrative costs</w:t>
      </w:r>
      <w:r w:rsidR="005965C4">
        <w:rPr>
          <w:rFonts w:ascii="Times New Roman" w:hAnsi="Times New Roman"/>
          <w:sz w:val="24"/>
          <w:szCs w:val="24"/>
        </w:rPr>
        <w:t xml:space="preserve">.  </w:t>
      </w:r>
      <w:r w:rsidR="00007519">
        <w:rPr>
          <w:rFonts w:ascii="Times New Roman" w:hAnsi="Times New Roman"/>
          <w:sz w:val="24"/>
          <w:szCs w:val="24"/>
        </w:rPr>
        <w:t>The compliance costs of the withholding tax under this option would legally fall on the person with the ultimate tax liability, i.e</w:t>
      </w:r>
      <w:r w:rsidR="005965C4">
        <w:rPr>
          <w:rFonts w:ascii="Times New Roman" w:hAnsi="Times New Roman"/>
          <w:sz w:val="24"/>
          <w:szCs w:val="24"/>
        </w:rPr>
        <w:t xml:space="preserve">.  </w:t>
      </w:r>
      <w:proofErr w:type="gramStart"/>
      <w:r w:rsidR="00007519">
        <w:rPr>
          <w:rFonts w:ascii="Times New Roman" w:hAnsi="Times New Roman"/>
          <w:sz w:val="24"/>
          <w:szCs w:val="24"/>
        </w:rPr>
        <w:t>the</w:t>
      </w:r>
      <w:proofErr w:type="gramEnd"/>
      <w:r w:rsidR="00007519">
        <w:rPr>
          <w:rFonts w:ascii="Times New Roman" w:hAnsi="Times New Roman"/>
          <w:sz w:val="24"/>
          <w:szCs w:val="24"/>
        </w:rPr>
        <w:t xml:space="preserve"> seller</w:t>
      </w:r>
      <w:r w:rsidR="005965C4">
        <w:rPr>
          <w:rFonts w:ascii="Times New Roman" w:hAnsi="Times New Roman"/>
          <w:sz w:val="24"/>
          <w:szCs w:val="24"/>
        </w:rPr>
        <w:t xml:space="preserve">.  </w:t>
      </w:r>
      <w:r w:rsidR="00007519">
        <w:rPr>
          <w:rFonts w:ascii="Times New Roman" w:hAnsi="Times New Roman"/>
          <w:sz w:val="24"/>
          <w:szCs w:val="24"/>
        </w:rPr>
        <w:t xml:space="preserve">As the withholding tax under this option would only apply to offshore persons, it </w:t>
      </w:r>
      <w:r w:rsidR="009C6C7A">
        <w:rPr>
          <w:rFonts w:ascii="Times New Roman" w:hAnsi="Times New Roman"/>
          <w:sz w:val="24"/>
          <w:szCs w:val="24"/>
        </w:rPr>
        <w:t xml:space="preserve">is expected to </w:t>
      </w:r>
      <w:r w:rsidR="00007519">
        <w:rPr>
          <w:rFonts w:ascii="Times New Roman" w:hAnsi="Times New Roman"/>
          <w:sz w:val="24"/>
          <w:szCs w:val="24"/>
        </w:rPr>
        <w:t>increase the perception that foreign investors are paying their “fair share of tax” in New Zealand</w:t>
      </w:r>
      <w:r w:rsidR="007371C0">
        <w:rPr>
          <w:rFonts w:ascii="Times New Roman" w:hAnsi="Times New Roman"/>
          <w:sz w:val="24"/>
          <w:szCs w:val="24"/>
        </w:rPr>
        <w:t>, thereby enhancing the integrity of the tax system.</w:t>
      </w:r>
    </w:p>
    <w:p w:rsidR="00E25CD4" w:rsidRDefault="00E25CD4">
      <w:pPr>
        <w:pStyle w:val="ListParagraph"/>
        <w:rPr>
          <w:rFonts w:ascii="Times New Roman" w:hAnsi="Times New Roman"/>
          <w:sz w:val="24"/>
          <w:szCs w:val="24"/>
        </w:rPr>
      </w:pPr>
    </w:p>
    <w:p w:rsidR="00E25CD4" w:rsidRDefault="006C7694" w:rsidP="006C19A4">
      <w:pPr>
        <w:jc w:val="both"/>
        <w:rPr>
          <w:rFonts w:ascii="Times New Roman" w:hAnsi="Times New Roman"/>
          <w:i/>
          <w:sz w:val="24"/>
          <w:szCs w:val="24"/>
          <w:lang w:val="en-AU"/>
        </w:rPr>
      </w:pPr>
      <w:r w:rsidRPr="000047F2">
        <w:rPr>
          <w:rFonts w:ascii="Times New Roman" w:hAnsi="Times New Roman"/>
          <w:i/>
          <w:sz w:val="24"/>
          <w:szCs w:val="24"/>
          <w:lang w:val="en-AU" w:eastAsia="en-US"/>
        </w:rPr>
        <w:t xml:space="preserve">Option 4(b): applies </w:t>
      </w:r>
      <w:r w:rsidRPr="000047F2">
        <w:rPr>
          <w:rFonts w:ascii="Times New Roman" w:hAnsi="Times New Roman"/>
          <w:i/>
          <w:sz w:val="24"/>
          <w:szCs w:val="24"/>
          <w:lang w:val="en-AU"/>
        </w:rPr>
        <w:t>to all sellers regardless of offshore status</w:t>
      </w:r>
    </w:p>
    <w:p w:rsidR="00E25CD4" w:rsidRDefault="009C6C7A" w:rsidP="006C19A4">
      <w:pPr>
        <w:pStyle w:val="ListParagraph"/>
        <w:numPr>
          <w:ilvl w:val="0"/>
          <w:numId w:val="3"/>
        </w:numPr>
        <w:tabs>
          <w:tab w:val="clear" w:pos="720"/>
          <w:tab w:val="num" w:pos="0"/>
        </w:tabs>
        <w:ind w:left="0" w:firstLine="0"/>
        <w:rPr>
          <w:rFonts w:ascii="Times New Roman" w:hAnsi="Times New Roman"/>
          <w:sz w:val="24"/>
          <w:szCs w:val="24"/>
          <w:lang w:val="en-AU"/>
        </w:rPr>
      </w:pPr>
      <w:r>
        <w:rPr>
          <w:rFonts w:ascii="Times New Roman" w:hAnsi="Times New Roman"/>
          <w:sz w:val="24"/>
          <w:szCs w:val="24"/>
          <w:lang w:val="en-AU"/>
        </w:rPr>
        <w:t>W</w:t>
      </w:r>
      <w:r w:rsidR="006F3282">
        <w:rPr>
          <w:rFonts w:ascii="Times New Roman" w:hAnsi="Times New Roman"/>
          <w:sz w:val="24"/>
          <w:szCs w:val="24"/>
          <w:lang w:val="en-AU"/>
        </w:rPr>
        <w:t xml:space="preserve">e identified option 4(b) as a possible option – a withholding tax as outlined in option 4(a), but </w:t>
      </w:r>
      <w:r w:rsidR="00CB27F5">
        <w:rPr>
          <w:rFonts w:ascii="Times New Roman" w:hAnsi="Times New Roman"/>
          <w:sz w:val="24"/>
          <w:szCs w:val="24"/>
          <w:lang w:val="en-AU"/>
        </w:rPr>
        <w:t>applying</w:t>
      </w:r>
      <w:r w:rsidR="006F3282">
        <w:rPr>
          <w:rFonts w:ascii="Times New Roman" w:hAnsi="Times New Roman"/>
          <w:sz w:val="24"/>
          <w:szCs w:val="24"/>
          <w:lang w:val="en-AU"/>
        </w:rPr>
        <w:t xml:space="preserve"> regardless of the offshore status of the seller.</w:t>
      </w:r>
    </w:p>
    <w:p w:rsidR="009C6C7A" w:rsidRDefault="009C6C7A">
      <w:pPr>
        <w:pStyle w:val="ListParagraph"/>
        <w:ind w:left="0"/>
        <w:rPr>
          <w:rFonts w:ascii="Times New Roman" w:hAnsi="Times New Roman"/>
          <w:sz w:val="24"/>
          <w:szCs w:val="24"/>
          <w:lang w:val="en-AU"/>
        </w:rPr>
      </w:pPr>
    </w:p>
    <w:p w:rsidR="009C6C7A" w:rsidRDefault="009C6C7A" w:rsidP="006C19A4">
      <w:pPr>
        <w:pStyle w:val="ListParagraph"/>
        <w:numPr>
          <w:ilvl w:val="0"/>
          <w:numId w:val="3"/>
        </w:numPr>
        <w:tabs>
          <w:tab w:val="clear" w:pos="720"/>
          <w:tab w:val="num" w:pos="0"/>
        </w:tabs>
        <w:ind w:left="0" w:firstLine="0"/>
        <w:rPr>
          <w:rFonts w:ascii="Times New Roman" w:hAnsi="Times New Roman"/>
          <w:sz w:val="24"/>
          <w:szCs w:val="24"/>
          <w:lang w:val="en-AU"/>
        </w:rPr>
      </w:pPr>
      <w:r>
        <w:rPr>
          <w:rFonts w:ascii="Times New Roman" w:hAnsi="Times New Roman"/>
          <w:sz w:val="24"/>
          <w:szCs w:val="24"/>
          <w:lang w:val="en-AU"/>
        </w:rPr>
        <w:t xml:space="preserve">Officials consider that this would be the most effective way of ensuring maximum </w:t>
      </w:r>
      <w:r w:rsidR="00FF1A89">
        <w:rPr>
          <w:rFonts w:ascii="Times New Roman" w:hAnsi="Times New Roman"/>
          <w:sz w:val="24"/>
          <w:szCs w:val="24"/>
          <w:lang w:val="en-AU"/>
        </w:rPr>
        <w:t>compliance with the proposed bright</w:t>
      </w:r>
      <w:r w:rsidR="001966BE">
        <w:rPr>
          <w:rFonts w:ascii="Times New Roman" w:hAnsi="Times New Roman"/>
          <w:sz w:val="24"/>
          <w:szCs w:val="24"/>
          <w:lang w:val="en-AU"/>
        </w:rPr>
        <w:t>-</w:t>
      </w:r>
      <w:r w:rsidR="00FF1A89">
        <w:rPr>
          <w:rFonts w:ascii="Times New Roman" w:hAnsi="Times New Roman"/>
          <w:sz w:val="24"/>
          <w:szCs w:val="24"/>
          <w:lang w:val="en-AU"/>
        </w:rPr>
        <w:t>line test</w:t>
      </w:r>
      <w:r w:rsidR="005965C4">
        <w:rPr>
          <w:rFonts w:ascii="Times New Roman" w:hAnsi="Times New Roman"/>
          <w:sz w:val="24"/>
          <w:szCs w:val="24"/>
          <w:lang w:val="en-AU"/>
        </w:rPr>
        <w:t xml:space="preserve">.  </w:t>
      </w:r>
      <w:r>
        <w:rPr>
          <w:rFonts w:ascii="Times New Roman" w:hAnsi="Times New Roman"/>
          <w:sz w:val="24"/>
          <w:szCs w:val="24"/>
          <w:lang w:val="en-AU"/>
        </w:rPr>
        <w:t xml:space="preserve">Another advantage of this approach is that it would reduce some compliance </w:t>
      </w:r>
      <w:r w:rsidR="00CB27F5">
        <w:rPr>
          <w:rFonts w:ascii="Times New Roman" w:hAnsi="Times New Roman"/>
          <w:sz w:val="24"/>
          <w:szCs w:val="24"/>
          <w:lang w:val="en-AU"/>
        </w:rPr>
        <w:t>costs</w:t>
      </w:r>
      <w:r w:rsidR="00761AD3">
        <w:rPr>
          <w:rFonts w:ascii="Times New Roman" w:hAnsi="Times New Roman"/>
          <w:sz w:val="24"/>
          <w:szCs w:val="24"/>
          <w:lang w:val="en-AU"/>
        </w:rPr>
        <w:t>,</w:t>
      </w:r>
      <w:r w:rsidR="00CB27F5">
        <w:rPr>
          <w:rFonts w:ascii="Times New Roman" w:hAnsi="Times New Roman"/>
          <w:sz w:val="24"/>
          <w:szCs w:val="24"/>
          <w:lang w:val="en-AU"/>
        </w:rPr>
        <w:t xml:space="preserve"> as there </w:t>
      </w:r>
      <w:r w:rsidR="00761AD3">
        <w:rPr>
          <w:rFonts w:ascii="Times New Roman" w:hAnsi="Times New Roman"/>
          <w:sz w:val="24"/>
          <w:szCs w:val="24"/>
          <w:lang w:val="en-AU"/>
        </w:rPr>
        <w:t>would be</w:t>
      </w:r>
      <w:r w:rsidR="00FF1A89">
        <w:rPr>
          <w:rFonts w:ascii="Times New Roman" w:hAnsi="Times New Roman"/>
          <w:sz w:val="24"/>
          <w:szCs w:val="24"/>
          <w:lang w:val="en-AU"/>
        </w:rPr>
        <w:t xml:space="preserve"> no determination</w:t>
      </w:r>
      <w:r w:rsidR="00761AD3">
        <w:rPr>
          <w:rFonts w:ascii="Times New Roman" w:hAnsi="Times New Roman"/>
          <w:sz w:val="24"/>
          <w:szCs w:val="24"/>
          <w:lang w:val="en-AU"/>
        </w:rPr>
        <w:t xml:space="preserve"> </w:t>
      </w:r>
      <w:r w:rsidR="00B1570D">
        <w:rPr>
          <w:rFonts w:ascii="Times New Roman" w:hAnsi="Times New Roman"/>
          <w:sz w:val="24"/>
          <w:szCs w:val="24"/>
          <w:lang w:val="en-AU"/>
        </w:rPr>
        <w:t xml:space="preserve">required </w:t>
      </w:r>
      <w:r w:rsidR="00CB27F5">
        <w:rPr>
          <w:rFonts w:ascii="Times New Roman" w:hAnsi="Times New Roman"/>
          <w:sz w:val="24"/>
          <w:szCs w:val="24"/>
          <w:lang w:val="en-AU"/>
        </w:rPr>
        <w:t>as to whet</w:t>
      </w:r>
      <w:r w:rsidR="00FF1A89">
        <w:rPr>
          <w:rFonts w:ascii="Times New Roman" w:hAnsi="Times New Roman"/>
          <w:sz w:val="24"/>
          <w:szCs w:val="24"/>
          <w:lang w:val="en-AU"/>
        </w:rPr>
        <w:t>her</w:t>
      </w:r>
      <w:r>
        <w:rPr>
          <w:rFonts w:ascii="Times New Roman" w:hAnsi="Times New Roman"/>
          <w:sz w:val="24"/>
          <w:szCs w:val="24"/>
          <w:lang w:val="en-AU"/>
        </w:rPr>
        <w:t xml:space="preserve"> a person is an offshore person or not</w:t>
      </w:r>
      <w:r w:rsidR="005965C4">
        <w:rPr>
          <w:rFonts w:ascii="Times New Roman" w:hAnsi="Times New Roman"/>
          <w:sz w:val="24"/>
          <w:szCs w:val="24"/>
          <w:lang w:val="en-AU"/>
        </w:rPr>
        <w:t xml:space="preserve">.  </w:t>
      </w:r>
    </w:p>
    <w:p w:rsidR="009C6C7A" w:rsidRDefault="009C6C7A">
      <w:pPr>
        <w:pStyle w:val="ListParagraph"/>
        <w:ind w:left="0"/>
        <w:rPr>
          <w:rFonts w:ascii="Times New Roman" w:hAnsi="Times New Roman"/>
          <w:sz w:val="24"/>
          <w:szCs w:val="24"/>
          <w:lang w:val="en-AU"/>
        </w:rPr>
      </w:pPr>
    </w:p>
    <w:p w:rsidR="006F3282" w:rsidRDefault="00917493" w:rsidP="006C19A4">
      <w:pPr>
        <w:pStyle w:val="ListParagraph"/>
        <w:numPr>
          <w:ilvl w:val="0"/>
          <w:numId w:val="3"/>
        </w:numPr>
        <w:tabs>
          <w:tab w:val="clear" w:pos="720"/>
          <w:tab w:val="num" w:pos="0"/>
        </w:tabs>
        <w:ind w:left="0" w:firstLine="0"/>
        <w:rPr>
          <w:rFonts w:ascii="Times New Roman" w:hAnsi="Times New Roman"/>
          <w:sz w:val="24"/>
          <w:szCs w:val="24"/>
          <w:lang w:val="en-AU"/>
        </w:rPr>
      </w:pPr>
      <w:r w:rsidRPr="00CB27F5">
        <w:rPr>
          <w:rFonts w:ascii="Times New Roman" w:hAnsi="Times New Roman"/>
          <w:sz w:val="24"/>
          <w:szCs w:val="24"/>
          <w:lang w:val="en-AU"/>
        </w:rPr>
        <w:t xml:space="preserve">However, we would expect </w:t>
      </w:r>
      <w:r w:rsidR="001966BE">
        <w:rPr>
          <w:rFonts w:ascii="Times New Roman" w:hAnsi="Times New Roman"/>
          <w:sz w:val="24"/>
          <w:szCs w:val="24"/>
          <w:lang w:val="en-AU"/>
        </w:rPr>
        <w:t xml:space="preserve">overall </w:t>
      </w:r>
      <w:r w:rsidRPr="00CB27F5">
        <w:rPr>
          <w:rFonts w:ascii="Times New Roman" w:hAnsi="Times New Roman"/>
          <w:sz w:val="24"/>
          <w:szCs w:val="24"/>
          <w:lang w:val="en-AU"/>
        </w:rPr>
        <w:t xml:space="preserve">compliance costs </w:t>
      </w:r>
      <w:r w:rsidR="00182888">
        <w:rPr>
          <w:rFonts w:ascii="Times New Roman" w:hAnsi="Times New Roman"/>
          <w:sz w:val="24"/>
          <w:szCs w:val="24"/>
          <w:lang w:val="en-AU"/>
        </w:rPr>
        <w:t>and administrative</w:t>
      </w:r>
      <w:r w:rsidR="00B1570D">
        <w:rPr>
          <w:rFonts w:ascii="Times New Roman" w:hAnsi="Times New Roman"/>
          <w:sz w:val="24"/>
          <w:szCs w:val="24"/>
          <w:lang w:val="en-AU"/>
        </w:rPr>
        <w:t xml:space="preserve"> costs</w:t>
      </w:r>
      <w:r w:rsidR="00182888">
        <w:rPr>
          <w:rFonts w:ascii="Times New Roman" w:hAnsi="Times New Roman"/>
          <w:sz w:val="24"/>
          <w:szCs w:val="24"/>
          <w:lang w:val="en-AU"/>
        </w:rPr>
        <w:t xml:space="preserve"> </w:t>
      </w:r>
      <w:r w:rsidRPr="00CB27F5">
        <w:rPr>
          <w:rFonts w:ascii="Times New Roman" w:hAnsi="Times New Roman"/>
          <w:sz w:val="24"/>
          <w:szCs w:val="24"/>
          <w:lang w:val="en-AU"/>
        </w:rPr>
        <w:t>to increase relative to option 4(a)</w:t>
      </w:r>
      <w:r w:rsidR="005965C4">
        <w:rPr>
          <w:rFonts w:ascii="Times New Roman" w:hAnsi="Times New Roman"/>
          <w:sz w:val="24"/>
          <w:szCs w:val="24"/>
          <w:lang w:val="en-AU"/>
        </w:rPr>
        <w:t xml:space="preserve">.  </w:t>
      </w:r>
      <w:r w:rsidR="001966BE">
        <w:rPr>
          <w:rFonts w:ascii="Times New Roman" w:hAnsi="Times New Roman"/>
          <w:sz w:val="24"/>
          <w:szCs w:val="24"/>
          <w:lang w:val="en-AU"/>
        </w:rPr>
        <w:t>This is because t</w:t>
      </w:r>
      <w:r w:rsidRPr="00CB27F5">
        <w:rPr>
          <w:rFonts w:ascii="Times New Roman" w:hAnsi="Times New Roman"/>
          <w:sz w:val="24"/>
          <w:szCs w:val="24"/>
          <w:lang w:val="en-AU"/>
        </w:rPr>
        <w:t xml:space="preserve">here </w:t>
      </w:r>
      <w:r w:rsidR="001966BE" w:rsidRPr="00CB27F5">
        <w:rPr>
          <w:rFonts w:ascii="Times New Roman" w:hAnsi="Times New Roman"/>
          <w:sz w:val="24"/>
          <w:szCs w:val="24"/>
          <w:lang w:val="en-AU"/>
        </w:rPr>
        <w:t>w</w:t>
      </w:r>
      <w:r w:rsidR="001966BE">
        <w:rPr>
          <w:rFonts w:ascii="Times New Roman" w:hAnsi="Times New Roman"/>
          <w:sz w:val="24"/>
          <w:szCs w:val="24"/>
          <w:lang w:val="en-AU"/>
        </w:rPr>
        <w:t>ould</w:t>
      </w:r>
      <w:r w:rsidR="001966BE" w:rsidRPr="00CB27F5">
        <w:rPr>
          <w:rFonts w:ascii="Times New Roman" w:hAnsi="Times New Roman"/>
          <w:sz w:val="24"/>
          <w:szCs w:val="24"/>
          <w:lang w:val="en-AU"/>
        </w:rPr>
        <w:t xml:space="preserve"> </w:t>
      </w:r>
      <w:r w:rsidRPr="00CB27F5">
        <w:rPr>
          <w:rFonts w:ascii="Times New Roman" w:hAnsi="Times New Roman"/>
          <w:sz w:val="24"/>
          <w:szCs w:val="24"/>
          <w:lang w:val="en-AU"/>
        </w:rPr>
        <w:t xml:space="preserve">be a greater number of transactions </w:t>
      </w:r>
      <w:r w:rsidR="00B1570D">
        <w:rPr>
          <w:rFonts w:ascii="Times New Roman" w:hAnsi="Times New Roman"/>
          <w:sz w:val="24"/>
          <w:szCs w:val="24"/>
          <w:lang w:val="en-AU"/>
        </w:rPr>
        <w:t xml:space="preserve">that require </w:t>
      </w:r>
      <w:r w:rsidRPr="00CB27F5">
        <w:rPr>
          <w:rFonts w:ascii="Times New Roman" w:hAnsi="Times New Roman"/>
          <w:sz w:val="24"/>
          <w:szCs w:val="24"/>
          <w:lang w:val="en-AU"/>
        </w:rPr>
        <w:t>withholding</w:t>
      </w:r>
      <w:r w:rsidR="005965C4">
        <w:rPr>
          <w:rFonts w:ascii="Times New Roman" w:hAnsi="Times New Roman"/>
          <w:sz w:val="24"/>
          <w:szCs w:val="24"/>
          <w:lang w:val="en-AU"/>
        </w:rPr>
        <w:t xml:space="preserve">.  </w:t>
      </w:r>
      <w:r w:rsidRPr="00CB27F5">
        <w:rPr>
          <w:rFonts w:ascii="Times New Roman" w:hAnsi="Times New Roman"/>
          <w:sz w:val="24"/>
          <w:szCs w:val="24"/>
          <w:lang w:val="en-AU"/>
        </w:rPr>
        <w:t xml:space="preserve">The number of sales likely to be affected is unknown, because there will be a number of behavioural </w:t>
      </w:r>
      <w:r w:rsidR="00E551CF" w:rsidRPr="00CB27F5">
        <w:rPr>
          <w:rFonts w:ascii="Times New Roman" w:hAnsi="Times New Roman"/>
          <w:sz w:val="24"/>
          <w:szCs w:val="24"/>
          <w:lang w:val="en-AU"/>
        </w:rPr>
        <w:t>effects associated with the introduction of the bright-line</w:t>
      </w:r>
      <w:r w:rsidR="001966BE">
        <w:rPr>
          <w:rFonts w:ascii="Times New Roman" w:hAnsi="Times New Roman"/>
          <w:sz w:val="24"/>
          <w:szCs w:val="24"/>
          <w:lang w:val="en-AU"/>
        </w:rPr>
        <w:t xml:space="preserve"> test</w:t>
      </w:r>
      <w:r w:rsidR="00E551CF" w:rsidRPr="00CB27F5">
        <w:rPr>
          <w:rFonts w:ascii="Times New Roman" w:hAnsi="Times New Roman"/>
          <w:sz w:val="24"/>
          <w:szCs w:val="24"/>
          <w:lang w:val="en-AU"/>
        </w:rPr>
        <w:t>, which are inherently difficult to quantify – one of these is the number of sales that would be delayed in order to exceed the two-year holding period.</w:t>
      </w:r>
    </w:p>
    <w:p w:rsidR="00CB27F5" w:rsidRDefault="00CB27F5">
      <w:pPr>
        <w:pStyle w:val="ListParagraph"/>
        <w:ind w:left="0"/>
        <w:rPr>
          <w:rFonts w:ascii="Times New Roman" w:hAnsi="Times New Roman"/>
          <w:sz w:val="24"/>
          <w:szCs w:val="24"/>
          <w:lang w:val="en-AU"/>
        </w:rPr>
      </w:pPr>
    </w:p>
    <w:p w:rsidR="00761AD3" w:rsidRDefault="00761AD3" w:rsidP="006C19A4">
      <w:pPr>
        <w:pStyle w:val="ListParagraph"/>
        <w:numPr>
          <w:ilvl w:val="0"/>
          <w:numId w:val="3"/>
        </w:numPr>
        <w:tabs>
          <w:tab w:val="clear" w:pos="720"/>
          <w:tab w:val="num" w:pos="0"/>
        </w:tabs>
        <w:ind w:left="0" w:firstLine="0"/>
        <w:rPr>
          <w:rFonts w:ascii="Times New Roman" w:hAnsi="Times New Roman"/>
          <w:sz w:val="24"/>
          <w:szCs w:val="24"/>
          <w:lang w:val="en-AU"/>
        </w:rPr>
      </w:pPr>
      <w:r>
        <w:rPr>
          <w:rFonts w:ascii="Times New Roman" w:hAnsi="Times New Roman"/>
          <w:sz w:val="24"/>
          <w:szCs w:val="24"/>
          <w:lang w:val="en-AU"/>
        </w:rPr>
        <w:t>Income from m</w:t>
      </w:r>
      <w:r w:rsidR="00CB27F5" w:rsidRPr="00761AD3">
        <w:rPr>
          <w:rFonts w:ascii="Times New Roman" w:hAnsi="Times New Roman"/>
          <w:sz w:val="24"/>
          <w:szCs w:val="24"/>
          <w:lang w:val="en-AU"/>
        </w:rPr>
        <w:t xml:space="preserve">any of these sales will be exempted under the </w:t>
      </w:r>
      <w:r>
        <w:rPr>
          <w:rFonts w:ascii="Times New Roman" w:hAnsi="Times New Roman"/>
          <w:sz w:val="24"/>
          <w:szCs w:val="24"/>
          <w:lang w:val="en-AU"/>
        </w:rPr>
        <w:t>bright</w:t>
      </w:r>
      <w:r w:rsidR="001966BE">
        <w:rPr>
          <w:rFonts w:ascii="Times New Roman" w:hAnsi="Times New Roman"/>
          <w:sz w:val="24"/>
          <w:szCs w:val="24"/>
          <w:lang w:val="en-AU"/>
        </w:rPr>
        <w:t>-</w:t>
      </w:r>
      <w:r>
        <w:rPr>
          <w:rFonts w:ascii="Times New Roman" w:hAnsi="Times New Roman"/>
          <w:sz w:val="24"/>
          <w:szCs w:val="24"/>
          <w:lang w:val="en-AU"/>
        </w:rPr>
        <w:t xml:space="preserve">line proposal because they relate to the </w:t>
      </w:r>
      <w:r w:rsidR="002D3278">
        <w:rPr>
          <w:rFonts w:ascii="Times New Roman" w:hAnsi="Times New Roman"/>
          <w:sz w:val="24"/>
          <w:szCs w:val="24"/>
          <w:lang w:val="en-AU"/>
        </w:rPr>
        <w:t xml:space="preserve">seller’s </w:t>
      </w:r>
      <w:r>
        <w:rPr>
          <w:rFonts w:ascii="Times New Roman" w:hAnsi="Times New Roman"/>
          <w:sz w:val="24"/>
          <w:szCs w:val="24"/>
          <w:lang w:val="en-AU"/>
        </w:rPr>
        <w:t>main home</w:t>
      </w:r>
      <w:r w:rsidR="005965C4">
        <w:rPr>
          <w:rFonts w:ascii="Times New Roman" w:hAnsi="Times New Roman"/>
          <w:sz w:val="24"/>
          <w:szCs w:val="24"/>
          <w:lang w:val="en-AU"/>
        </w:rPr>
        <w:t xml:space="preserve">.  </w:t>
      </w:r>
      <w:r w:rsidRPr="00761AD3">
        <w:rPr>
          <w:rFonts w:ascii="Times New Roman" w:hAnsi="Times New Roman"/>
          <w:sz w:val="24"/>
          <w:szCs w:val="24"/>
          <w:lang w:val="en-AU"/>
        </w:rPr>
        <w:t xml:space="preserve">Accordingly, </w:t>
      </w:r>
      <w:r w:rsidR="00FF1A89">
        <w:rPr>
          <w:rFonts w:ascii="Times New Roman" w:hAnsi="Times New Roman"/>
          <w:sz w:val="24"/>
          <w:szCs w:val="24"/>
          <w:lang w:val="en-AU"/>
        </w:rPr>
        <w:t>tax would be more likely to be over-withheld under option 4(b)</w:t>
      </w:r>
      <w:r w:rsidR="005965C4">
        <w:rPr>
          <w:rFonts w:ascii="Times New Roman" w:hAnsi="Times New Roman"/>
          <w:sz w:val="24"/>
          <w:szCs w:val="24"/>
          <w:lang w:val="en-AU"/>
        </w:rPr>
        <w:t xml:space="preserve">.  </w:t>
      </w:r>
      <w:r w:rsidR="00FF1A89">
        <w:rPr>
          <w:rFonts w:ascii="Times New Roman" w:hAnsi="Times New Roman"/>
          <w:sz w:val="24"/>
          <w:szCs w:val="24"/>
          <w:lang w:val="en-AU"/>
        </w:rPr>
        <w:t xml:space="preserve">This would increase compliance costs as such taxpayers would need to </w:t>
      </w:r>
      <w:r w:rsidR="00705997">
        <w:rPr>
          <w:rFonts w:ascii="Times New Roman" w:hAnsi="Times New Roman"/>
          <w:sz w:val="24"/>
          <w:szCs w:val="24"/>
          <w:lang w:val="en-AU"/>
        </w:rPr>
        <w:t xml:space="preserve">apply for </w:t>
      </w:r>
      <w:r w:rsidR="00FF1A89">
        <w:rPr>
          <w:rFonts w:ascii="Times New Roman" w:hAnsi="Times New Roman"/>
          <w:sz w:val="24"/>
          <w:szCs w:val="24"/>
          <w:lang w:val="en-AU"/>
        </w:rPr>
        <w:t>refunds</w:t>
      </w:r>
      <w:r w:rsidR="005965C4">
        <w:rPr>
          <w:rFonts w:ascii="Times New Roman" w:hAnsi="Times New Roman"/>
          <w:sz w:val="24"/>
          <w:szCs w:val="24"/>
          <w:lang w:val="en-AU"/>
        </w:rPr>
        <w:t xml:space="preserve">.  </w:t>
      </w:r>
      <w:r w:rsidR="00FF1A89">
        <w:rPr>
          <w:rFonts w:ascii="Times New Roman" w:hAnsi="Times New Roman"/>
          <w:sz w:val="24"/>
          <w:szCs w:val="24"/>
          <w:lang w:val="en-AU"/>
        </w:rPr>
        <w:t>It would also increase administrative costs</w:t>
      </w:r>
      <w:r w:rsidR="001966BE">
        <w:rPr>
          <w:rFonts w:ascii="Times New Roman" w:hAnsi="Times New Roman"/>
          <w:sz w:val="24"/>
          <w:szCs w:val="24"/>
          <w:lang w:val="en-AU"/>
        </w:rPr>
        <w:t>,</w:t>
      </w:r>
      <w:r w:rsidR="00FF1A89">
        <w:rPr>
          <w:rFonts w:ascii="Times New Roman" w:hAnsi="Times New Roman"/>
          <w:sz w:val="24"/>
          <w:szCs w:val="24"/>
          <w:lang w:val="en-AU"/>
        </w:rPr>
        <w:t xml:space="preserve"> because Inland Revenue would need to process these refunds.</w:t>
      </w:r>
    </w:p>
    <w:p w:rsidR="00761AD3" w:rsidRPr="000047F2" w:rsidRDefault="00761AD3">
      <w:pPr>
        <w:pStyle w:val="ListParagraph"/>
        <w:rPr>
          <w:rFonts w:ascii="Times New Roman" w:hAnsi="Times New Roman"/>
          <w:sz w:val="24"/>
          <w:szCs w:val="24"/>
          <w:lang w:val="en-AU"/>
        </w:rPr>
      </w:pPr>
    </w:p>
    <w:p w:rsidR="00CB27F5" w:rsidRPr="000047F2" w:rsidRDefault="00FF45D1" w:rsidP="006C19A4">
      <w:pPr>
        <w:pStyle w:val="ListParagraph"/>
        <w:numPr>
          <w:ilvl w:val="0"/>
          <w:numId w:val="3"/>
        </w:numPr>
        <w:tabs>
          <w:tab w:val="clear" w:pos="720"/>
          <w:tab w:val="num" w:pos="0"/>
        </w:tabs>
        <w:ind w:left="0" w:firstLine="0"/>
        <w:rPr>
          <w:rFonts w:ascii="Times New Roman" w:hAnsi="Times New Roman"/>
          <w:sz w:val="24"/>
          <w:szCs w:val="24"/>
          <w:lang w:val="en-AU"/>
        </w:rPr>
      </w:pPr>
      <w:r>
        <w:rPr>
          <w:rFonts w:ascii="Times New Roman" w:hAnsi="Times New Roman"/>
          <w:sz w:val="24"/>
          <w:szCs w:val="24"/>
          <w:lang w:val="en-AU"/>
        </w:rPr>
        <w:t>It may be possible to develop</w:t>
      </w:r>
      <w:r w:rsidR="00FF1A89">
        <w:rPr>
          <w:rFonts w:ascii="Times New Roman" w:hAnsi="Times New Roman"/>
          <w:sz w:val="24"/>
          <w:szCs w:val="24"/>
          <w:lang w:val="en-AU"/>
        </w:rPr>
        <w:t xml:space="preserve"> exemptions </w:t>
      </w:r>
      <w:r>
        <w:rPr>
          <w:rFonts w:ascii="Times New Roman" w:hAnsi="Times New Roman"/>
          <w:sz w:val="24"/>
          <w:szCs w:val="24"/>
          <w:lang w:val="en-AU"/>
        </w:rPr>
        <w:t xml:space="preserve">that relate to the main home </w:t>
      </w:r>
      <w:r w:rsidR="00FF1A89">
        <w:rPr>
          <w:rFonts w:ascii="Times New Roman" w:hAnsi="Times New Roman"/>
          <w:sz w:val="24"/>
          <w:szCs w:val="24"/>
          <w:lang w:val="en-AU"/>
        </w:rPr>
        <w:t>to address situations of over</w:t>
      </w:r>
      <w:r>
        <w:rPr>
          <w:rFonts w:ascii="Times New Roman" w:hAnsi="Times New Roman"/>
          <w:sz w:val="24"/>
          <w:szCs w:val="24"/>
          <w:lang w:val="en-AU"/>
        </w:rPr>
        <w:t>-</w:t>
      </w:r>
      <w:r w:rsidR="00FF1A89">
        <w:rPr>
          <w:rFonts w:ascii="Times New Roman" w:hAnsi="Times New Roman"/>
          <w:sz w:val="24"/>
          <w:szCs w:val="24"/>
          <w:lang w:val="en-AU"/>
        </w:rPr>
        <w:t>withholding</w:t>
      </w:r>
      <w:r w:rsidR="005965C4">
        <w:rPr>
          <w:rFonts w:ascii="Times New Roman" w:hAnsi="Times New Roman"/>
          <w:sz w:val="24"/>
          <w:szCs w:val="24"/>
          <w:lang w:val="en-AU"/>
        </w:rPr>
        <w:t xml:space="preserve">.  </w:t>
      </w:r>
      <w:r>
        <w:rPr>
          <w:rFonts w:ascii="Times New Roman" w:hAnsi="Times New Roman"/>
          <w:sz w:val="24"/>
          <w:szCs w:val="24"/>
          <w:lang w:val="en-AU"/>
        </w:rPr>
        <w:t xml:space="preserve">These exemptions would need to be clear and robust and would take </w:t>
      </w:r>
      <w:r w:rsidR="00FF1A89">
        <w:rPr>
          <w:rFonts w:ascii="Times New Roman" w:hAnsi="Times New Roman"/>
          <w:sz w:val="24"/>
          <w:szCs w:val="24"/>
          <w:lang w:val="en-AU"/>
        </w:rPr>
        <w:t>more time to work through</w:t>
      </w:r>
      <w:r>
        <w:rPr>
          <w:rFonts w:ascii="Times New Roman" w:hAnsi="Times New Roman"/>
          <w:sz w:val="24"/>
          <w:szCs w:val="24"/>
          <w:lang w:val="en-AU"/>
        </w:rPr>
        <w:t xml:space="preserve"> than is possible under current timeframes</w:t>
      </w:r>
      <w:r w:rsidR="005965C4">
        <w:rPr>
          <w:rFonts w:ascii="Times New Roman" w:hAnsi="Times New Roman"/>
          <w:sz w:val="24"/>
          <w:szCs w:val="24"/>
          <w:lang w:val="en-AU"/>
        </w:rPr>
        <w:t xml:space="preserve">.  </w:t>
      </w:r>
      <w:r>
        <w:rPr>
          <w:rFonts w:ascii="Times New Roman" w:hAnsi="Times New Roman"/>
          <w:sz w:val="24"/>
          <w:szCs w:val="24"/>
          <w:lang w:val="en-AU"/>
        </w:rPr>
        <w:t>Any such exemptions would increase the complexity of the rules.</w:t>
      </w:r>
    </w:p>
    <w:p w:rsidR="006F3282" w:rsidRPr="006F3282" w:rsidRDefault="006F3282">
      <w:pPr>
        <w:pStyle w:val="ListParagraph"/>
        <w:ind w:left="0"/>
        <w:rPr>
          <w:rFonts w:ascii="Times New Roman" w:hAnsi="Times New Roman"/>
          <w:sz w:val="24"/>
          <w:szCs w:val="24"/>
          <w:lang w:val="en-AU"/>
        </w:rPr>
      </w:pPr>
    </w:p>
    <w:p w:rsidR="00917493" w:rsidRDefault="00917493"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While Inland Revenue is able to implement a withholding tax under option 4(a), implementation solutions are restricted by Inland Revenue’s ability to make significant systems changes ahead of the appropriate phase of its Business Transformation Programme</w:t>
      </w:r>
      <w:r w:rsidR="005965C4">
        <w:rPr>
          <w:rFonts w:ascii="Times New Roman" w:hAnsi="Times New Roman"/>
          <w:sz w:val="24"/>
          <w:szCs w:val="24"/>
        </w:rPr>
        <w:t xml:space="preserve">.  </w:t>
      </w:r>
      <w:r w:rsidR="00E551CF">
        <w:rPr>
          <w:rFonts w:ascii="Times New Roman" w:hAnsi="Times New Roman"/>
          <w:sz w:val="24"/>
          <w:szCs w:val="24"/>
        </w:rPr>
        <w:t>This means that it would be very difficult for Inland Revenue to implement and administer a withholding tax on all sales of residential property made within two years of acquisition.</w:t>
      </w:r>
    </w:p>
    <w:p w:rsidR="00917493" w:rsidRPr="00C045C5" w:rsidRDefault="00917493" w:rsidP="006C19A4">
      <w:pPr>
        <w:pStyle w:val="Bullet-list"/>
        <w:spacing w:after="0" w:line="240" w:lineRule="auto"/>
        <w:ind w:left="0" w:firstLine="0"/>
        <w:jc w:val="both"/>
        <w:rPr>
          <w:rFonts w:ascii="Times New Roman" w:hAnsi="Times New Roman"/>
          <w:sz w:val="24"/>
          <w:szCs w:val="24"/>
        </w:rPr>
      </w:pPr>
    </w:p>
    <w:p w:rsidR="00894F2E" w:rsidRDefault="00E551CF"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Thus, option 4(b) is not recommended</w:t>
      </w:r>
      <w:r w:rsidR="00FF45D1">
        <w:rPr>
          <w:rFonts w:ascii="Times New Roman" w:hAnsi="Times New Roman"/>
          <w:sz w:val="24"/>
          <w:szCs w:val="24"/>
        </w:rPr>
        <w:t xml:space="preserve"> at this point in time</w:t>
      </w:r>
      <w:r>
        <w:rPr>
          <w:rFonts w:ascii="Times New Roman" w:hAnsi="Times New Roman"/>
          <w:sz w:val="24"/>
          <w:szCs w:val="24"/>
        </w:rPr>
        <w:t>.</w:t>
      </w:r>
    </w:p>
    <w:p w:rsidR="008C0723" w:rsidRPr="00EB3175" w:rsidRDefault="008C0723" w:rsidP="00EB3175">
      <w:pPr>
        <w:pStyle w:val="Bullet-list"/>
        <w:spacing w:after="0" w:line="240" w:lineRule="auto"/>
        <w:ind w:left="0" w:firstLine="0"/>
        <w:jc w:val="both"/>
      </w:pPr>
    </w:p>
    <w:p w:rsidR="008C0723" w:rsidRPr="008C0723" w:rsidRDefault="008C0723">
      <w:pPr>
        <w:pStyle w:val="ListParagraph"/>
        <w:ind w:left="0"/>
        <w:rPr>
          <w:rFonts w:ascii="Times New Roman" w:hAnsi="Times New Roman"/>
          <w:b/>
          <w:sz w:val="24"/>
          <w:szCs w:val="24"/>
        </w:rPr>
      </w:pPr>
      <w:r w:rsidRPr="008C0723">
        <w:rPr>
          <w:rFonts w:ascii="Times New Roman" w:hAnsi="Times New Roman"/>
          <w:b/>
          <w:sz w:val="24"/>
          <w:szCs w:val="24"/>
        </w:rPr>
        <w:t>Summary of analysis of options</w:t>
      </w:r>
    </w:p>
    <w:p w:rsidR="008C0723" w:rsidRDefault="008C0723">
      <w:pPr>
        <w:pStyle w:val="ListParagraph"/>
        <w:ind w:left="0"/>
        <w:rPr>
          <w:rFonts w:ascii="Times New Roman" w:hAnsi="Times New Roman"/>
          <w:sz w:val="24"/>
          <w:szCs w:val="24"/>
        </w:rPr>
      </w:pPr>
    </w:p>
    <w:p w:rsidR="008C0723" w:rsidRPr="0044734A" w:rsidRDefault="008C0723" w:rsidP="006C19A4">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table below summarises the impact analysis of the </w:t>
      </w:r>
      <w:r w:rsidR="00F43B25">
        <w:rPr>
          <w:rFonts w:ascii="Times New Roman" w:hAnsi="Times New Roman"/>
          <w:sz w:val="24"/>
          <w:szCs w:val="24"/>
        </w:rPr>
        <w:t xml:space="preserve">identified </w:t>
      </w:r>
      <w:r>
        <w:rPr>
          <w:rFonts w:ascii="Times New Roman" w:hAnsi="Times New Roman"/>
          <w:sz w:val="24"/>
          <w:szCs w:val="24"/>
        </w:rPr>
        <w:t>options.</w:t>
      </w:r>
    </w:p>
    <w:p w:rsidR="008C0723" w:rsidRDefault="008C0723" w:rsidP="006C19A4">
      <w:pPr>
        <w:spacing w:after="0" w:line="240" w:lineRule="auto"/>
        <w:jc w:val="both"/>
        <w:rPr>
          <w:rFonts w:ascii="Times New Roman" w:hAnsi="Times New Roman"/>
          <w:sz w:val="24"/>
          <w:szCs w:val="24"/>
          <w:lang w:val="en-AU" w:eastAsia="en-US"/>
        </w:rPr>
      </w:pPr>
    </w:p>
    <w:p w:rsidR="008C0723" w:rsidRDefault="008C0723" w:rsidP="006C19A4">
      <w:pPr>
        <w:spacing w:after="0" w:line="240" w:lineRule="auto"/>
        <w:jc w:val="both"/>
        <w:rPr>
          <w:rFonts w:ascii="Times New Roman" w:hAnsi="Times New Roman"/>
          <w:sz w:val="24"/>
          <w:szCs w:val="24"/>
          <w:lang w:val="en-AU" w:eastAsia="en-US"/>
        </w:rPr>
      </w:pPr>
    </w:p>
    <w:p w:rsidR="008C0723" w:rsidRDefault="008C0723" w:rsidP="006C19A4">
      <w:pPr>
        <w:spacing w:after="0" w:line="240" w:lineRule="auto"/>
        <w:jc w:val="both"/>
        <w:rPr>
          <w:rFonts w:ascii="Times New Roman" w:hAnsi="Times New Roman"/>
          <w:sz w:val="24"/>
          <w:szCs w:val="24"/>
        </w:rPr>
        <w:sectPr w:rsidR="008C0723" w:rsidSect="006474EE">
          <w:footerReference w:type="even" r:id="rId8"/>
          <w:footerReference w:type="default" r:id="rId9"/>
          <w:pgSz w:w="11907" w:h="16840" w:code="9"/>
          <w:pgMar w:top="1134" w:right="1418" w:bottom="1134" w:left="1418" w:header="567" w:footer="567"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589"/>
        <w:gridCol w:w="2131"/>
        <w:gridCol w:w="1979"/>
        <w:gridCol w:w="1845"/>
        <w:gridCol w:w="1840"/>
        <w:gridCol w:w="1836"/>
        <w:gridCol w:w="1788"/>
      </w:tblGrid>
      <w:tr w:rsidR="00D22717" w:rsidRPr="000E6CDD" w:rsidTr="00517B7D">
        <w:trPr>
          <w:tblHeader/>
        </w:trPr>
        <w:tc>
          <w:tcPr>
            <w:tcW w:w="1780" w:type="dxa"/>
            <w:vMerge w:val="restart"/>
            <w:shd w:val="clear" w:color="auto" w:fill="auto"/>
            <w:vAlign w:val="center"/>
          </w:tcPr>
          <w:p w:rsidR="003518FF" w:rsidRPr="000E6CDD" w:rsidRDefault="00C633FF" w:rsidP="006C19A4">
            <w:pPr>
              <w:pStyle w:val="CommentText"/>
              <w:spacing w:after="0" w:line="240" w:lineRule="auto"/>
              <w:jc w:val="both"/>
              <w:rPr>
                <w:rFonts w:ascii="Times New Roman" w:hAnsi="Times New Roman"/>
                <w:b/>
                <w:lang w:val="en-NZ"/>
              </w:rPr>
            </w:pPr>
            <w:r>
              <w:rPr>
                <w:rFonts w:ascii="Times New Roman" w:hAnsi="Times New Roman"/>
                <w:sz w:val="24"/>
                <w:szCs w:val="24"/>
                <w:lang w:val="en-AU" w:eastAsia="en-US"/>
              </w:rPr>
              <w:br w:type="page"/>
            </w:r>
            <w:r w:rsidR="003518FF" w:rsidRPr="000E6CDD">
              <w:rPr>
                <w:rFonts w:ascii="Times New Roman" w:hAnsi="Times New Roman"/>
                <w:b/>
                <w:lang w:val="en-NZ"/>
              </w:rPr>
              <w:t>Option</w:t>
            </w:r>
          </w:p>
        </w:tc>
        <w:tc>
          <w:tcPr>
            <w:tcW w:w="1589" w:type="dxa"/>
            <w:vMerge w:val="restart"/>
            <w:shd w:val="clear" w:color="auto" w:fill="auto"/>
            <w:vAlign w:val="center"/>
          </w:tcPr>
          <w:p w:rsidR="003518FF" w:rsidRPr="000E6CDD" w:rsidRDefault="003518FF" w:rsidP="006C19A4">
            <w:pPr>
              <w:pStyle w:val="CommentText"/>
              <w:spacing w:after="0" w:line="240" w:lineRule="auto"/>
              <w:jc w:val="both"/>
              <w:rPr>
                <w:rFonts w:ascii="Times New Roman" w:hAnsi="Times New Roman"/>
                <w:b/>
                <w:lang w:val="en-NZ"/>
              </w:rPr>
            </w:pPr>
            <w:r w:rsidRPr="000E6CDD">
              <w:rPr>
                <w:rFonts w:ascii="Times New Roman" w:hAnsi="Times New Roman"/>
                <w:b/>
                <w:lang w:val="en-NZ"/>
              </w:rPr>
              <w:t>Meets objective?</w:t>
            </w:r>
          </w:p>
        </w:tc>
        <w:tc>
          <w:tcPr>
            <w:tcW w:w="9631" w:type="dxa"/>
            <w:gridSpan w:val="5"/>
            <w:shd w:val="clear" w:color="auto" w:fill="auto"/>
          </w:tcPr>
          <w:p w:rsidR="003518FF" w:rsidRPr="000E6CDD" w:rsidRDefault="003518FF" w:rsidP="006C19A4">
            <w:pPr>
              <w:pStyle w:val="CommentText"/>
              <w:spacing w:after="0" w:line="240" w:lineRule="auto"/>
              <w:jc w:val="center"/>
              <w:rPr>
                <w:rFonts w:ascii="Times New Roman" w:hAnsi="Times New Roman"/>
                <w:b/>
                <w:lang w:val="en-NZ"/>
              </w:rPr>
            </w:pPr>
            <w:r w:rsidRPr="000E6CDD">
              <w:rPr>
                <w:rFonts w:ascii="Times New Roman" w:hAnsi="Times New Roman"/>
                <w:b/>
                <w:lang w:val="en-NZ"/>
              </w:rPr>
              <w:t>Impacts</w:t>
            </w:r>
          </w:p>
        </w:tc>
        <w:tc>
          <w:tcPr>
            <w:tcW w:w="1788" w:type="dxa"/>
            <w:vMerge w:val="restart"/>
            <w:shd w:val="clear" w:color="auto" w:fill="auto"/>
            <w:vAlign w:val="center"/>
          </w:tcPr>
          <w:p w:rsidR="003518FF" w:rsidRPr="000E6CDD" w:rsidRDefault="003518FF" w:rsidP="006C19A4">
            <w:pPr>
              <w:pStyle w:val="CommentText"/>
              <w:spacing w:after="0" w:line="240" w:lineRule="auto"/>
              <w:jc w:val="both"/>
              <w:rPr>
                <w:rFonts w:ascii="Times New Roman" w:hAnsi="Times New Roman"/>
                <w:b/>
                <w:lang w:val="en-NZ"/>
              </w:rPr>
            </w:pPr>
            <w:r w:rsidRPr="000E6CDD">
              <w:rPr>
                <w:rFonts w:ascii="Times New Roman" w:hAnsi="Times New Roman"/>
                <w:b/>
                <w:lang w:val="en-NZ"/>
              </w:rPr>
              <w:t>Net impact</w:t>
            </w:r>
          </w:p>
        </w:tc>
      </w:tr>
      <w:tr w:rsidR="00D22717" w:rsidRPr="000E6CDD" w:rsidTr="00517B7D">
        <w:trPr>
          <w:trHeight w:val="585"/>
          <w:tblHeader/>
        </w:trPr>
        <w:tc>
          <w:tcPr>
            <w:tcW w:w="1780" w:type="dxa"/>
            <w:vMerge/>
            <w:shd w:val="clear" w:color="auto" w:fill="auto"/>
          </w:tcPr>
          <w:p w:rsidR="003518FF" w:rsidRPr="000E6CDD" w:rsidRDefault="003518FF">
            <w:pPr>
              <w:pStyle w:val="CommentText"/>
              <w:spacing w:after="0" w:line="240" w:lineRule="auto"/>
              <w:jc w:val="both"/>
              <w:rPr>
                <w:rFonts w:ascii="Times New Roman" w:hAnsi="Times New Roman"/>
                <w:lang w:val="en-NZ"/>
              </w:rPr>
            </w:pPr>
          </w:p>
        </w:tc>
        <w:tc>
          <w:tcPr>
            <w:tcW w:w="1589" w:type="dxa"/>
            <w:vMerge/>
            <w:shd w:val="clear" w:color="auto" w:fill="auto"/>
          </w:tcPr>
          <w:p w:rsidR="003518FF" w:rsidRPr="000E6CDD" w:rsidRDefault="003518FF">
            <w:pPr>
              <w:pStyle w:val="CommentText"/>
              <w:spacing w:after="0" w:line="240" w:lineRule="auto"/>
              <w:jc w:val="both"/>
              <w:rPr>
                <w:rFonts w:ascii="Times New Roman" w:hAnsi="Times New Roman"/>
                <w:lang w:val="en-NZ"/>
              </w:rPr>
            </w:pPr>
          </w:p>
        </w:tc>
        <w:tc>
          <w:tcPr>
            <w:tcW w:w="2131" w:type="dxa"/>
            <w:shd w:val="clear" w:color="auto" w:fill="auto"/>
            <w:vAlign w:val="center"/>
          </w:tcPr>
          <w:p w:rsidR="003518FF" w:rsidRPr="000E6CDD" w:rsidRDefault="003518FF" w:rsidP="006C19A4">
            <w:pPr>
              <w:pStyle w:val="CommentText"/>
              <w:spacing w:after="0" w:line="240" w:lineRule="auto"/>
              <w:jc w:val="both"/>
              <w:rPr>
                <w:rFonts w:ascii="Times New Roman" w:hAnsi="Times New Roman"/>
                <w:b/>
                <w:i/>
                <w:lang w:val="en-NZ"/>
              </w:rPr>
            </w:pPr>
            <w:r w:rsidRPr="000E6CDD">
              <w:rPr>
                <w:rFonts w:ascii="Times New Roman" w:hAnsi="Times New Roman"/>
                <w:b/>
                <w:i/>
                <w:lang w:val="en-NZ"/>
              </w:rPr>
              <w:t>Fiscal</w:t>
            </w:r>
          </w:p>
        </w:tc>
        <w:tc>
          <w:tcPr>
            <w:tcW w:w="1979" w:type="dxa"/>
            <w:shd w:val="clear" w:color="auto" w:fill="auto"/>
            <w:vAlign w:val="center"/>
          </w:tcPr>
          <w:p w:rsidR="003518FF" w:rsidRPr="000E6CDD" w:rsidRDefault="003518FF" w:rsidP="006C19A4">
            <w:pPr>
              <w:pStyle w:val="CommentText"/>
              <w:spacing w:after="0" w:line="240" w:lineRule="auto"/>
              <w:jc w:val="both"/>
              <w:rPr>
                <w:rFonts w:ascii="Times New Roman" w:hAnsi="Times New Roman"/>
                <w:b/>
                <w:i/>
                <w:lang w:val="en-NZ"/>
              </w:rPr>
            </w:pPr>
            <w:r w:rsidRPr="000E6CDD">
              <w:rPr>
                <w:rFonts w:ascii="Times New Roman" w:hAnsi="Times New Roman"/>
                <w:b/>
                <w:i/>
                <w:lang w:val="en-NZ"/>
              </w:rPr>
              <w:t>Economic</w:t>
            </w:r>
          </w:p>
        </w:tc>
        <w:tc>
          <w:tcPr>
            <w:tcW w:w="1845" w:type="dxa"/>
            <w:shd w:val="clear" w:color="auto" w:fill="auto"/>
            <w:vAlign w:val="center"/>
          </w:tcPr>
          <w:p w:rsidR="003518FF" w:rsidRPr="000E6CDD" w:rsidRDefault="003518FF" w:rsidP="006C19A4">
            <w:pPr>
              <w:pStyle w:val="CommentText"/>
              <w:spacing w:after="0" w:line="240" w:lineRule="auto"/>
              <w:jc w:val="both"/>
              <w:rPr>
                <w:rFonts w:ascii="Times New Roman" w:hAnsi="Times New Roman"/>
                <w:b/>
                <w:i/>
                <w:lang w:val="en-NZ"/>
              </w:rPr>
            </w:pPr>
            <w:r w:rsidRPr="000E6CDD">
              <w:rPr>
                <w:rFonts w:ascii="Times New Roman" w:hAnsi="Times New Roman"/>
                <w:b/>
                <w:i/>
                <w:lang w:val="en-NZ"/>
              </w:rPr>
              <w:t>Administrative</w:t>
            </w:r>
          </w:p>
        </w:tc>
        <w:tc>
          <w:tcPr>
            <w:tcW w:w="1840" w:type="dxa"/>
            <w:shd w:val="clear" w:color="auto" w:fill="auto"/>
            <w:vAlign w:val="center"/>
          </w:tcPr>
          <w:p w:rsidR="003518FF" w:rsidRPr="000E6CDD" w:rsidRDefault="003518FF" w:rsidP="006C19A4">
            <w:pPr>
              <w:pStyle w:val="CommentText"/>
              <w:spacing w:after="0" w:line="240" w:lineRule="auto"/>
              <w:jc w:val="both"/>
              <w:rPr>
                <w:rFonts w:ascii="Times New Roman" w:hAnsi="Times New Roman"/>
                <w:b/>
                <w:i/>
                <w:lang w:val="en-NZ"/>
              </w:rPr>
            </w:pPr>
            <w:r w:rsidRPr="000E6CDD">
              <w:rPr>
                <w:rFonts w:ascii="Times New Roman" w:hAnsi="Times New Roman"/>
                <w:b/>
                <w:i/>
                <w:lang w:val="en-NZ"/>
              </w:rPr>
              <w:t>Compliance</w:t>
            </w:r>
          </w:p>
        </w:tc>
        <w:tc>
          <w:tcPr>
            <w:tcW w:w="1836" w:type="dxa"/>
            <w:shd w:val="clear" w:color="auto" w:fill="auto"/>
            <w:vAlign w:val="center"/>
          </w:tcPr>
          <w:p w:rsidR="003518FF" w:rsidRPr="000E6CDD" w:rsidRDefault="003518FF" w:rsidP="006C19A4">
            <w:pPr>
              <w:pStyle w:val="CommentText"/>
              <w:spacing w:after="0" w:line="240" w:lineRule="auto"/>
              <w:jc w:val="both"/>
              <w:rPr>
                <w:rFonts w:ascii="Times New Roman" w:hAnsi="Times New Roman"/>
                <w:b/>
                <w:i/>
                <w:lang w:val="en-NZ"/>
              </w:rPr>
            </w:pPr>
            <w:r w:rsidRPr="000E6CDD">
              <w:rPr>
                <w:rFonts w:ascii="Times New Roman" w:hAnsi="Times New Roman"/>
                <w:b/>
                <w:i/>
                <w:lang w:val="en-NZ"/>
              </w:rPr>
              <w:t>Fairness</w:t>
            </w:r>
          </w:p>
        </w:tc>
        <w:tc>
          <w:tcPr>
            <w:tcW w:w="1788" w:type="dxa"/>
            <w:vMerge/>
            <w:shd w:val="clear" w:color="auto" w:fill="auto"/>
          </w:tcPr>
          <w:p w:rsidR="003518FF" w:rsidRPr="000E6CDD" w:rsidRDefault="003518FF">
            <w:pPr>
              <w:pStyle w:val="CommentText"/>
              <w:spacing w:after="0" w:line="240" w:lineRule="auto"/>
              <w:jc w:val="both"/>
              <w:rPr>
                <w:rFonts w:ascii="Times New Roman" w:hAnsi="Times New Roman"/>
                <w:lang w:val="en-NZ"/>
              </w:rPr>
            </w:pPr>
          </w:p>
        </w:tc>
      </w:tr>
      <w:tr w:rsidR="00D22717" w:rsidRPr="000E6CDD" w:rsidTr="006C19A4">
        <w:tc>
          <w:tcPr>
            <w:tcW w:w="1780" w:type="dxa"/>
            <w:shd w:val="clear" w:color="auto" w:fill="auto"/>
          </w:tcPr>
          <w:p w:rsidR="003518FF" w:rsidRPr="000E6CDD" w:rsidRDefault="003518FF" w:rsidP="00E222FF">
            <w:pPr>
              <w:pStyle w:val="CommentText"/>
              <w:spacing w:after="0" w:line="240" w:lineRule="auto"/>
              <w:rPr>
                <w:rFonts w:ascii="Times New Roman" w:hAnsi="Times New Roman"/>
                <w:b/>
                <w:lang w:val="en-NZ"/>
              </w:rPr>
            </w:pPr>
            <w:r>
              <w:rPr>
                <w:rFonts w:ascii="Times New Roman" w:hAnsi="Times New Roman"/>
                <w:b/>
                <w:lang w:val="en-NZ"/>
              </w:rPr>
              <w:t>Option 1: status quo</w:t>
            </w:r>
          </w:p>
        </w:tc>
        <w:tc>
          <w:tcPr>
            <w:tcW w:w="1589" w:type="dxa"/>
            <w:shd w:val="clear" w:color="auto" w:fill="auto"/>
          </w:tcPr>
          <w:p w:rsidR="003518FF" w:rsidRPr="000E6CDD" w:rsidRDefault="003518FF" w:rsidP="00E222FF">
            <w:pPr>
              <w:pStyle w:val="CommentText"/>
              <w:spacing w:after="0" w:line="240" w:lineRule="auto"/>
              <w:rPr>
                <w:rFonts w:ascii="Times New Roman" w:hAnsi="Times New Roman"/>
                <w:lang w:val="en-NZ"/>
              </w:rPr>
            </w:pPr>
            <w:r>
              <w:rPr>
                <w:rFonts w:ascii="Times New Roman" w:hAnsi="Times New Roman"/>
                <w:lang w:val="en-NZ"/>
              </w:rPr>
              <w:t>Does not</w:t>
            </w:r>
            <w:r w:rsidR="00B032DE">
              <w:rPr>
                <w:rFonts w:ascii="Times New Roman" w:hAnsi="Times New Roman"/>
                <w:lang w:val="en-NZ"/>
              </w:rPr>
              <w:t xml:space="preserve"> optimise effectiveness</w:t>
            </w:r>
            <w:r w:rsidR="00B003D0">
              <w:rPr>
                <w:rFonts w:ascii="Times New Roman" w:hAnsi="Times New Roman"/>
                <w:lang w:val="en-NZ"/>
              </w:rPr>
              <w:t xml:space="preserve"> or</w:t>
            </w:r>
            <w:r w:rsidR="00B003D0" w:rsidRPr="0076228A">
              <w:rPr>
                <w:rFonts w:ascii="Times New Roman" w:hAnsi="Times New Roman"/>
              </w:rPr>
              <w:t xml:space="preserve"> support the integrity </w:t>
            </w:r>
            <w:r w:rsidR="00B032DE">
              <w:rPr>
                <w:rFonts w:ascii="Times New Roman" w:hAnsi="Times New Roman"/>
                <w:lang w:val="en-NZ"/>
              </w:rPr>
              <w:t>of</w:t>
            </w:r>
            <w:r w:rsidR="00B003D0">
              <w:rPr>
                <w:rFonts w:ascii="Times New Roman" w:hAnsi="Times New Roman"/>
                <w:lang w:val="en-NZ"/>
              </w:rPr>
              <w:t xml:space="preserve"> the</w:t>
            </w:r>
            <w:r w:rsidR="00B032DE">
              <w:rPr>
                <w:rFonts w:ascii="Times New Roman" w:hAnsi="Times New Roman"/>
                <w:lang w:val="en-NZ"/>
              </w:rPr>
              <w:t xml:space="preserve"> bright-line test</w:t>
            </w:r>
            <w:r w:rsidR="007D2695">
              <w:rPr>
                <w:rFonts w:ascii="Times New Roman" w:hAnsi="Times New Roman"/>
                <w:lang w:val="en-NZ"/>
              </w:rPr>
              <w:t>.</w:t>
            </w:r>
            <w:r w:rsidR="00B003D0">
              <w:rPr>
                <w:rFonts w:ascii="Times New Roman" w:hAnsi="Times New Roman"/>
                <w:sz w:val="24"/>
                <w:szCs w:val="24"/>
              </w:rPr>
              <w:t xml:space="preserve"> </w:t>
            </w:r>
          </w:p>
        </w:tc>
        <w:tc>
          <w:tcPr>
            <w:tcW w:w="2131" w:type="dxa"/>
            <w:shd w:val="clear" w:color="auto" w:fill="auto"/>
          </w:tcPr>
          <w:p w:rsidR="003518FF" w:rsidRPr="000E6CDD" w:rsidRDefault="00DE23EA" w:rsidP="00E222FF">
            <w:pPr>
              <w:pStyle w:val="CommentText"/>
              <w:spacing w:after="0" w:line="240" w:lineRule="auto"/>
              <w:rPr>
                <w:rFonts w:ascii="Times New Roman" w:hAnsi="Times New Roman"/>
                <w:lang w:val="en-NZ"/>
              </w:rPr>
            </w:pPr>
            <w:r>
              <w:rPr>
                <w:rFonts w:ascii="Times New Roman" w:hAnsi="Times New Roman"/>
                <w:lang w:val="en-NZ"/>
              </w:rPr>
              <w:t>N/A</w:t>
            </w:r>
          </w:p>
        </w:tc>
        <w:tc>
          <w:tcPr>
            <w:tcW w:w="1979" w:type="dxa"/>
            <w:shd w:val="clear" w:color="auto" w:fill="auto"/>
          </w:tcPr>
          <w:p w:rsidR="00D333C1" w:rsidRPr="006C19A4" w:rsidRDefault="00211CB5" w:rsidP="00E222FF">
            <w:pPr>
              <w:pStyle w:val="CommentText"/>
              <w:spacing w:after="0" w:line="240" w:lineRule="auto"/>
              <w:rPr>
                <w:rFonts w:ascii="Times New Roman" w:hAnsi="Times New Roman"/>
                <w:lang w:val="en-NZ"/>
              </w:rPr>
            </w:pPr>
            <w:r w:rsidRPr="006C19A4">
              <w:rPr>
                <w:rFonts w:ascii="Times New Roman" w:hAnsi="Times New Roman"/>
                <w:lang w:val="en-NZ"/>
              </w:rPr>
              <w:t>Could be perceived as inaction and increase non-compliance with New Zealand’s tax rules</w:t>
            </w:r>
            <w:r w:rsidR="00BB6038">
              <w:rPr>
                <w:rFonts w:ascii="Times New Roman" w:hAnsi="Times New Roman"/>
                <w:lang w:val="en-NZ"/>
              </w:rPr>
              <w:t xml:space="preserve"> more generally.</w:t>
            </w:r>
          </w:p>
        </w:tc>
        <w:tc>
          <w:tcPr>
            <w:tcW w:w="1845" w:type="dxa"/>
            <w:shd w:val="clear" w:color="auto" w:fill="auto"/>
          </w:tcPr>
          <w:p w:rsidR="003518FF" w:rsidRPr="006C19A4" w:rsidRDefault="00636DED" w:rsidP="00E222FF">
            <w:pPr>
              <w:pStyle w:val="CommentText"/>
              <w:spacing w:after="0" w:line="240" w:lineRule="auto"/>
              <w:rPr>
                <w:rFonts w:ascii="Times New Roman" w:hAnsi="Times New Roman"/>
                <w:lang w:val="en-NZ"/>
              </w:rPr>
            </w:pPr>
            <w:r w:rsidRPr="006C19A4">
              <w:rPr>
                <w:rFonts w:ascii="Times New Roman" w:hAnsi="Times New Roman"/>
                <w:lang w:val="en-NZ"/>
              </w:rPr>
              <w:t>Would require the use of Inland Revenue resources to identify and investigate non-compliance.</w:t>
            </w:r>
          </w:p>
        </w:tc>
        <w:tc>
          <w:tcPr>
            <w:tcW w:w="1840" w:type="dxa"/>
            <w:shd w:val="clear" w:color="auto" w:fill="auto"/>
          </w:tcPr>
          <w:p w:rsidR="003518FF" w:rsidRPr="006C19A4" w:rsidRDefault="008D4212" w:rsidP="00E222FF">
            <w:pPr>
              <w:pStyle w:val="CommentText"/>
              <w:spacing w:after="0" w:line="240" w:lineRule="auto"/>
              <w:rPr>
                <w:rFonts w:ascii="Times New Roman" w:hAnsi="Times New Roman"/>
                <w:lang w:val="en-NZ"/>
              </w:rPr>
            </w:pPr>
            <w:r w:rsidRPr="006C19A4">
              <w:rPr>
                <w:rFonts w:ascii="Times New Roman" w:hAnsi="Times New Roman"/>
                <w:lang w:val="en-NZ"/>
              </w:rPr>
              <w:t xml:space="preserve">This option does not impose additional compliance costs beyond those already </w:t>
            </w:r>
            <w:r w:rsidR="007E6270" w:rsidRPr="006C19A4">
              <w:rPr>
                <w:rFonts w:ascii="Times New Roman" w:hAnsi="Times New Roman"/>
                <w:lang w:val="en-NZ"/>
              </w:rPr>
              <w:t>experienced.</w:t>
            </w:r>
          </w:p>
        </w:tc>
        <w:tc>
          <w:tcPr>
            <w:tcW w:w="1836" w:type="dxa"/>
            <w:shd w:val="clear" w:color="auto" w:fill="auto"/>
          </w:tcPr>
          <w:p w:rsidR="003518FF" w:rsidRPr="006C19A4" w:rsidRDefault="001D3C5A" w:rsidP="00E222FF">
            <w:pPr>
              <w:pStyle w:val="CommentText"/>
              <w:spacing w:after="0" w:line="240" w:lineRule="auto"/>
              <w:rPr>
                <w:rFonts w:ascii="Times New Roman" w:hAnsi="Times New Roman"/>
                <w:lang w:val="en-NZ"/>
              </w:rPr>
            </w:pPr>
            <w:r w:rsidRPr="006C19A4">
              <w:rPr>
                <w:rFonts w:ascii="Times New Roman" w:hAnsi="Times New Roman"/>
                <w:lang w:val="en-NZ"/>
              </w:rPr>
              <w:t>Could be perceived</w:t>
            </w:r>
            <w:r w:rsidR="008D4212" w:rsidRPr="006C19A4">
              <w:rPr>
                <w:rFonts w:ascii="Times New Roman" w:hAnsi="Times New Roman"/>
                <w:lang w:val="en-NZ"/>
              </w:rPr>
              <w:t xml:space="preserve"> as being unfair, if there is a view that foreign investors are not paying “their fair share of tax”</w:t>
            </w:r>
            <w:r w:rsidR="00000B95" w:rsidRPr="006C19A4">
              <w:rPr>
                <w:rFonts w:ascii="Times New Roman" w:hAnsi="Times New Roman"/>
                <w:lang w:val="en-NZ"/>
              </w:rPr>
              <w:t>.</w:t>
            </w:r>
          </w:p>
        </w:tc>
        <w:tc>
          <w:tcPr>
            <w:tcW w:w="1788" w:type="dxa"/>
            <w:shd w:val="clear" w:color="auto" w:fill="auto"/>
          </w:tcPr>
          <w:p w:rsidR="003518FF" w:rsidRDefault="00000B95" w:rsidP="00E222FF">
            <w:pPr>
              <w:pStyle w:val="CommentText"/>
              <w:spacing w:after="0" w:line="240" w:lineRule="auto"/>
              <w:rPr>
                <w:rFonts w:ascii="Times New Roman" w:hAnsi="Times New Roman"/>
                <w:lang w:val="en-NZ"/>
              </w:rPr>
            </w:pPr>
            <w:r>
              <w:rPr>
                <w:rFonts w:ascii="Times New Roman" w:hAnsi="Times New Roman"/>
                <w:lang w:val="en-NZ"/>
              </w:rPr>
              <w:t>Perception of unfairness could undermine the integrity of the New Zealand tax system</w:t>
            </w:r>
            <w:r w:rsidR="005965C4">
              <w:rPr>
                <w:rFonts w:ascii="Times New Roman" w:hAnsi="Times New Roman"/>
                <w:lang w:val="en-NZ"/>
              </w:rPr>
              <w:t xml:space="preserve">.  </w:t>
            </w:r>
            <w:r w:rsidR="00147A49">
              <w:rPr>
                <w:rFonts w:ascii="Times New Roman" w:hAnsi="Times New Roman"/>
                <w:lang w:val="en-NZ"/>
              </w:rPr>
              <w:t>Does not impose additional compliance costs, but does not increase the effectiveness of the bright-line test and will require the use of Inland Revenue to investigate non-compliance</w:t>
            </w:r>
            <w:r w:rsidR="007D2695">
              <w:rPr>
                <w:rFonts w:ascii="Times New Roman" w:hAnsi="Times New Roman"/>
                <w:lang w:val="en-NZ"/>
              </w:rPr>
              <w:t>.</w:t>
            </w:r>
          </w:p>
          <w:p w:rsidR="00AA5A19" w:rsidRDefault="00AA5A19" w:rsidP="00E222FF">
            <w:pPr>
              <w:pStyle w:val="CommentText"/>
              <w:spacing w:after="0" w:line="240" w:lineRule="auto"/>
              <w:rPr>
                <w:rFonts w:ascii="Times New Roman" w:hAnsi="Times New Roman"/>
                <w:lang w:val="en-NZ"/>
              </w:rPr>
            </w:pPr>
          </w:p>
          <w:p w:rsidR="00AA5A19" w:rsidRDefault="00AA5A19" w:rsidP="00E222FF">
            <w:pPr>
              <w:pStyle w:val="CommentText"/>
              <w:spacing w:after="0" w:line="240" w:lineRule="auto"/>
              <w:rPr>
                <w:rFonts w:ascii="Times New Roman" w:hAnsi="Times New Roman"/>
                <w:b/>
                <w:lang w:val="en-NZ"/>
              </w:rPr>
            </w:pPr>
            <w:r w:rsidRPr="000047F2">
              <w:rPr>
                <w:rFonts w:ascii="Times New Roman" w:hAnsi="Times New Roman"/>
                <w:b/>
                <w:lang w:val="en-NZ"/>
              </w:rPr>
              <w:t>Not recommended</w:t>
            </w:r>
          </w:p>
          <w:p w:rsidR="00894F2E" w:rsidRPr="000047F2" w:rsidRDefault="00894F2E" w:rsidP="00E222FF">
            <w:pPr>
              <w:pStyle w:val="CommentText"/>
              <w:spacing w:after="0" w:line="240" w:lineRule="auto"/>
              <w:rPr>
                <w:rFonts w:ascii="Times New Roman" w:hAnsi="Times New Roman"/>
                <w:b/>
                <w:lang w:val="en-NZ"/>
              </w:rPr>
            </w:pPr>
          </w:p>
        </w:tc>
      </w:tr>
      <w:tr w:rsidR="00D22717" w:rsidRPr="000E6CDD" w:rsidTr="006C19A4">
        <w:tc>
          <w:tcPr>
            <w:tcW w:w="1780" w:type="dxa"/>
            <w:shd w:val="clear" w:color="auto" w:fill="auto"/>
          </w:tcPr>
          <w:p w:rsidR="00222159" w:rsidRDefault="00222159" w:rsidP="00E222FF">
            <w:pPr>
              <w:pStyle w:val="CommentText"/>
              <w:spacing w:after="0" w:line="240" w:lineRule="auto"/>
              <w:rPr>
                <w:rFonts w:ascii="Times New Roman" w:hAnsi="Times New Roman"/>
                <w:b/>
                <w:lang w:val="en-NZ"/>
              </w:rPr>
            </w:pPr>
            <w:r>
              <w:rPr>
                <w:rFonts w:ascii="Times New Roman" w:hAnsi="Times New Roman"/>
                <w:b/>
                <w:lang w:val="en-NZ"/>
              </w:rPr>
              <w:t>Option 2</w:t>
            </w:r>
            <w:r w:rsidR="00E02FCB">
              <w:rPr>
                <w:rFonts w:ascii="Times New Roman" w:hAnsi="Times New Roman"/>
                <w:b/>
                <w:lang w:val="en-NZ"/>
              </w:rPr>
              <w:t>: status quo + additional information campaigns</w:t>
            </w:r>
          </w:p>
        </w:tc>
        <w:tc>
          <w:tcPr>
            <w:tcW w:w="1589" w:type="dxa"/>
            <w:shd w:val="clear" w:color="auto" w:fill="auto"/>
          </w:tcPr>
          <w:p w:rsidR="00222159" w:rsidRDefault="008D4212" w:rsidP="00E222FF">
            <w:pPr>
              <w:pStyle w:val="CommentText"/>
              <w:spacing w:after="0" w:line="240" w:lineRule="auto"/>
              <w:rPr>
                <w:rFonts w:ascii="Times New Roman" w:hAnsi="Times New Roman"/>
                <w:lang w:val="en-NZ"/>
              </w:rPr>
            </w:pPr>
            <w:r>
              <w:rPr>
                <w:rFonts w:ascii="Times New Roman" w:hAnsi="Times New Roman"/>
                <w:lang w:val="en-NZ"/>
              </w:rPr>
              <w:t>May partially meet objective as it could increase the effectiveness</w:t>
            </w:r>
            <w:r w:rsidR="00B003D0">
              <w:rPr>
                <w:rFonts w:ascii="Times New Roman" w:hAnsi="Times New Roman"/>
                <w:lang w:val="en-NZ"/>
              </w:rPr>
              <w:t xml:space="preserve"> or</w:t>
            </w:r>
            <w:r w:rsidR="00B003D0" w:rsidRPr="0076228A">
              <w:rPr>
                <w:rFonts w:ascii="Times New Roman" w:hAnsi="Times New Roman"/>
              </w:rPr>
              <w:t xml:space="preserve"> support the integrity </w:t>
            </w:r>
            <w:r w:rsidR="00B003D0">
              <w:rPr>
                <w:rFonts w:ascii="Times New Roman" w:hAnsi="Times New Roman"/>
                <w:lang w:val="en-NZ"/>
              </w:rPr>
              <w:t>of the bright-line test</w:t>
            </w:r>
            <w:r w:rsidR="00B003D0">
              <w:rPr>
                <w:rFonts w:ascii="Times New Roman" w:hAnsi="Times New Roman"/>
                <w:sz w:val="24"/>
                <w:szCs w:val="24"/>
              </w:rPr>
              <w:t xml:space="preserve"> </w:t>
            </w:r>
            <w:r w:rsidR="007E6270">
              <w:rPr>
                <w:rFonts w:ascii="Times New Roman" w:hAnsi="Times New Roman"/>
                <w:lang w:val="en-NZ"/>
              </w:rPr>
              <w:t>in some situations</w:t>
            </w:r>
            <w:r w:rsidR="005965C4">
              <w:rPr>
                <w:rFonts w:ascii="Times New Roman" w:hAnsi="Times New Roman"/>
                <w:lang w:val="en-NZ"/>
              </w:rPr>
              <w:t xml:space="preserve">.  </w:t>
            </w:r>
            <w:r w:rsidR="00000B95">
              <w:rPr>
                <w:rFonts w:ascii="Times New Roman" w:hAnsi="Times New Roman"/>
                <w:lang w:val="en-NZ"/>
              </w:rPr>
              <w:t xml:space="preserve">However, </w:t>
            </w:r>
            <w:r w:rsidR="00B032DE">
              <w:rPr>
                <w:rFonts w:ascii="Times New Roman" w:hAnsi="Times New Roman"/>
                <w:lang w:val="en-NZ"/>
              </w:rPr>
              <w:t>the effectiveness of the bright-line test would not be optimised.</w:t>
            </w:r>
          </w:p>
          <w:p w:rsidR="00B003D0" w:rsidRDefault="00B003D0" w:rsidP="00E222FF">
            <w:pPr>
              <w:pStyle w:val="CommentText"/>
              <w:spacing w:after="0" w:line="240" w:lineRule="auto"/>
              <w:rPr>
                <w:rFonts w:ascii="Times New Roman" w:hAnsi="Times New Roman"/>
                <w:lang w:val="en-NZ"/>
              </w:rPr>
            </w:pPr>
          </w:p>
        </w:tc>
        <w:tc>
          <w:tcPr>
            <w:tcW w:w="2131" w:type="dxa"/>
            <w:shd w:val="clear" w:color="auto" w:fill="auto"/>
          </w:tcPr>
          <w:p w:rsidR="00222159" w:rsidRDefault="00F271F8" w:rsidP="00E222FF">
            <w:pPr>
              <w:pStyle w:val="CommentText"/>
              <w:spacing w:after="0" w:line="240" w:lineRule="auto"/>
              <w:rPr>
                <w:rFonts w:ascii="Times New Roman" w:hAnsi="Times New Roman"/>
                <w:lang w:val="en-NZ"/>
              </w:rPr>
            </w:pPr>
            <w:r>
              <w:rPr>
                <w:rFonts w:ascii="Times New Roman" w:hAnsi="Times New Roman"/>
                <w:lang w:val="en-NZ"/>
              </w:rPr>
              <w:t>N/A</w:t>
            </w:r>
          </w:p>
        </w:tc>
        <w:tc>
          <w:tcPr>
            <w:tcW w:w="1979" w:type="dxa"/>
            <w:shd w:val="clear" w:color="auto" w:fill="auto"/>
          </w:tcPr>
          <w:p w:rsidR="00222159" w:rsidRPr="006C19A4" w:rsidRDefault="00211CB5" w:rsidP="00E222FF">
            <w:pPr>
              <w:pStyle w:val="CommentText"/>
              <w:spacing w:after="0" w:line="240" w:lineRule="auto"/>
              <w:rPr>
                <w:rFonts w:ascii="Times New Roman" w:hAnsi="Times New Roman"/>
                <w:lang w:val="en-NZ"/>
              </w:rPr>
            </w:pPr>
            <w:r w:rsidRPr="006C19A4">
              <w:rPr>
                <w:rFonts w:ascii="Times New Roman" w:hAnsi="Times New Roman"/>
                <w:lang w:val="en-NZ"/>
              </w:rPr>
              <w:t>Could be perceived as inaction and increase non-compliance with New Zealand’s tax rules</w:t>
            </w:r>
            <w:r w:rsidR="00BB6038">
              <w:rPr>
                <w:rFonts w:ascii="Times New Roman" w:hAnsi="Times New Roman"/>
                <w:lang w:val="en-NZ"/>
              </w:rPr>
              <w:t xml:space="preserve"> more generally.</w:t>
            </w:r>
          </w:p>
        </w:tc>
        <w:tc>
          <w:tcPr>
            <w:tcW w:w="1845" w:type="dxa"/>
            <w:shd w:val="clear" w:color="auto" w:fill="auto"/>
          </w:tcPr>
          <w:p w:rsidR="00222159" w:rsidRPr="006C19A4" w:rsidRDefault="00147A49" w:rsidP="00E222FF">
            <w:pPr>
              <w:pStyle w:val="CommentText"/>
              <w:spacing w:after="0" w:line="240" w:lineRule="auto"/>
              <w:rPr>
                <w:rFonts w:ascii="Times New Roman" w:hAnsi="Times New Roman"/>
                <w:lang w:val="en-NZ"/>
              </w:rPr>
            </w:pPr>
            <w:r w:rsidRPr="006C19A4">
              <w:rPr>
                <w:rFonts w:ascii="Times New Roman" w:hAnsi="Times New Roman"/>
                <w:lang w:val="en-NZ"/>
              </w:rPr>
              <w:t xml:space="preserve">Would </w:t>
            </w:r>
            <w:r w:rsidR="007E6270" w:rsidRPr="006C19A4">
              <w:rPr>
                <w:rFonts w:ascii="Times New Roman" w:hAnsi="Times New Roman"/>
                <w:lang w:val="en-NZ"/>
              </w:rPr>
              <w:t xml:space="preserve">increase administrative </w:t>
            </w:r>
            <w:r w:rsidR="00517B7D" w:rsidRPr="006C19A4">
              <w:rPr>
                <w:rFonts w:ascii="Times New Roman" w:hAnsi="Times New Roman"/>
                <w:lang w:val="en-NZ"/>
              </w:rPr>
              <w:t>costs as it will require the use of additional Inland Revenue resources to engage in information campaigns</w:t>
            </w:r>
            <w:r w:rsidR="005965C4">
              <w:rPr>
                <w:rFonts w:ascii="Times New Roman" w:hAnsi="Times New Roman"/>
                <w:lang w:val="en-NZ"/>
              </w:rPr>
              <w:t xml:space="preserve">.  </w:t>
            </w:r>
            <w:r w:rsidR="00517B7D" w:rsidRPr="006C19A4">
              <w:rPr>
                <w:rFonts w:ascii="Times New Roman" w:hAnsi="Times New Roman"/>
                <w:lang w:val="en-NZ"/>
              </w:rPr>
              <w:t>Audit resources still required to investigate non-compliance</w:t>
            </w:r>
            <w:r w:rsidR="00000B95" w:rsidRPr="006C19A4">
              <w:rPr>
                <w:rFonts w:ascii="Times New Roman" w:hAnsi="Times New Roman"/>
                <w:lang w:val="en-NZ"/>
              </w:rPr>
              <w:t>.</w:t>
            </w:r>
          </w:p>
        </w:tc>
        <w:tc>
          <w:tcPr>
            <w:tcW w:w="1840" w:type="dxa"/>
            <w:shd w:val="clear" w:color="auto" w:fill="auto"/>
          </w:tcPr>
          <w:p w:rsidR="00222159" w:rsidRPr="006C19A4" w:rsidRDefault="00476B63" w:rsidP="00E222FF">
            <w:pPr>
              <w:pStyle w:val="CommentText"/>
              <w:spacing w:after="0" w:line="240" w:lineRule="auto"/>
              <w:rPr>
                <w:rFonts w:ascii="Times New Roman" w:hAnsi="Times New Roman"/>
                <w:lang w:val="en-NZ"/>
              </w:rPr>
            </w:pPr>
            <w:r w:rsidRPr="006C19A4">
              <w:rPr>
                <w:rFonts w:ascii="Times New Roman" w:hAnsi="Times New Roman"/>
                <w:lang w:val="en-NZ"/>
              </w:rPr>
              <w:t>Compliance costs may be greater than under option 1</w:t>
            </w:r>
            <w:r w:rsidR="001D3C5A" w:rsidRPr="006C19A4">
              <w:rPr>
                <w:rFonts w:ascii="Times New Roman" w:hAnsi="Times New Roman"/>
                <w:lang w:val="en-NZ"/>
              </w:rPr>
              <w:t xml:space="preserve">, depending on whether </w:t>
            </w:r>
            <w:r w:rsidR="007E6270" w:rsidRPr="006C19A4">
              <w:rPr>
                <w:rFonts w:ascii="Times New Roman" w:hAnsi="Times New Roman"/>
                <w:lang w:val="en-NZ"/>
              </w:rPr>
              <w:t xml:space="preserve">third parties </w:t>
            </w:r>
            <w:r w:rsidR="001D3C5A" w:rsidRPr="006C19A4">
              <w:rPr>
                <w:rFonts w:ascii="Times New Roman" w:hAnsi="Times New Roman"/>
                <w:lang w:val="en-NZ"/>
              </w:rPr>
              <w:t>would be required to provide information to residential property buyers and sellers about their tax obligations</w:t>
            </w:r>
            <w:r w:rsidR="00000B95" w:rsidRPr="006C19A4">
              <w:rPr>
                <w:rFonts w:ascii="Times New Roman" w:hAnsi="Times New Roman"/>
                <w:lang w:val="en-NZ"/>
              </w:rPr>
              <w:t>.</w:t>
            </w:r>
          </w:p>
        </w:tc>
        <w:tc>
          <w:tcPr>
            <w:tcW w:w="1836" w:type="dxa"/>
            <w:shd w:val="clear" w:color="auto" w:fill="auto"/>
          </w:tcPr>
          <w:p w:rsidR="00222159" w:rsidRPr="006C19A4" w:rsidRDefault="0092297D" w:rsidP="00E222FF">
            <w:pPr>
              <w:pStyle w:val="CommentText"/>
              <w:spacing w:after="0" w:line="240" w:lineRule="auto"/>
              <w:rPr>
                <w:rFonts w:ascii="Times New Roman" w:hAnsi="Times New Roman"/>
                <w:lang w:val="en-NZ"/>
              </w:rPr>
            </w:pPr>
            <w:r w:rsidRPr="006C19A4">
              <w:rPr>
                <w:rFonts w:ascii="Times New Roman" w:hAnsi="Times New Roman"/>
                <w:lang w:val="en-NZ"/>
              </w:rPr>
              <w:t>Could be perceived as being unfair, if there is a view that foreign investors are not paying “their fair share of tax”</w:t>
            </w:r>
            <w:r w:rsidR="00000B95" w:rsidRPr="006C19A4">
              <w:rPr>
                <w:rFonts w:ascii="Times New Roman" w:hAnsi="Times New Roman"/>
                <w:lang w:val="en-NZ"/>
              </w:rPr>
              <w:t>.</w:t>
            </w:r>
          </w:p>
        </w:tc>
        <w:tc>
          <w:tcPr>
            <w:tcW w:w="1788" w:type="dxa"/>
            <w:shd w:val="clear" w:color="auto" w:fill="auto"/>
          </w:tcPr>
          <w:p w:rsidR="00222159" w:rsidRDefault="00147A49" w:rsidP="00E222FF">
            <w:pPr>
              <w:pStyle w:val="CommentText"/>
              <w:spacing w:after="0" w:line="240" w:lineRule="auto"/>
              <w:rPr>
                <w:rFonts w:ascii="Times New Roman" w:hAnsi="Times New Roman"/>
                <w:lang w:val="en-NZ"/>
              </w:rPr>
            </w:pPr>
            <w:r>
              <w:rPr>
                <w:rFonts w:ascii="Times New Roman" w:hAnsi="Times New Roman"/>
                <w:lang w:val="en-NZ"/>
              </w:rPr>
              <w:t>Increases administrative costs without guaranteeing an increase in compliance</w:t>
            </w:r>
            <w:r w:rsidR="005965C4">
              <w:rPr>
                <w:rFonts w:ascii="Times New Roman" w:hAnsi="Times New Roman"/>
                <w:lang w:val="en-NZ"/>
              </w:rPr>
              <w:t xml:space="preserve">.  </w:t>
            </w:r>
            <w:r w:rsidR="00000B95">
              <w:rPr>
                <w:rFonts w:ascii="Times New Roman" w:hAnsi="Times New Roman"/>
                <w:lang w:val="en-NZ"/>
              </w:rPr>
              <w:t>Perception of unfairness could undermine the integrity of the New Zealand tax system.</w:t>
            </w:r>
          </w:p>
          <w:p w:rsidR="00147A49" w:rsidRDefault="00147A49" w:rsidP="00E222FF">
            <w:pPr>
              <w:pStyle w:val="CommentText"/>
              <w:spacing w:after="0" w:line="240" w:lineRule="auto"/>
              <w:rPr>
                <w:rFonts w:ascii="Times New Roman" w:hAnsi="Times New Roman"/>
                <w:lang w:val="en-NZ"/>
              </w:rPr>
            </w:pPr>
          </w:p>
          <w:p w:rsidR="00147A49" w:rsidRPr="000047F2" w:rsidRDefault="00147A49" w:rsidP="00E222FF">
            <w:pPr>
              <w:pStyle w:val="CommentText"/>
              <w:spacing w:after="0" w:line="240" w:lineRule="auto"/>
              <w:rPr>
                <w:rFonts w:ascii="Times New Roman" w:hAnsi="Times New Roman"/>
                <w:b/>
                <w:lang w:val="en-NZ"/>
              </w:rPr>
            </w:pPr>
            <w:r>
              <w:rPr>
                <w:rFonts w:ascii="Times New Roman" w:hAnsi="Times New Roman"/>
                <w:b/>
                <w:lang w:val="en-NZ"/>
              </w:rPr>
              <w:t>Not recommended</w:t>
            </w:r>
          </w:p>
        </w:tc>
      </w:tr>
      <w:tr w:rsidR="00D22717" w:rsidRPr="000E6CDD" w:rsidTr="006C19A4">
        <w:tc>
          <w:tcPr>
            <w:tcW w:w="1780" w:type="dxa"/>
            <w:shd w:val="clear" w:color="auto" w:fill="auto"/>
          </w:tcPr>
          <w:p w:rsidR="00222159" w:rsidRDefault="00222159" w:rsidP="00E222FF">
            <w:pPr>
              <w:pStyle w:val="CommentText"/>
              <w:spacing w:after="0" w:line="240" w:lineRule="auto"/>
              <w:rPr>
                <w:rFonts w:ascii="Times New Roman" w:hAnsi="Times New Roman"/>
                <w:b/>
                <w:lang w:val="en-NZ"/>
              </w:rPr>
            </w:pPr>
            <w:r>
              <w:rPr>
                <w:rFonts w:ascii="Times New Roman" w:hAnsi="Times New Roman"/>
                <w:b/>
                <w:lang w:val="en-NZ"/>
              </w:rPr>
              <w:t>Option 3</w:t>
            </w:r>
            <w:r w:rsidR="00E02FCB">
              <w:rPr>
                <w:rFonts w:ascii="Times New Roman" w:hAnsi="Times New Roman"/>
                <w:b/>
                <w:lang w:val="en-NZ"/>
              </w:rPr>
              <w:t xml:space="preserve">: status quo + review in </w:t>
            </w:r>
            <w:r w:rsidR="00BB6038">
              <w:rPr>
                <w:rFonts w:ascii="Times New Roman" w:hAnsi="Times New Roman"/>
                <w:b/>
                <w:lang w:val="en-NZ"/>
              </w:rPr>
              <w:t xml:space="preserve">three to four </w:t>
            </w:r>
            <w:r w:rsidR="00E02FCB">
              <w:rPr>
                <w:rFonts w:ascii="Times New Roman" w:hAnsi="Times New Roman"/>
                <w:b/>
                <w:lang w:val="en-NZ"/>
              </w:rPr>
              <w:t>years</w:t>
            </w:r>
          </w:p>
        </w:tc>
        <w:tc>
          <w:tcPr>
            <w:tcW w:w="1589" w:type="dxa"/>
            <w:shd w:val="clear" w:color="auto" w:fill="auto"/>
          </w:tcPr>
          <w:p w:rsidR="00222159" w:rsidRDefault="00B032DE" w:rsidP="00E222FF">
            <w:pPr>
              <w:pStyle w:val="CommentText"/>
              <w:spacing w:after="0" w:line="240" w:lineRule="auto"/>
              <w:rPr>
                <w:rFonts w:ascii="Times New Roman" w:hAnsi="Times New Roman"/>
                <w:lang w:val="en-NZ"/>
              </w:rPr>
            </w:pPr>
            <w:r>
              <w:rPr>
                <w:rFonts w:ascii="Times New Roman" w:hAnsi="Times New Roman"/>
                <w:lang w:val="en-NZ"/>
              </w:rPr>
              <w:t>Does not optimise the effectiveness</w:t>
            </w:r>
            <w:r w:rsidR="00B003D0">
              <w:rPr>
                <w:rFonts w:ascii="Times New Roman" w:hAnsi="Times New Roman"/>
                <w:lang w:val="en-NZ"/>
              </w:rPr>
              <w:t xml:space="preserve"> or</w:t>
            </w:r>
            <w:r w:rsidR="00B003D0" w:rsidRPr="0076228A">
              <w:rPr>
                <w:rFonts w:ascii="Times New Roman" w:hAnsi="Times New Roman"/>
              </w:rPr>
              <w:t xml:space="preserve"> support the integrity </w:t>
            </w:r>
            <w:r w:rsidR="00B003D0">
              <w:rPr>
                <w:rFonts w:ascii="Times New Roman" w:hAnsi="Times New Roman"/>
                <w:lang w:val="en-NZ"/>
              </w:rPr>
              <w:t xml:space="preserve">of </w:t>
            </w:r>
            <w:r>
              <w:rPr>
                <w:rFonts w:ascii="Times New Roman" w:hAnsi="Times New Roman"/>
                <w:lang w:val="en-NZ"/>
              </w:rPr>
              <w:t>the bright-line test</w:t>
            </w:r>
            <w:r w:rsidR="00486DD1">
              <w:rPr>
                <w:rFonts w:ascii="Times New Roman" w:hAnsi="Times New Roman"/>
                <w:lang w:val="en-NZ"/>
              </w:rPr>
              <w:t>.</w:t>
            </w:r>
          </w:p>
        </w:tc>
        <w:tc>
          <w:tcPr>
            <w:tcW w:w="2131" w:type="dxa"/>
            <w:shd w:val="clear" w:color="auto" w:fill="auto"/>
          </w:tcPr>
          <w:p w:rsidR="00222159" w:rsidRDefault="00F271F8" w:rsidP="00E222FF">
            <w:pPr>
              <w:pStyle w:val="CommentText"/>
              <w:spacing w:after="0" w:line="240" w:lineRule="auto"/>
              <w:rPr>
                <w:rFonts w:ascii="Times New Roman" w:hAnsi="Times New Roman"/>
                <w:lang w:val="en-NZ"/>
              </w:rPr>
            </w:pPr>
            <w:r>
              <w:rPr>
                <w:rFonts w:ascii="Times New Roman" w:hAnsi="Times New Roman"/>
                <w:lang w:val="en-NZ"/>
              </w:rPr>
              <w:t>N/A</w:t>
            </w:r>
          </w:p>
        </w:tc>
        <w:tc>
          <w:tcPr>
            <w:tcW w:w="1979" w:type="dxa"/>
            <w:shd w:val="clear" w:color="auto" w:fill="auto"/>
          </w:tcPr>
          <w:p w:rsidR="00222159" w:rsidRPr="006C19A4" w:rsidRDefault="0061124D" w:rsidP="00E222FF">
            <w:pPr>
              <w:pStyle w:val="CommentText"/>
              <w:spacing w:after="0" w:line="240" w:lineRule="auto"/>
              <w:rPr>
                <w:rFonts w:ascii="Times New Roman" w:hAnsi="Times New Roman"/>
                <w:lang w:val="en-NZ"/>
              </w:rPr>
            </w:pPr>
            <w:r w:rsidRPr="006C19A4">
              <w:rPr>
                <w:rFonts w:ascii="Times New Roman" w:hAnsi="Times New Roman"/>
                <w:lang w:val="en-NZ"/>
              </w:rPr>
              <w:t xml:space="preserve">Could be perceived as inaction and increase non-compliance with </w:t>
            </w:r>
            <w:r w:rsidR="00211CB5" w:rsidRPr="006C19A4">
              <w:rPr>
                <w:rFonts w:ascii="Times New Roman" w:hAnsi="Times New Roman"/>
                <w:lang w:val="en-NZ"/>
              </w:rPr>
              <w:t>New Zealand’s tax rules.</w:t>
            </w:r>
          </w:p>
        </w:tc>
        <w:tc>
          <w:tcPr>
            <w:tcW w:w="1845" w:type="dxa"/>
            <w:shd w:val="clear" w:color="auto" w:fill="auto"/>
          </w:tcPr>
          <w:p w:rsidR="00222159" w:rsidRPr="006C19A4" w:rsidRDefault="00517B7D" w:rsidP="00E222FF">
            <w:pPr>
              <w:pStyle w:val="CommentText"/>
              <w:spacing w:after="0" w:line="240" w:lineRule="auto"/>
              <w:rPr>
                <w:rFonts w:ascii="Times New Roman" w:hAnsi="Times New Roman"/>
                <w:lang w:val="en-NZ"/>
              </w:rPr>
            </w:pPr>
            <w:r w:rsidRPr="006C19A4">
              <w:rPr>
                <w:rFonts w:ascii="Times New Roman" w:hAnsi="Times New Roman"/>
                <w:lang w:val="en-NZ"/>
              </w:rPr>
              <w:t xml:space="preserve">Could increase administrative costs as it will require the use of Inland Revenue </w:t>
            </w:r>
            <w:r w:rsidR="00A015A7" w:rsidRPr="006C19A4">
              <w:rPr>
                <w:rFonts w:ascii="Times New Roman" w:hAnsi="Times New Roman"/>
                <w:lang w:val="en-NZ"/>
              </w:rPr>
              <w:t>resource</w:t>
            </w:r>
            <w:r w:rsidR="007E637D">
              <w:rPr>
                <w:rFonts w:ascii="Times New Roman" w:hAnsi="Times New Roman"/>
                <w:lang w:val="en-NZ"/>
              </w:rPr>
              <w:t>s</w:t>
            </w:r>
            <w:r w:rsidR="00A015A7" w:rsidRPr="006C19A4">
              <w:rPr>
                <w:rFonts w:ascii="Times New Roman" w:hAnsi="Times New Roman"/>
                <w:lang w:val="en-NZ"/>
              </w:rPr>
              <w:t xml:space="preserve"> </w:t>
            </w:r>
            <w:r w:rsidRPr="006C19A4">
              <w:rPr>
                <w:rFonts w:ascii="Times New Roman" w:hAnsi="Times New Roman"/>
                <w:lang w:val="en-NZ"/>
              </w:rPr>
              <w:t>to conduct a full review</w:t>
            </w:r>
            <w:r w:rsidR="00A015A7" w:rsidRPr="006C19A4">
              <w:rPr>
                <w:rFonts w:ascii="Times New Roman" w:hAnsi="Times New Roman"/>
                <w:lang w:val="en-NZ"/>
              </w:rPr>
              <w:t xml:space="preserve"> and would still require use of Inland Revenue resources to investigate non-compliance</w:t>
            </w:r>
            <w:r w:rsidR="00BB6038">
              <w:rPr>
                <w:rFonts w:ascii="Times New Roman" w:hAnsi="Times New Roman"/>
                <w:lang w:val="en-NZ"/>
              </w:rPr>
              <w:t>.</w:t>
            </w:r>
          </w:p>
        </w:tc>
        <w:tc>
          <w:tcPr>
            <w:tcW w:w="1840" w:type="dxa"/>
            <w:shd w:val="clear" w:color="auto" w:fill="auto"/>
          </w:tcPr>
          <w:p w:rsidR="00222159" w:rsidRPr="006C19A4" w:rsidRDefault="001D3C5A" w:rsidP="00E222FF">
            <w:pPr>
              <w:pStyle w:val="CommentText"/>
              <w:spacing w:after="0" w:line="240" w:lineRule="auto"/>
              <w:rPr>
                <w:rFonts w:ascii="Times New Roman" w:hAnsi="Times New Roman"/>
                <w:lang w:val="en-NZ"/>
              </w:rPr>
            </w:pPr>
            <w:r w:rsidRPr="006C19A4">
              <w:rPr>
                <w:rFonts w:ascii="Times New Roman" w:hAnsi="Times New Roman"/>
                <w:lang w:val="en-NZ"/>
              </w:rPr>
              <w:t>Compliance costs are likely to be the same as option 1.</w:t>
            </w:r>
          </w:p>
        </w:tc>
        <w:tc>
          <w:tcPr>
            <w:tcW w:w="1836" w:type="dxa"/>
            <w:shd w:val="clear" w:color="auto" w:fill="auto"/>
          </w:tcPr>
          <w:p w:rsidR="00222159" w:rsidRPr="006C19A4" w:rsidRDefault="0092297D" w:rsidP="00E222FF">
            <w:pPr>
              <w:pStyle w:val="CommentText"/>
              <w:spacing w:after="0" w:line="240" w:lineRule="auto"/>
              <w:rPr>
                <w:rFonts w:ascii="Times New Roman" w:hAnsi="Times New Roman"/>
                <w:lang w:val="en-NZ"/>
              </w:rPr>
            </w:pPr>
            <w:r w:rsidRPr="006C19A4">
              <w:rPr>
                <w:rFonts w:ascii="Times New Roman" w:hAnsi="Times New Roman"/>
                <w:lang w:val="en-NZ"/>
              </w:rPr>
              <w:t>Could be perceived as being unfair, if there is a view that foreign investors are not paying “their fair share of tax”</w:t>
            </w:r>
            <w:r w:rsidR="00000B95" w:rsidRPr="006C19A4">
              <w:rPr>
                <w:rFonts w:ascii="Times New Roman" w:hAnsi="Times New Roman"/>
                <w:lang w:val="en-NZ"/>
              </w:rPr>
              <w:t>.</w:t>
            </w:r>
          </w:p>
        </w:tc>
        <w:tc>
          <w:tcPr>
            <w:tcW w:w="1788" w:type="dxa"/>
            <w:shd w:val="clear" w:color="auto" w:fill="auto"/>
          </w:tcPr>
          <w:p w:rsidR="00222159" w:rsidRDefault="00000B95" w:rsidP="00E222FF">
            <w:pPr>
              <w:pStyle w:val="CommentText"/>
              <w:spacing w:after="0" w:line="240" w:lineRule="auto"/>
              <w:rPr>
                <w:rFonts w:ascii="Times New Roman" w:hAnsi="Times New Roman"/>
                <w:lang w:val="en-NZ"/>
              </w:rPr>
            </w:pPr>
            <w:r>
              <w:rPr>
                <w:rFonts w:ascii="Times New Roman" w:hAnsi="Times New Roman"/>
                <w:lang w:val="en-NZ"/>
              </w:rPr>
              <w:t>Perception of unfairness could undermine the integrity of the New Zealand tax system</w:t>
            </w:r>
            <w:r w:rsidR="005965C4">
              <w:rPr>
                <w:rFonts w:ascii="Times New Roman" w:hAnsi="Times New Roman"/>
                <w:lang w:val="en-NZ"/>
              </w:rPr>
              <w:t xml:space="preserve">.  </w:t>
            </w:r>
            <w:r w:rsidR="00211CB5">
              <w:rPr>
                <w:rFonts w:ascii="Times New Roman" w:hAnsi="Times New Roman"/>
                <w:lang w:val="en-NZ"/>
              </w:rPr>
              <w:t>Perception of inaction could encourage further non-compliance</w:t>
            </w:r>
            <w:r w:rsidR="00BB6038">
              <w:rPr>
                <w:rFonts w:ascii="Times New Roman" w:hAnsi="Times New Roman"/>
                <w:lang w:val="en-NZ"/>
              </w:rPr>
              <w:t>.</w:t>
            </w:r>
          </w:p>
          <w:p w:rsidR="00D22717" w:rsidRDefault="00D22717" w:rsidP="00E222FF">
            <w:pPr>
              <w:pStyle w:val="CommentText"/>
              <w:spacing w:after="0" w:line="240" w:lineRule="auto"/>
              <w:rPr>
                <w:rFonts w:ascii="Times New Roman" w:hAnsi="Times New Roman"/>
                <w:lang w:val="en-NZ"/>
              </w:rPr>
            </w:pPr>
          </w:p>
          <w:p w:rsidR="00D22717" w:rsidRPr="000047F2" w:rsidRDefault="00D22717" w:rsidP="00E222FF">
            <w:pPr>
              <w:pStyle w:val="CommentText"/>
              <w:spacing w:after="0" w:line="240" w:lineRule="auto"/>
              <w:rPr>
                <w:rFonts w:ascii="Times New Roman" w:hAnsi="Times New Roman"/>
                <w:b/>
                <w:lang w:val="en-NZ"/>
              </w:rPr>
            </w:pPr>
            <w:r>
              <w:rPr>
                <w:rFonts w:ascii="Times New Roman" w:hAnsi="Times New Roman"/>
                <w:b/>
                <w:lang w:val="en-NZ"/>
              </w:rPr>
              <w:t>Not recommended</w:t>
            </w:r>
          </w:p>
        </w:tc>
      </w:tr>
      <w:tr w:rsidR="00D22717" w:rsidRPr="000E6CDD" w:rsidTr="00517B7D">
        <w:tc>
          <w:tcPr>
            <w:tcW w:w="1780" w:type="dxa"/>
            <w:shd w:val="clear" w:color="auto" w:fill="auto"/>
          </w:tcPr>
          <w:p w:rsidR="003518FF" w:rsidRPr="000E6CDD" w:rsidRDefault="00D46A34" w:rsidP="00E222FF">
            <w:pPr>
              <w:pStyle w:val="CommentText"/>
              <w:spacing w:after="0" w:line="240" w:lineRule="auto"/>
              <w:rPr>
                <w:rFonts w:ascii="Times New Roman" w:hAnsi="Times New Roman"/>
                <w:b/>
                <w:lang w:val="en-NZ"/>
              </w:rPr>
            </w:pPr>
            <w:r>
              <w:rPr>
                <w:rFonts w:ascii="Times New Roman" w:hAnsi="Times New Roman"/>
                <w:b/>
                <w:lang w:val="en-NZ"/>
              </w:rPr>
              <w:t>Option 4</w:t>
            </w:r>
            <w:r w:rsidR="00B032DE">
              <w:rPr>
                <w:rFonts w:ascii="Times New Roman" w:hAnsi="Times New Roman"/>
                <w:b/>
                <w:lang w:val="en-NZ"/>
              </w:rPr>
              <w:t>(a)</w:t>
            </w:r>
            <w:r w:rsidR="003518FF">
              <w:rPr>
                <w:rFonts w:ascii="Times New Roman" w:hAnsi="Times New Roman"/>
                <w:b/>
                <w:lang w:val="en-NZ"/>
              </w:rPr>
              <w:t>: withholding tax on sales of residential property</w:t>
            </w:r>
            <w:r w:rsidR="00B032DE">
              <w:rPr>
                <w:rFonts w:ascii="Times New Roman" w:hAnsi="Times New Roman"/>
                <w:b/>
                <w:lang w:val="en-NZ"/>
              </w:rPr>
              <w:t xml:space="preserve"> made within bright-line period by offshore persons</w:t>
            </w:r>
          </w:p>
        </w:tc>
        <w:tc>
          <w:tcPr>
            <w:tcW w:w="1589" w:type="dxa"/>
            <w:shd w:val="clear" w:color="auto" w:fill="auto"/>
          </w:tcPr>
          <w:p w:rsidR="003518FF" w:rsidRPr="000E6CDD" w:rsidRDefault="003518FF" w:rsidP="00E222FF">
            <w:pPr>
              <w:pStyle w:val="CommentText"/>
              <w:spacing w:after="0" w:line="240" w:lineRule="auto"/>
              <w:rPr>
                <w:rFonts w:ascii="Times New Roman" w:hAnsi="Times New Roman"/>
                <w:lang w:val="en-NZ"/>
              </w:rPr>
            </w:pPr>
            <w:r>
              <w:rPr>
                <w:rFonts w:ascii="Times New Roman" w:hAnsi="Times New Roman"/>
                <w:lang w:val="en-NZ"/>
              </w:rPr>
              <w:t>Meets objective</w:t>
            </w:r>
            <w:r w:rsidR="00486DD1">
              <w:rPr>
                <w:rFonts w:ascii="Times New Roman" w:hAnsi="Times New Roman"/>
                <w:lang w:val="en-NZ"/>
              </w:rPr>
              <w:t>.</w:t>
            </w:r>
          </w:p>
        </w:tc>
        <w:tc>
          <w:tcPr>
            <w:tcW w:w="2131" w:type="dxa"/>
            <w:shd w:val="clear" w:color="auto" w:fill="auto"/>
          </w:tcPr>
          <w:p w:rsidR="003518FF" w:rsidRPr="000E6CDD" w:rsidRDefault="003518FF" w:rsidP="00E222FF">
            <w:pPr>
              <w:pStyle w:val="CommentText"/>
              <w:spacing w:after="0" w:line="240" w:lineRule="auto"/>
              <w:rPr>
                <w:rFonts w:ascii="Times New Roman" w:hAnsi="Times New Roman"/>
                <w:lang w:val="en-NZ"/>
              </w:rPr>
            </w:pPr>
            <w:r>
              <w:rPr>
                <w:rFonts w:ascii="Times New Roman" w:hAnsi="Times New Roman"/>
                <w:lang w:val="en-NZ"/>
              </w:rPr>
              <w:t>The bright-line test is estimated to raise an additional $5 million per annum</w:t>
            </w:r>
            <w:r w:rsidR="005965C4">
              <w:rPr>
                <w:rFonts w:ascii="Times New Roman" w:hAnsi="Times New Roman"/>
                <w:lang w:val="en-NZ"/>
              </w:rPr>
              <w:t xml:space="preserve">.  </w:t>
            </w:r>
            <w:r>
              <w:rPr>
                <w:rFonts w:ascii="Times New Roman" w:hAnsi="Times New Roman"/>
                <w:lang w:val="en-NZ"/>
              </w:rPr>
              <w:t xml:space="preserve">As </w:t>
            </w:r>
            <w:r w:rsidR="00D46A34">
              <w:rPr>
                <w:rFonts w:ascii="Times New Roman" w:hAnsi="Times New Roman"/>
                <w:lang w:val="en-NZ"/>
              </w:rPr>
              <w:t>option 4</w:t>
            </w:r>
            <w:r>
              <w:rPr>
                <w:rFonts w:ascii="Times New Roman" w:hAnsi="Times New Roman"/>
                <w:lang w:val="en-NZ"/>
              </w:rPr>
              <w:t xml:space="preserve"> has been designed</w:t>
            </w:r>
            <w:r w:rsidR="00BB6038">
              <w:rPr>
                <w:rFonts w:ascii="Times New Roman" w:hAnsi="Times New Roman"/>
                <w:lang w:val="en-NZ"/>
              </w:rPr>
              <w:t xml:space="preserve"> as</w:t>
            </w:r>
            <w:r>
              <w:rPr>
                <w:rFonts w:ascii="Times New Roman" w:hAnsi="Times New Roman"/>
                <w:lang w:val="en-NZ"/>
              </w:rPr>
              <w:t xml:space="preserve"> a collection mechanism for the bright-line test, it is expected that </w:t>
            </w:r>
            <w:r w:rsidR="00DE23EA">
              <w:rPr>
                <w:rFonts w:ascii="Times New Roman" w:hAnsi="Times New Roman"/>
                <w:lang w:val="en-NZ"/>
              </w:rPr>
              <w:t>it would raise a portion of the $5 million estimated for the bright-line test.</w:t>
            </w:r>
          </w:p>
        </w:tc>
        <w:tc>
          <w:tcPr>
            <w:tcW w:w="1979" w:type="dxa"/>
            <w:shd w:val="clear" w:color="auto" w:fill="auto"/>
          </w:tcPr>
          <w:p w:rsidR="003518FF" w:rsidRPr="006C19A4" w:rsidRDefault="001624FE" w:rsidP="00E222FF">
            <w:pPr>
              <w:pStyle w:val="CommentText"/>
              <w:spacing w:after="0" w:line="240" w:lineRule="auto"/>
              <w:rPr>
                <w:rFonts w:ascii="Times New Roman" w:hAnsi="Times New Roman"/>
                <w:lang w:val="en-NZ"/>
              </w:rPr>
            </w:pPr>
            <w:r w:rsidRPr="006C19A4">
              <w:rPr>
                <w:rFonts w:ascii="Times New Roman" w:hAnsi="Times New Roman"/>
                <w:lang w:val="en-NZ"/>
              </w:rPr>
              <w:t>Would reduce instances of non-compliance with the bright-line test</w:t>
            </w:r>
            <w:r w:rsidR="005965C4">
              <w:rPr>
                <w:rFonts w:ascii="Times New Roman" w:hAnsi="Times New Roman"/>
                <w:lang w:val="en-NZ"/>
              </w:rPr>
              <w:t xml:space="preserve">.  </w:t>
            </w:r>
            <w:r w:rsidR="00D22717" w:rsidRPr="006C19A4">
              <w:rPr>
                <w:rFonts w:ascii="Times New Roman" w:hAnsi="Times New Roman"/>
                <w:lang w:val="en-NZ"/>
              </w:rPr>
              <w:t>Could prevent some property transactions from being completed, due to, for example, cash-flow issues, or if some sellers would in absence of a withholding tax think that they could evade the bright-line test.</w:t>
            </w:r>
          </w:p>
        </w:tc>
        <w:tc>
          <w:tcPr>
            <w:tcW w:w="1845" w:type="dxa"/>
            <w:shd w:val="clear" w:color="auto" w:fill="auto"/>
          </w:tcPr>
          <w:p w:rsidR="003518FF" w:rsidRPr="006C19A4" w:rsidRDefault="00517B7D" w:rsidP="00E222FF">
            <w:pPr>
              <w:pStyle w:val="CommentText"/>
              <w:spacing w:after="0" w:line="240" w:lineRule="auto"/>
              <w:rPr>
                <w:rFonts w:ascii="Times New Roman" w:hAnsi="Times New Roman"/>
                <w:lang w:val="en-NZ"/>
              </w:rPr>
            </w:pPr>
            <w:r w:rsidRPr="006C19A4">
              <w:rPr>
                <w:rFonts w:ascii="Times New Roman" w:hAnsi="Times New Roman"/>
                <w:lang w:val="en-NZ"/>
              </w:rPr>
              <w:t>Increases administrative costs because it requires the implementation of a new withholding tax type, but it could decrease required audit resources over the longer term.</w:t>
            </w:r>
          </w:p>
        </w:tc>
        <w:tc>
          <w:tcPr>
            <w:tcW w:w="1840" w:type="dxa"/>
            <w:shd w:val="clear" w:color="auto" w:fill="auto"/>
          </w:tcPr>
          <w:p w:rsidR="003518FF" w:rsidRPr="006C19A4" w:rsidRDefault="00D22717" w:rsidP="00E222FF">
            <w:pPr>
              <w:pStyle w:val="CommentText"/>
              <w:spacing w:after="0" w:line="240" w:lineRule="auto"/>
              <w:rPr>
                <w:rFonts w:ascii="Times New Roman" w:hAnsi="Times New Roman"/>
                <w:lang w:val="en-NZ"/>
              </w:rPr>
            </w:pPr>
            <w:r w:rsidRPr="006C19A4">
              <w:rPr>
                <w:rFonts w:ascii="Times New Roman" w:hAnsi="Times New Roman"/>
                <w:lang w:val="en-NZ"/>
              </w:rPr>
              <w:t>Increases compliance costs in determining whether withholding applies and undertaking the withholding</w:t>
            </w:r>
            <w:r w:rsidR="005965C4">
              <w:rPr>
                <w:rFonts w:ascii="Times New Roman" w:hAnsi="Times New Roman"/>
                <w:lang w:val="en-NZ"/>
              </w:rPr>
              <w:t xml:space="preserve">.  </w:t>
            </w:r>
            <w:r w:rsidR="007E6270" w:rsidRPr="006C19A4">
              <w:rPr>
                <w:rFonts w:ascii="Times New Roman" w:hAnsi="Times New Roman"/>
                <w:lang w:val="en-NZ"/>
              </w:rPr>
              <w:t>Could decrease compliance costs for some sellers, where the withholding is close to their income tax liability</w:t>
            </w:r>
            <w:r w:rsidR="00000B95" w:rsidRPr="006C19A4">
              <w:rPr>
                <w:rFonts w:ascii="Times New Roman" w:hAnsi="Times New Roman"/>
                <w:lang w:val="en-NZ"/>
              </w:rPr>
              <w:t>.</w:t>
            </w:r>
          </w:p>
        </w:tc>
        <w:tc>
          <w:tcPr>
            <w:tcW w:w="1836" w:type="dxa"/>
            <w:shd w:val="clear" w:color="auto" w:fill="auto"/>
          </w:tcPr>
          <w:p w:rsidR="003518FF" w:rsidRPr="006C19A4" w:rsidRDefault="00DE23EA" w:rsidP="00E222FF">
            <w:pPr>
              <w:pStyle w:val="CommentText"/>
              <w:spacing w:after="0" w:line="240" w:lineRule="auto"/>
              <w:rPr>
                <w:rFonts w:ascii="Times New Roman" w:hAnsi="Times New Roman"/>
                <w:lang w:val="en-NZ"/>
              </w:rPr>
            </w:pPr>
            <w:r w:rsidRPr="006C19A4">
              <w:rPr>
                <w:rFonts w:ascii="Times New Roman" w:hAnsi="Times New Roman"/>
                <w:lang w:val="en-NZ"/>
              </w:rPr>
              <w:t xml:space="preserve">Could </w:t>
            </w:r>
            <w:r w:rsidR="001D3C5A" w:rsidRPr="006C19A4">
              <w:rPr>
                <w:rFonts w:ascii="Times New Roman" w:hAnsi="Times New Roman"/>
                <w:lang w:val="en-NZ"/>
              </w:rPr>
              <w:t xml:space="preserve">be perceived as being fairer </w:t>
            </w:r>
            <w:r w:rsidRPr="006C19A4">
              <w:rPr>
                <w:rFonts w:ascii="Times New Roman" w:hAnsi="Times New Roman"/>
                <w:lang w:val="en-NZ"/>
              </w:rPr>
              <w:t>by New Zealand residents</w:t>
            </w:r>
            <w:r w:rsidR="008D4212" w:rsidRPr="006C19A4">
              <w:rPr>
                <w:rFonts w:ascii="Times New Roman" w:hAnsi="Times New Roman"/>
                <w:lang w:val="en-NZ"/>
              </w:rPr>
              <w:t>,</w:t>
            </w:r>
            <w:r w:rsidR="004146D4" w:rsidRPr="006C19A4">
              <w:rPr>
                <w:rFonts w:ascii="Times New Roman" w:hAnsi="Times New Roman"/>
                <w:lang w:val="en-NZ"/>
              </w:rPr>
              <w:t xml:space="preserve"> if there is a view that foreign investors </w:t>
            </w:r>
            <w:r w:rsidR="001D3C5A" w:rsidRPr="006C19A4">
              <w:rPr>
                <w:rFonts w:ascii="Times New Roman" w:hAnsi="Times New Roman"/>
                <w:lang w:val="en-NZ"/>
              </w:rPr>
              <w:t>are not complying with their tax obligations</w:t>
            </w:r>
            <w:r w:rsidR="00804553" w:rsidRPr="006C19A4">
              <w:rPr>
                <w:rFonts w:ascii="Times New Roman" w:hAnsi="Times New Roman"/>
                <w:lang w:val="en-NZ"/>
              </w:rPr>
              <w:t>.</w:t>
            </w:r>
          </w:p>
        </w:tc>
        <w:tc>
          <w:tcPr>
            <w:tcW w:w="1788" w:type="dxa"/>
            <w:shd w:val="clear" w:color="auto" w:fill="auto"/>
          </w:tcPr>
          <w:p w:rsidR="003518FF" w:rsidRDefault="007E6270" w:rsidP="00E222FF">
            <w:pPr>
              <w:pStyle w:val="CommentText"/>
              <w:spacing w:after="0" w:line="240" w:lineRule="auto"/>
              <w:rPr>
                <w:rFonts w:ascii="Times New Roman" w:hAnsi="Times New Roman"/>
                <w:lang w:val="en-NZ"/>
              </w:rPr>
            </w:pPr>
            <w:r>
              <w:rPr>
                <w:rFonts w:ascii="Times New Roman" w:hAnsi="Times New Roman"/>
                <w:lang w:val="en-NZ"/>
              </w:rPr>
              <w:t xml:space="preserve">Increases compliance costs and administrative costs beyond the status quo, but this is offset </w:t>
            </w:r>
            <w:r w:rsidR="00517B7D">
              <w:rPr>
                <w:rFonts w:ascii="Times New Roman" w:hAnsi="Times New Roman"/>
                <w:lang w:val="en-NZ"/>
              </w:rPr>
              <w:t>b</w:t>
            </w:r>
            <w:r w:rsidR="00BB6038">
              <w:rPr>
                <w:rFonts w:ascii="Times New Roman" w:hAnsi="Times New Roman"/>
                <w:lang w:val="en-NZ"/>
              </w:rPr>
              <w:t>y</w:t>
            </w:r>
            <w:r w:rsidR="00517B7D">
              <w:rPr>
                <w:rFonts w:ascii="Times New Roman" w:hAnsi="Times New Roman"/>
                <w:lang w:val="en-NZ"/>
              </w:rPr>
              <w:t xml:space="preserve"> reduced administrative costs in other areas</w:t>
            </w:r>
            <w:r w:rsidR="00FA2069">
              <w:rPr>
                <w:rFonts w:ascii="Times New Roman" w:hAnsi="Times New Roman"/>
                <w:lang w:val="en-NZ"/>
              </w:rPr>
              <w:t xml:space="preserve"> and would improve integrity in the tax system, as New Zealand-based taxpayers </w:t>
            </w:r>
            <w:r w:rsidR="007E637D">
              <w:rPr>
                <w:rFonts w:ascii="Times New Roman" w:hAnsi="Times New Roman"/>
                <w:lang w:val="en-NZ"/>
              </w:rPr>
              <w:t>c</w:t>
            </w:r>
            <w:r w:rsidR="00FA2069">
              <w:rPr>
                <w:rFonts w:ascii="Times New Roman" w:hAnsi="Times New Roman"/>
                <w:lang w:val="en-NZ"/>
              </w:rPr>
              <w:t>ould perceive the measure as ensuring that foreign investors “pay their fair share of tax”.</w:t>
            </w:r>
          </w:p>
          <w:p w:rsidR="00BB6038" w:rsidRDefault="00BB6038" w:rsidP="00E222FF">
            <w:pPr>
              <w:pStyle w:val="CommentText"/>
              <w:spacing w:after="0" w:line="240" w:lineRule="auto"/>
              <w:rPr>
                <w:rFonts w:ascii="Times New Roman" w:hAnsi="Times New Roman"/>
                <w:lang w:val="en-NZ"/>
              </w:rPr>
            </w:pPr>
          </w:p>
          <w:p w:rsidR="00A13578" w:rsidRDefault="00A13578" w:rsidP="00E222FF">
            <w:pPr>
              <w:pStyle w:val="CommentText"/>
              <w:spacing w:after="0" w:line="240" w:lineRule="auto"/>
              <w:rPr>
                <w:rFonts w:ascii="Times New Roman" w:hAnsi="Times New Roman"/>
                <w:b/>
                <w:lang w:val="en-NZ"/>
              </w:rPr>
            </w:pPr>
            <w:r>
              <w:rPr>
                <w:rFonts w:ascii="Times New Roman" w:hAnsi="Times New Roman"/>
                <w:b/>
                <w:lang w:val="en-NZ"/>
              </w:rPr>
              <w:t>R</w:t>
            </w:r>
            <w:r w:rsidRPr="00211CB5">
              <w:rPr>
                <w:rFonts w:ascii="Times New Roman" w:hAnsi="Times New Roman"/>
                <w:b/>
                <w:lang w:val="en-NZ"/>
              </w:rPr>
              <w:t>ecommended</w:t>
            </w:r>
          </w:p>
          <w:p w:rsidR="00A750C2" w:rsidRDefault="00A750C2" w:rsidP="00E222FF">
            <w:pPr>
              <w:pStyle w:val="CommentText"/>
              <w:spacing w:after="0" w:line="240" w:lineRule="auto"/>
              <w:rPr>
                <w:rFonts w:ascii="Times New Roman" w:hAnsi="Times New Roman"/>
                <w:b/>
                <w:lang w:val="en-NZ"/>
              </w:rPr>
            </w:pPr>
          </w:p>
          <w:p w:rsidR="00A750C2" w:rsidRPr="000E6CDD" w:rsidRDefault="00A750C2" w:rsidP="00E222FF">
            <w:pPr>
              <w:pStyle w:val="CommentText"/>
              <w:spacing w:after="0" w:line="240" w:lineRule="auto"/>
              <w:rPr>
                <w:rFonts w:ascii="Times New Roman" w:hAnsi="Times New Roman"/>
                <w:lang w:val="en-NZ"/>
              </w:rPr>
            </w:pPr>
          </w:p>
        </w:tc>
      </w:tr>
      <w:tr w:rsidR="00D22717" w:rsidRPr="000E6CDD" w:rsidTr="006C19A4">
        <w:tc>
          <w:tcPr>
            <w:tcW w:w="1780" w:type="dxa"/>
            <w:shd w:val="clear" w:color="auto" w:fill="auto"/>
          </w:tcPr>
          <w:p w:rsidR="008E33D1" w:rsidRDefault="008E33D1" w:rsidP="00E222FF">
            <w:pPr>
              <w:pStyle w:val="CommentText"/>
              <w:spacing w:after="0" w:line="240" w:lineRule="auto"/>
              <w:rPr>
                <w:rFonts w:ascii="Times New Roman" w:hAnsi="Times New Roman"/>
                <w:b/>
                <w:lang w:val="en-NZ"/>
              </w:rPr>
            </w:pPr>
            <w:r>
              <w:rPr>
                <w:rFonts w:ascii="Times New Roman" w:hAnsi="Times New Roman"/>
                <w:b/>
                <w:lang w:val="en-NZ"/>
              </w:rPr>
              <w:t>Option 4(b): withholding tax on all sales of residential property subject to bright-line test</w:t>
            </w:r>
          </w:p>
        </w:tc>
        <w:tc>
          <w:tcPr>
            <w:tcW w:w="1589" w:type="dxa"/>
            <w:shd w:val="clear" w:color="auto" w:fill="auto"/>
          </w:tcPr>
          <w:p w:rsidR="008E33D1" w:rsidRDefault="008E33D1" w:rsidP="00E222FF">
            <w:pPr>
              <w:pStyle w:val="CommentText"/>
              <w:spacing w:after="0" w:line="240" w:lineRule="auto"/>
              <w:rPr>
                <w:rFonts w:ascii="Times New Roman" w:hAnsi="Times New Roman"/>
                <w:lang w:val="en-NZ"/>
              </w:rPr>
            </w:pPr>
            <w:r>
              <w:rPr>
                <w:rFonts w:ascii="Times New Roman" w:hAnsi="Times New Roman"/>
                <w:lang w:val="en-NZ"/>
              </w:rPr>
              <w:t xml:space="preserve">Maximises compliance with </w:t>
            </w:r>
            <w:r w:rsidR="00B003D0">
              <w:rPr>
                <w:rFonts w:ascii="Times New Roman" w:hAnsi="Times New Roman"/>
                <w:lang w:val="en-NZ"/>
              </w:rPr>
              <w:t xml:space="preserve">and supports the integrity of </w:t>
            </w:r>
            <w:r>
              <w:rPr>
                <w:rFonts w:ascii="Times New Roman" w:hAnsi="Times New Roman"/>
                <w:lang w:val="en-NZ"/>
              </w:rPr>
              <w:t>the bright-line test, but does not optimise the effectiveness of the rules.</w:t>
            </w:r>
          </w:p>
        </w:tc>
        <w:tc>
          <w:tcPr>
            <w:tcW w:w="2131" w:type="dxa"/>
            <w:shd w:val="clear" w:color="auto" w:fill="auto"/>
          </w:tcPr>
          <w:p w:rsidR="008E33D1" w:rsidRDefault="00211CB5" w:rsidP="00E222FF">
            <w:pPr>
              <w:pStyle w:val="CommentText"/>
              <w:spacing w:after="0" w:line="240" w:lineRule="auto"/>
              <w:rPr>
                <w:rFonts w:ascii="Times New Roman" w:hAnsi="Times New Roman"/>
                <w:lang w:val="en-NZ"/>
              </w:rPr>
            </w:pPr>
            <w:r>
              <w:rPr>
                <w:rFonts w:ascii="Times New Roman" w:hAnsi="Times New Roman"/>
                <w:lang w:val="en-NZ"/>
              </w:rPr>
              <w:t>Would collect a greater portion of estimated bright-line revenue than option 4(a) – possibly close to the $5m bright-line estimate</w:t>
            </w:r>
          </w:p>
        </w:tc>
        <w:tc>
          <w:tcPr>
            <w:tcW w:w="1979" w:type="dxa"/>
            <w:shd w:val="clear" w:color="auto" w:fill="auto"/>
          </w:tcPr>
          <w:p w:rsidR="008E33D1" w:rsidRPr="006C19A4" w:rsidRDefault="00D22717" w:rsidP="00E222FF">
            <w:pPr>
              <w:pStyle w:val="CommentText"/>
              <w:spacing w:after="0" w:line="240" w:lineRule="auto"/>
              <w:rPr>
                <w:rFonts w:ascii="Times New Roman" w:hAnsi="Times New Roman"/>
                <w:lang w:val="en-NZ"/>
              </w:rPr>
            </w:pPr>
            <w:r w:rsidRPr="006C19A4">
              <w:rPr>
                <w:rFonts w:ascii="Times New Roman" w:hAnsi="Times New Roman"/>
                <w:lang w:val="en-NZ"/>
              </w:rPr>
              <w:t>Would significantly reduce instances of non-compliance</w:t>
            </w:r>
            <w:r w:rsidR="005965C4">
              <w:rPr>
                <w:rFonts w:ascii="Times New Roman" w:hAnsi="Times New Roman"/>
                <w:lang w:val="en-NZ"/>
              </w:rPr>
              <w:t xml:space="preserve">.  </w:t>
            </w:r>
            <w:r w:rsidR="00C95690" w:rsidRPr="006C19A4">
              <w:rPr>
                <w:rFonts w:ascii="Times New Roman" w:hAnsi="Times New Roman"/>
                <w:lang w:val="en-NZ"/>
              </w:rPr>
              <w:t xml:space="preserve">Could </w:t>
            </w:r>
            <w:r w:rsidRPr="006C19A4">
              <w:rPr>
                <w:rFonts w:ascii="Times New Roman" w:hAnsi="Times New Roman"/>
                <w:lang w:val="en-NZ"/>
              </w:rPr>
              <w:t>prevent some property transactions from being completed, due to, for example, cash-flow issues, or if some sellers would in absence of a withholding tax think that they could evade the bright-line test.</w:t>
            </w:r>
          </w:p>
        </w:tc>
        <w:tc>
          <w:tcPr>
            <w:tcW w:w="1845" w:type="dxa"/>
            <w:shd w:val="clear" w:color="auto" w:fill="auto"/>
          </w:tcPr>
          <w:p w:rsidR="008E33D1" w:rsidRPr="006C19A4" w:rsidRDefault="00D22717" w:rsidP="00E222FF">
            <w:pPr>
              <w:pStyle w:val="CommentText"/>
              <w:spacing w:after="0" w:line="240" w:lineRule="auto"/>
              <w:rPr>
                <w:rFonts w:ascii="Times New Roman" w:hAnsi="Times New Roman"/>
                <w:lang w:val="en-NZ"/>
              </w:rPr>
            </w:pPr>
            <w:r w:rsidRPr="006C19A4">
              <w:rPr>
                <w:rFonts w:ascii="Times New Roman" w:hAnsi="Times New Roman"/>
                <w:lang w:val="en-NZ"/>
              </w:rPr>
              <w:t>Substantially increases administrative costs and may not be possible for Inland Revenue to implement prior to relevant phase of its Business Transformation Programme.</w:t>
            </w:r>
          </w:p>
        </w:tc>
        <w:tc>
          <w:tcPr>
            <w:tcW w:w="1840" w:type="dxa"/>
            <w:shd w:val="clear" w:color="auto" w:fill="auto"/>
          </w:tcPr>
          <w:p w:rsidR="008E33D1" w:rsidRPr="006C19A4" w:rsidRDefault="00D22717" w:rsidP="00E222FF">
            <w:pPr>
              <w:pStyle w:val="CommentText"/>
              <w:spacing w:after="0" w:line="240" w:lineRule="auto"/>
              <w:rPr>
                <w:rFonts w:ascii="Times New Roman" w:hAnsi="Times New Roman"/>
                <w:lang w:val="en-NZ"/>
              </w:rPr>
            </w:pPr>
            <w:r w:rsidRPr="006C19A4">
              <w:rPr>
                <w:rFonts w:ascii="Times New Roman" w:hAnsi="Times New Roman"/>
                <w:lang w:val="en-NZ"/>
              </w:rPr>
              <w:t>Increases compliance costs as withholding agents will be required to withhold on all bright-line transactions</w:t>
            </w:r>
            <w:r w:rsidR="005965C4">
              <w:rPr>
                <w:rFonts w:ascii="Times New Roman" w:hAnsi="Times New Roman"/>
                <w:lang w:val="en-NZ"/>
              </w:rPr>
              <w:t xml:space="preserve">.  </w:t>
            </w:r>
            <w:r w:rsidR="00A13578" w:rsidRPr="006C19A4">
              <w:rPr>
                <w:rFonts w:ascii="Times New Roman" w:hAnsi="Times New Roman"/>
                <w:lang w:val="en-NZ"/>
              </w:rPr>
              <w:t xml:space="preserve">This will </w:t>
            </w:r>
            <w:r w:rsidR="007E637D">
              <w:rPr>
                <w:rFonts w:ascii="Times New Roman" w:hAnsi="Times New Roman"/>
                <w:lang w:val="en-NZ"/>
              </w:rPr>
              <w:t xml:space="preserve">result in </w:t>
            </w:r>
            <w:r w:rsidR="00A13578" w:rsidRPr="006C19A4">
              <w:rPr>
                <w:rFonts w:ascii="Times New Roman" w:hAnsi="Times New Roman"/>
                <w:lang w:val="en-NZ"/>
              </w:rPr>
              <w:t>over-withhold</w:t>
            </w:r>
            <w:r w:rsidR="007E637D">
              <w:rPr>
                <w:rFonts w:ascii="Times New Roman" w:hAnsi="Times New Roman"/>
                <w:lang w:val="en-NZ"/>
              </w:rPr>
              <w:t>ing</w:t>
            </w:r>
            <w:r w:rsidR="00A13578" w:rsidRPr="006C19A4">
              <w:rPr>
                <w:rFonts w:ascii="Times New Roman" w:hAnsi="Times New Roman"/>
                <w:lang w:val="en-NZ"/>
              </w:rPr>
              <w:t xml:space="preserve"> in a greater number of circumstances, which would result in higher compliance costs.</w:t>
            </w:r>
          </w:p>
        </w:tc>
        <w:tc>
          <w:tcPr>
            <w:tcW w:w="1836" w:type="dxa"/>
            <w:shd w:val="clear" w:color="auto" w:fill="auto"/>
          </w:tcPr>
          <w:p w:rsidR="008E33D1" w:rsidRPr="006C19A4" w:rsidRDefault="00065152" w:rsidP="00E222FF">
            <w:pPr>
              <w:pStyle w:val="CommentText"/>
              <w:spacing w:after="0" w:line="240" w:lineRule="auto"/>
              <w:rPr>
                <w:rFonts w:ascii="Times New Roman" w:hAnsi="Times New Roman"/>
                <w:lang w:val="en-NZ"/>
              </w:rPr>
            </w:pPr>
            <w:r w:rsidRPr="006C19A4">
              <w:rPr>
                <w:rFonts w:ascii="Times New Roman" w:hAnsi="Times New Roman"/>
                <w:lang w:val="en-NZ"/>
              </w:rPr>
              <w:t>Likely to be perceived as fair to the ex</w:t>
            </w:r>
            <w:r w:rsidR="00D939A5" w:rsidRPr="006C19A4">
              <w:rPr>
                <w:rFonts w:ascii="Times New Roman" w:hAnsi="Times New Roman"/>
                <w:lang w:val="en-NZ"/>
              </w:rPr>
              <w:t>t</w:t>
            </w:r>
            <w:r w:rsidRPr="006C19A4">
              <w:rPr>
                <w:rFonts w:ascii="Times New Roman" w:hAnsi="Times New Roman"/>
                <w:lang w:val="en-NZ"/>
              </w:rPr>
              <w:t>ent that it correctly withholds tax</w:t>
            </w:r>
            <w:r w:rsidR="005965C4">
              <w:rPr>
                <w:rFonts w:ascii="Times New Roman" w:hAnsi="Times New Roman"/>
                <w:lang w:val="en-NZ"/>
              </w:rPr>
              <w:t xml:space="preserve">.  </w:t>
            </w:r>
            <w:r w:rsidRPr="006C19A4">
              <w:rPr>
                <w:rFonts w:ascii="Times New Roman" w:hAnsi="Times New Roman"/>
                <w:lang w:val="en-NZ"/>
              </w:rPr>
              <w:t xml:space="preserve">Likely to be perceived as unfair if it </w:t>
            </w:r>
            <w:r w:rsidR="00486DD1" w:rsidRPr="006C19A4">
              <w:rPr>
                <w:rFonts w:ascii="Times New Roman" w:hAnsi="Times New Roman"/>
                <w:lang w:val="en-NZ"/>
              </w:rPr>
              <w:t xml:space="preserve">withholds </w:t>
            </w:r>
            <w:r w:rsidRPr="006C19A4">
              <w:rPr>
                <w:rFonts w:ascii="Times New Roman" w:hAnsi="Times New Roman"/>
                <w:lang w:val="en-NZ"/>
              </w:rPr>
              <w:t xml:space="preserve">tax in </w:t>
            </w:r>
            <w:r w:rsidR="00486DD1" w:rsidRPr="006C19A4">
              <w:rPr>
                <w:rFonts w:ascii="Times New Roman" w:hAnsi="Times New Roman"/>
                <w:lang w:val="en-NZ"/>
              </w:rPr>
              <w:t>situations where there is no underlying tax liability</w:t>
            </w:r>
            <w:r w:rsidRPr="006C19A4">
              <w:rPr>
                <w:rFonts w:ascii="Times New Roman" w:hAnsi="Times New Roman"/>
                <w:lang w:val="en-NZ"/>
              </w:rPr>
              <w:t>.</w:t>
            </w:r>
          </w:p>
        </w:tc>
        <w:tc>
          <w:tcPr>
            <w:tcW w:w="1788" w:type="dxa"/>
            <w:shd w:val="clear" w:color="auto" w:fill="auto"/>
          </w:tcPr>
          <w:p w:rsidR="00211CB5" w:rsidRPr="000047F2" w:rsidRDefault="00211CB5" w:rsidP="00E222FF">
            <w:pPr>
              <w:pStyle w:val="CommentText"/>
              <w:spacing w:after="0" w:line="240" w:lineRule="auto"/>
              <w:rPr>
                <w:rFonts w:ascii="Times New Roman" w:hAnsi="Times New Roman"/>
                <w:lang w:val="en-NZ"/>
              </w:rPr>
            </w:pPr>
            <w:r w:rsidRPr="000047F2">
              <w:rPr>
                <w:rFonts w:ascii="Times New Roman" w:hAnsi="Times New Roman"/>
                <w:lang w:val="en-NZ"/>
              </w:rPr>
              <w:t>Substantially increases administration and compliance costs relative to status quo</w:t>
            </w:r>
            <w:r w:rsidR="005965C4">
              <w:rPr>
                <w:rFonts w:ascii="Times New Roman" w:hAnsi="Times New Roman"/>
                <w:lang w:val="en-NZ"/>
              </w:rPr>
              <w:t xml:space="preserve">.  </w:t>
            </w:r>
            <w:r w:rsidRPr="000047F2">
              <w:rPr>
                <w:rFonts w:ascii="Times New Roman" w:hAnsi="Times New Roman"/>
                <w:lang w:val="en-NZ"/>
              </w:rPr>
              <w:t>While it would maximise compliance with the bright-line test, the additional administrative and compliance costs relative to option 4(a) would not be justified by the expected marginal increase in compliance.</w:t>
            </w:r>
          </w:p>
          <w:p w:rsidR="00211CB5" w:rsidRPr="000047F2" w:rsidRDefault="00211CB5" w:rsidP="00E222FF">
            <w:pPr>
              <w:pStyle w:val="CommentText"/>
              <w:spacing w:after="0" w:line="240" w:lineRule="auto"/>
              <w:rPr>
                <w:rFonts w:ascii="Times New Roman" w:hAnsi="Times New Roman"/>
                <w:lang w:val="en-NZ"/>
              </w:rPr>
            </w:pPr>
          </w:p>
          <w:p w:rsidR="00211CB5" w:rsidRPr="000047F2" w:rsidRDefault="00211CB5" w:rsidP="00E222FF">
            <w:pPr>
              <w:pStyle w:val="CommentText"/>
              <w:spacing w:after="0" w:line="240" w:lineRule="auto"/>
              <w:rPr>
                <w:rFonts w:ascii="Times New Roman" w:hAnsi="Times New Roman"/>
                <w:lang w:val="en-NZ"/>
              </w:rPr>
            </w:pPr>
          </w:p>
          <w:p w:rsidR="008E33D1" w:rsidRPr="000047F2" w:rsidRDefault="00211CB5" w:rsidP="00E222FF">
            <w:pPr>
              <w:pStyle w:val="CommentText"/>
              <w:spacing w:after="0" w:line="240" w:lineRule="auto"/>
              <w:rPr>
                <w:rFonts w:ascii="Times New Roman" w:hAnsi="Times New Roman"/>
                <w:b/>
                <w:lang w:val="en-NZ"/>
              </w:rPr>
            </w:pPr>
            <w:r w:rsidRPr="00211CB5">
              <w:rPr>
                <w:rFonts w:ascii="Times New Roman" w:hAnsi="Times New Roman"/>
                <w:b/>
                <w:lang w:val="en-NZ"/>
              </w:rPr>
              <w:t>Not recommended</w:t>
            </w:r>
          </w:p>
        </w:tc>
      </w:tr>
    </w:tbl>
    <w:p w:rsidR="00C633FF" w:rsidRDefault="00C633FF" w:rsidP="006C19A4">
      <w:pPr>
        <w:spacing w:after="0" w:line="240" w:lineRule="auto"/>
        <w:jc w:val="both"/>
        <w:rPr>
          <w:rFonts w:ascii="Times New Roman" w:hAnsi="Times New Roman"/>
          <w:sz w:val="24"/>
          <w:szCs w:val="24"/>
          <w:lang w:val="en-AU" w:eastAsia="en-US"/>
        </w:rPr>
      </w:pPr>
    </w:p>
    <w:p w:rsidR="00C633FF" w:rsidRDefault="00C633FF" w:rsidP="006C19A4">
      <w:pPr>
        <w:spacing w:after="0" w:line="240" w:lineRule="auto"/>
        <w:jc w:val="both"/>
        <w:rPr>
          <w:rFonts w:ascii="Times New Roman" w:hAnsi="Times New Roman"/>
          <w:sz w:val="24"/>
          <w:szCs w:val="24"/>
          <w:lang w:val="en-AU" w:eastAsia="en-US"/>
        </w:rPr>
      </w:pPr>
    </w:p>
    <w:p w:rsidR="00403183" w:rsidRDefault="00403183" w:rsidP="006C19A4">
      <w:pPr>
        <w:spacing w:after="0" w:line="240" w:lineRule="auto"/>
        <w:jc w:val="both"/>
        <w:rPr>
          <w:rFonts w:ascii="Times New Roman" w:hAnsi="Times New Roman"/>
          <w:sz w:val="24"/>
          <w:szCs w:val="24"/>
          <w:lang w:val="en-AU" w:eastAsia="en-US"/>
        </w:rPr>
        <w:sectPr w:rsidR="00403183" w:rsidSect="00403183">
          <w:pgSz w:w="16840" w:h="11907" w:orient="landscape" w:code="9"/>
          <w:pgMar w:top="1418" w:right="1134" w:bottom="1418" w:left="1134" w:header="567" w:footer="567" w:gutter="0"/>
          <w:cols w:space="720"/>
          <w:docGrid w:linePitch="360"/>
        </w:sectPr>
      </w:pPr>
    </w:p>
    <w:p w:rsidR="00C633FF" w:rsidRDefault="004146D4" w:rsidP="006C19A4">
      <w:pPr>
        <w:spacing w:after="0" w:line="240" w:lineRule="auto"/>
        <w:jc w:val="both"/>
        <w:rPr>
          <w:rFonts w:ascii="Times New Roman" w:hAnsi="Times New Roman"/>
          <w:b/>
          <w:sz w:val="24"/>
          <w:szCs w:val="24"/>
          <w:lang w:val="en-AU" w:eastAsia="en-US"/>
        </w:rPr>
      </w:pPr>
      <w:r>
        <w:rPr>
          <w:rFonts w:ascii="Times New Roman" w:hAnsi="Times New Roman"/>
          <w:b/>
          <w:sz w:val="24"/>
          <w:szCs w:val="24"/>
          <w:lang w:val="en-AU" w:eastAsia="en-US"/>
        </w:rPr>
        <w:t>Further analysis of</w:t>
      </w:r>
      <w:r w:rsidR="001C30F1" w:rsidRPr="001C30F1">
        <w:rPr>
          <w:rFonts w:ascii="Times New Roman" w:hAnsi="Times New Roman"/>
          <w:b/>
          <w:sz w:val="24"/>
          <w:szCs w:val="24"/>
          <w:lang w:val="en-AU" w:eastAsia="en-US"/>
        </w:rPr>
        <w:t xml:space="preserve"> </w:t>
      </w:r>
      <w:r w:rsidR="00D46A34">
        <w:rPr>
          <w:rFonts w:ascii="Times New Roman" w:hAnsi="Times New Roman"/>
          <w:b/>
          <w:sz w:val="24"/>
          <w:szCs w:val="24"/>
          <w:lang w:val="en-AU" w:eastAsia="en-US"/>
        </w:rPr>
        <w:t>option 4</w:t>
      </w:r>
      <w:r w:rsidR="001C30F1" w:rsidRPr="001C30F1">
        <w:rPr>
          <w:rFonts w:ascii="Times New Roman" w:hAnsi="Times New Roman"/>
          <w:b/>
          <w:sz w:val="24"/>
          <w:szCs w:val="24"/>
          <w:lang w:val="en-AU" w:eastAsia="en-US"/>
        </w:rPr>
        <w:t xml:space="preserve"> - detailed design issues</w:t>
      </w:r>
    </w:p>
    <w:p w:rsidR="004146D4" w:rsidRDefault="004146D4" w:rsidP="006C19A4">
      <w:pPr>
        <w:spacing w:after="0" w:line="240" w:lineRule="auto"/>
        <w:jc w:val="both"/>
        <w:rPr>
          <w:rFonts w:ascii="Times New Roman" w:hAnsi="Times New Roman"/>
          <w:b/>
          <w:sz w:val="24"/>
          <w:szCs w:val="24"/>
          <w:lang w:val="en-AU" w:eastAsia="en-US"/>
        </w:rPr>
      </w:pPr>
    </w:p>
    <w:p w:rsidR="004146D4" w:rsidRDefault="004146D4"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 As noted above, the extent to which </w:t>
      </w:r>
      <w:r w:rsidR="00D46A34">
        <w:rPr>
          <w:rFonts w:ascii="Times New Roman" w:hAnsi="Times New Roman"/>
          <w:sz w:val="24"/>
          <w:szCs w:val="24"/>
        </w:rPr>
        <w:t>option 4</w:t>
      </w:r>
      <w:r>
        <w:rPr>
          <w:rFonts w:ascii="Times New Roman" w:hAnsi="Times New Roman"/>
          <w:sz w:val="24"/>
          <w:szCs w:val="24"/>
        </w:rPr>
        <w:t xml:space="preserve"> meets the objective</w:t>
      </w:r>
      <w:r w:rsidR="00E24BA5">
        <w:rPr>
          <w:rFonts w:ascii="Times New Roman" w:hAnsi="Times New Roman"/>
          <w:sz w:val="24"/>
          <w:szCs w:val="24"/>
        </w:rPr>
        <w:t>s</w:t>
      </w:r>
      <w:r>
        <w:rPr>
          <w:rFonts w:ascii="Times New Roman" w:hAnsi="Times New Roman"/>
          <w:sz w:val="24"/>
          <w:szCs w:val="24"/>
        </w:rPr>
        <w:t xml:space="preserve"> depends on a number of detailed design features of the RLWT</w:t>
      </w:r>
      <w:r w:rsidR="005965C4">
        <w:rPr>
          <w:rFonts w:ascii="Times New Roman" w:hAnsi="Times New Roman"/>
          <w:sz w:val="24"/>
          <w:szCs w:val="24"/>
        </w:rPr>
        <w:t xml:space="preserve">.  </w:t>
      </w:r>
      <w:r w:rsidR="001C13A9">
        <w:rPr>
          <w:rFonts w:ascii="Times New Roman" w:hAnsi="Times New Roman"/>
          <w:sz w:val="24"/>
          <w:szCs w:val="24"/>
        </w:rPr>
        <w:t>These detailed design issues require separate impact analysis and this analysis is summarised below.</w:t>
      </w:r>
    </w:p>
    <w:p w:rsidR="001C13A9" w:rsidRDefault="001C13A9" w:rsidP="006C19A4">
      <w:pPr>
        <w:pStyle w:val="Bullet-list"/>
        <w:spacing w:after="0" w:line="240" w:lineRule="auto"/>
        <w:ind w:left="0" w:firstLine="0"/>
        <w:jc w:val="both"/>
        <w:rPr>
          <w:rFonts w:ascii="Times New Roman" w:hAnsi="Times New Roman"/>
          <w:sz w:val="24"/>
          <w:szCs w:val="24"/>
        </w:rPr>
      </w:pPr>
    </w:p>
    <w:p w:rsidR="001C13A9" w:rsidRPr="004146D4" w:rsidRDefault="001C13A9"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These key design features were areas we consulted on as part of the submission process for the officials’ issues paper </w:t>
      </w:r>
      <w:r w:rsidR="00521242">
        <w:rPr>
          <w:rFonts w:ascii="Times New Roman" w:hAnsi="Times New Roman"/>
          <w:sz w:val="24"/>
          <w:szCs w:val="24"/>
        </w:rPr>
        <w:t>and submitters’ views have been taken into account in our recommendations</w:t>
      </w:r>
      <w:r w:rsidR="005E15B4">
        <w:rPr>
          <w:rFonts w:ascii="Times New Roman" w:hAnsi="Times New Roman"/>
          <w:sz w:val="24"/>
          <w:szCs w:val="24"/>
        </w:rPr>
        <w:t xml:space="preserve"> as they provided valuable feedback on the compliance burden likely to occur with each feature and option.</w:t>
      </w:r>
    </w:p>
    <w:p w:rsidR="001C30F1" w:rsidRDefault="001C30F1" w:rsidP="006C19A4">
      <w:pPr>
        <w:spacing w:after="0" w:line="240" w:lineRule="auto"/>
        <w:jc w:val="both"/>
        <w:rPr>
          <w:rFonts w:ascii="Times New Roman" w:hAnsi="Times New Roman"/>
          <w:b/>
          <w:sz w:val="24"/>
          <w:szCs w:val="24"/>
          <w:lang w:val="en-AU" w:eastAsia="en-US"/>
        </w:rPr>
      </w:pPr>
    </w:p>
    <w:p w:rsidR="001C30F1" w:rsidRPr="006C19A4" w:rsidRDefault="001C30F1" w:rsidP="006C19A4">
      <w:pPr>
        <w:spacing w:after="0" w:line="240" w:lineRule="auto"/>
        <w:jc w:val="both"/>
        <w:rPr>
          <w:rFonts w:ascii="Times New Roman" w:hAnsi="Times New Roman"/>
          <w:b/>
          <w:i/>
          <w:sz w:val="24"/>
          <w:szCs w:val="24"/>
          <w:lang w:val="en-AU" w:eastAsia="en-US"/>
        </w:rPr>
      </w:pPr>
      <w:r w:rsidRPr="006C19A4">
        <w:rPr>
          <w:rFonts w:ascii="Times New Roman" w:hAnsi="Times New Roman"/>
          <w:b/>
          <w:i/>
          <w:sz w:val="24"/>
          <w:szCs w:val="24"/>
          <w:lang w:val="en-AU" w:eastAsia="en-US"/>
        </w:rPr>
        <w:t>The RLWT withholding rate</w:t>
      </w:r>
    </w:p>
    <w:p w:rsidR="006719F2" w:rsidRDefault="006719F2" w:rsidP="006C19A4">
      <w:pPr>
        <w:spacing w:after="0" w:line="240" w:lineRule="auto"/>
        <w:jc w:val="both"/>
        <w:rPr>
          <w:rFonts w:ascii="Times New Roman" w:hAnsi="Times New Roman"/>
          <w:i/>
          <w:sz w:val="24"/>
          <w:szCs w:val="24"/>
          <w:lang w:val="en-AU" w:eastAsia="en-US"/>
        </w:rPr>
      </w:pPr>
    </w:p>
    <w:p w:rsidR="00914B5A" w:rsidRDefault="006719F2"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The officials’ issues paper proposed a “lower of” approach, whereby the amount of the RLWT to be withheld </w:t>
      </w:r>
      <w:r w:rsidR="00155210">
        <w:rPr>
          <w:rFonts w:ascii="Times New Roman" w:hAnsi="Times New Roman"/>
          <w:sz w:val="24"/>
          <w:szCs w:val="24"/>
        </w:rPr>
        <w:t xml:space="preserve">would be </w:t>
      </w:r>
      <w:r>
        <w:rPr>
          <w:rFonts w:ascii="Times New Roman" w:hAnsi="Times New Roman"/>
          <w:sz w:val="24"/>
          <w:szCs w:val="24"/>
        </w:rPr>
        <w:t xml:space="preserve">the lower of 10% of the total sales price </w:t>
      </w:r>
      <w:r w:rsidR="00E02FCB">
        <w:rPr>
          <w:rFonts w:ascii="Times New Roman" w:hAnsi="Times New Roman"/>
          <w:sz w:val="24"/>
          <w:szCs w:val="24"/>
        </w:rPr>
        <w:t xml:space="preserve">(“the default rate”) </w:t>
      </w:r>
      <w:r>
        <w:rPr>
          <w:rFonts w:ascii="Times New Roman" w:hAnsi="Times New Roman"/>
          <w:sz w:val="24"/>
          <w:szCs w:val="24"/>
        </w:rPr>
        <w:t>and 33% of the seller’s gain (i.e</w:t>
      </w:r>
      <w:r w:rsidR="005965C4">
        <w:rPr>
          <w:rFonts w:ascii="Times New Roman" w:hAnsi="Times New Roman"/>
          <w:sz w:val="24"/>
          <w:szCs w:val="24"/>
        </w:rPr>
        <w:t xml:space="preserve">. </w:t>
      </w:r>
      <w:r>
        <w:rPr>
          <w:rFonts w:ascii="Times New Roman" w:hAnsi="Times New Roman"/>
          <w:sz w:val="24"/>
          <w:szCs w:val="24"/>
        </w:rPr>
        <w:t>total sales price - seller’s acquisition price)</w:t>
      </w:r>
      <w:r w:rsidR="00E02FCB">
        <w:rPr>
          <w:rFonts w:ascii="Times New Roman" w:hAnsi="Times New Roman"/>
          <w:sz w:val="24"/>
          <w:szCs w:val="24"/>
        </w:rPr>
        <w:t xml:space="preserve"> (“the standard rate”)</w:t>
      </w:r>
      <w:r w:rsidR="005965C4">
        <w:rPr>
          <w:rFonts w:ascii="Times New Roman" w:hAnsi="Times New Roman"/>
          <w:sz w:val="24"/>
          <w:szCs w:val="24"/>
        </w:rPr>
        <w:t xml:space="preserve">.  </w:t>
      </w:r>
      <w:r w:rsidR="00E02FCB">
        <w:rPr>
          <w:rFonts w:ascii="Times New Roman" w:hAnsi="Times New Roman"/>
          <w:sz w:val="24"/>
          <w:szCs w:val="24"/>
        </w:rPr>
        <w:t xml:space="preserve">In most cases, we would expect the standard rate to apply, </w:t>
      </w:r>
      <w:r w:rsidR="00BB56BA">
        <w:rPr>
          <w:rFonts w:ascii="Times New Roman" w:hAnsi="Times New Roman"/>
          <w:sz w:val="24"/>
          <w:szCs w:val="24"/>
        </w:rPr>
        <w:t>but</w:t>
      </w:r>
      <w:r w:rsidR="00E02FCB">
        <w:rPr>
          <w:rFonts w:ascii="Times New Roman" w:hAnsi="Times New Roman"/>
          <w:sz w:val="24"/>
          <w:szCs w:val="24"/>
        </w:rPr>
        <w:t xml:space="preserve"> the default rate acts as a </w:t>
      </w:r>
      <w:r w:rsidR="00DE5F66">
        <w:rPr>
          <w:rFonts w:ascii="Times New Roman" w:hAnsi="Times New Roman"/>
          <w:sz w:val="24"/>
          <w:szCs w:val="24"/>
        </w:rPr>
        <w:t>back stop to prevent significant over-taxation where the seller’s acquisition price is unable to be obtained.</w:t>
      </w:r>
    </w:p>
    <w:p w:rsidR="0062619E" w:rsidRDefault="0062619E" w:rsidP="006C19A4">
      <w:pPr>
        <w:pStyle w:val="Bullet-list"/>
        <w:spacing w:after="0" w:line="240" w:lineRule="auto"/>
        <w:ind w:left="0" w:firstLine="0"/>
        <w:jc w:val="both"/>
        <w:rPr>
          <w:rFonts w:ascii="Times New Roman" w:hAnsi="Times New Roman"/>
          <w:sz w:val="24"/>
          <w:szCs w:val="24"/>
        </w:rPr>
      </w:pPr>
    </w:p>
    <w:p w:rsidR="0062619E" w:rsidRPr="00C045C5" w:rsidRDefault="0062619E" w:rsidP="006C19A4">
      <w:pPr>
        <w:pStyle w:val="Bullet-list"/>
        <w:numPr>
          <w:ilvl w:val="0"/>
          <w:numId w:val="3"/>
        </w:numPr>
        <w:tabs>
          <w:tab w:val="clear" w:pos="720"/>
          <w:tab w:val="num" w:pos="0"/>
        </w:tabs>
        <w:spacing w:after="0" w:line="240" w:lineRule="auto"/>
        <w:ind w:left="0" w:hanging="11"/>
        <w:jc w:val="both"/>
        <w:rPr>
          <w:szCs w:val="24"/>
        </w:rPr>
      </w:pPr>
      <w:r w:rsidRPr="000047F2">
        <w:rPr>
          <w:rFonts w:ascii="Times New Roman" w:hAnsi="Times New Roman"/>
          <w:sz w:val="24"/>
          <w:szCs w:val="24"/>
        </w:rPr>
        <w:t>We recommend that the “lower of” approach proposed in the issues paper be used as it strikes a balance between creating a collection mechanism that approximates the amount of tax payable under the bright-line test and making the process straightforward for the withholding agent, while also reducing the risk o</w:t>
      </w:r>
      <w:r w:rsidR="00155210">
        <w:rPr>
          <w:rFonts w:ascii="Times New Roman" w:hAnsi="Times New Roman"/>
          <w:sz w:val="24"/>
          <w:szCs w:val="24"/>
        </w:rPr>
        <w:t>f</w:t>
      </w:r>
      <w:r w:rsidRPr="000047F2">
        <w:rPr>
          <w:rFonts w:ascii="Times New Roman" w:hAnsi="Times New Roman"/>
          <w:sz w:val="24"/>
          <w:szCs w:val="24"/>
        </w:rPr>
        <w:t xml:space="preserve"> significant over-taxation.</w:t>
      </w:r>
    </w:p>
    <w:p w:rsidR="00C735FB" w:rsidRPr="000047F2" w:rsidRDefault="00C735FB" w:rsidP="006C19A4">
      <w:pPr>
        <w:pStyle w:val="Bullet-list"/>
        <w:spacing w:after="0" w:line="240" w:lineRule="auto"/>
        <w:ind w:left="0" w:firstLine="0"/>
        <w:jc w:val="both"/>
        <w:rPr>
          <w:rFonts w:ascii="Times New Roman" w:hAnsi="Times New Roman"/>
          <w:sz w:val="24"/>
          <w:szCs w:val="24"/>
        </w:rPr>
      </w:pPr>
    </w:p>
    <w:p w:rsidR="00870670" w:rsidRPr="00745324" w:rsidRDefault="00C735FB" w:rsidP="006C19A4">
      <w:pPr>
        <w:pStyle w:val="Bullet-list"/>
        <w:numPr>
          <w:ilvl w:val="0"/>
          <w:numId w:val="3"/>
        </w:numPr>
        <w:tabs>
          <w:tab w:val="clear" w:pos="720"/>
          <w:tab w:val="num" w:pos="0"/>
        </w:tabs>
        <w:spacing w:after="0" w:line="240" w:lineRule="auto"/>
        <w:ind w:left="0" w:hanging="11"/>
        <w:jc w:val="both"/>
        <w:rPr>
          <w:szCs w:val="24"/>
        </w:rPr>
      </w:pPr>
      <w:r w:rsidRPr="000047F2">
        <w:rPr>
          <w:rFonts w:ascii="Times New Roman" w:hAnsi="Times New Roman"/>
          <w:sz w:val="24"/>
          <w:szCs w:val="24"/>
        </w:rPr>
        <w:t>Ideally, the RLWT should neither under nor over tax the seller</w:t>
      </w:r>
      <w:r w:rsidR="005965C4">
        <w:rPr>
          <w:rFonts w:ascii="Times New Roman" w:hAnsi="Times New Roman"/>
          <w:sz w:val="24"/>
          <w:szCs w:val="24"/>
        </w:rPr>
        <w:t xml:space="preserve">.  </w:t>
      </w:r>
      <w:r w:rsidRPr="000047F2">
        <w:rPr>
          <w:rFonts w:ascii="Times New Roman" w:hAnsi="Times New Roman"/>
          <w:sz w:val="24"/>
          <w:szCs w:val="24"/>
        </w:rPr>
        <w:t>However, for the RLWT to retain simplicity and reduce the compliance burden faced by taxpayers, the amount withheld will not be exactly the same as the seller’s ultimate income tax liability</w:t>
      </w:r>
      <w:r w:rsidR="005965C4">
        <w:rPr>
          <w:rFonts w:ascii="Times New Roman" w:hAnsi="Times New Roman"/>
          <w:sz w:val="24"/>
          <w:szCs w:val="24"/>
        </w:rPr>
        <w:t xml:space="preserve">.  </w:t>
      </w:r>
      <w:r w:rsidRPr="000047F2">
        <w:rPr>
          <w:rFonts w:ascii="Times New Roman" w:hAnsi="Times New Roman"/>
          <w:sz w:val="24"/>
          <w:szCs w:val="24"/>
        </w:rPr>
        <w:t xml:space="preserve">As discussed previously, the Commissioner’s powers for enforcement and collection can be limited in some situations, and for this reason, we recommend that the </w:t>
      </w:r>
      <w:r w:rsidR="00870670" w:rsidRPr="000047F2">
        <w:rPr>
          <w:rFonts w:ascii="Times New Roman" w:hAnsi="Times New Roman"/>
          <w:sz w:val="24"/>
          <w:szCs w:val="24"/>
        </w:rPr>
        <w:t>RLWT should be more likely to over tax rather than under tax</w:t>
      </w:r>
      <w:r w:rsidR="005965C4">
        <w:rPr>
          <w:rFonts w:ascii="Times New Roman" w:hAnsi="Times New Roman"/>
          <w:sz w:val="24"/>
          <w:szCs w:val="24"/>
        </w:rPr>
        <w:t xml:space="preserve">.  </w:t>
      </w:r>
      <w:r w:rsidR="00870670" w:rsidRPr="000047F2">
        <w:rPr>
          <w:rFonts w:ascii="Times New Roman" w:hAnsi="Times New Roman"/>
          <w:sz w:val="24"/>
          <w:szCs w:val="24"/>
        </w:rPr>
        <w:t xml:space="preserve">As a result, the standard rate </w:t>
      </w:r>
      <w:r w:rsidR="00BE3B29">
        <w:rPr>
          <w:rFonts w:ascii="Times New Roman" w:hAnsi="Times New Roman"/>
          <w:sz w:val="24"/>
          <w:szCs w:val="24"/>
        </w:rPr>
        <w:t>proposed in the issues paper used</w:t>
      </w:r>
      <w:r w:rsidR="00870670" w:rsidRPr="000047F2">
        <w:rPr>
          <w:rFonts w:ascii="Times New Roman" w:hAnsi="Times New Roman"/>
          <w:sz w:val="24"/>
          <w:szCs w:val="24"/>
        </w:rPr>
        <w:t xml:space="preserve"> the top marginal tax rate of 33% (which is consistent with the default resident withholding tax rate on dividends where no tax rate has been provided) rather than </w:t>
      </w:r>
      <w:r w:rsidR="00462BA5" w:rsidRPr="000047F2">
        <w:rPr>
          <w:rFonts w:ascii="Times New Roman" w:hAnsi="Times New Roman"/>
          <w:sz w:val="24"/>
          <w:szCs w:val="24"/>
        </w:rPr>
        <w:t>the lowest marginal tax rate of 10.5%, for example.</w:t>
      </w:r>
    </w:p>
    <w:p w:rsidR="00C045C5" w:rsidRPr="000047F2" w:rsidRDefault="00C045C5">
      <w:pPr>
        <w:pStyle w:val="ListParagraph"/>
        <w:rPr>
          <w:rFonts w:ascii="Times New Roman" w:hAnsi="Times New Roman"/>
          <w:sz w:val="24"/>
          <w:szCs w:val="24"/>
        </w:rPr>
      </w:pPr>
    </w:p>
    <w:p w:rsidR="00C045C5" w:rsidRPr="00745324" w:rsidRDefault="00C045C5" w:rsidP="006C19A4">
      <w:pPr>
        <w:pStyle w:val="Bullet-list"/>
        <w:numPr>
          <w:ilvl w:val="0"/>
          <w:numId w:val="3"/>
        </w:numPr>
        <w:tabs>
          <w:tab w:val="clear" w:pos="720"/>
          <w:tab w:val="num" w:pos="0"/>
        </w:tabs>
        <w:spacing w:after="0" w:line="240" w:lineRule="auto"/>
        <w:ind w:left="0" w:hanging="11"/>
        <w:jc w:val="both"/>
        <w:rPr>
          <w:szCs w:val="24"/>
        </w:rPr>
      </w:pPr>
      <w:r w:rsidRPr="000047F2">
        <w:rPr>
          <w:rFonts w:ascii="Times New Roman" w:hAnsi="Times New Roman"/>
          <w:sz w:val="24"/>
          <w:szCs w:val="24"/>
        </w:rPr>
        <w:t xml:space="preserve">During consultation, it was raised by some submitters that a 33% rate would always result in over-taxation in relation to sellers </w:t>
      </w:r>
      <w:r w:rsidR="00155210">
        <w:rPr>
          <w:rFonts w:ascii="Times New Roman" w:hAnsi="Times New Roman"/>
          <w:sz w:val="24"/>
          <w:szCs w:val="24"/>
        </w:rPr>
        <w:t>that</w:t>
      </w:r>
      <w:r w:rsidR="00155210" w:rsidRPr="000047F2">
        <w:rPr>
          <w:rFonts w:ascii="Times New Roman" w:hAnsi="Times New Roman"/>
          <w:sz w:val="24"/>
          <w:szCs w:val="24"/>
        </w:rPr>
        <w:t xml:space="preserve"> </w:t>
      </w:r>
      <w:r w:rsidRPr="000047F2">
        <w:rPr>
          <w:rFonts w:ascii="Times New Roman" w:hAnsi="Times New Roman"/>
          <w:sz w:val="24"/>
          <w:szCs w:val="24"/>
        </w:rPr>
        <w:t>are companies; they suggested a 28% rate would be more suitable</w:t>
      </w:r>
      <w:r w:rsidR="005965C4">
        <w:rPr>
          <w:rFonts w:ascii="Times New Roman" w:hAnsi="Times New Roman"/>
          <w:sz w:val="24"/>
          <w:szCs w:val="24"/>
        </w:rPr>
        <w:t xml:space="preserve">.  </w:t>
      </w:r>
      <w:r w:rsidRPr="000047F2">
        <w:rPr>
          <w:rFonts w:ascii="Times New Roman" w:hAnsi="Times New Roman"/>
          <w:sz w:val="24"/>
          <w:szCs w:val="24"/>
        </w:rPr>
        <w:t xml:space="preserve">Officials agree and recommend that where the seller is a </w:t>
      </w:r>
      <w:r w:rsidR="00384A49">
        <w:rPr>
          <w:rFonts w:ascii="Times New Roman" w:hAnsi="Times New Roman"/>
          <w:sz w:val="24"/>
          <w:szCs w:val="24"/>
        </w:rPr>
        <w:t>company</w:t>
      </w:r>
      <w:r w:rsidR="00A16BE6" w:rsidRPr="000047F2">
        <w:rPr>
          <w:rFonts w:ascii="Times New Roman" w:hAnsi="Times New Roman"/>
          <w:sz w:val="24"/>
          <w:szCs w:val="24"/>
        </w:rPr>
        <w:t>, the standard rate should be 28% x the seller’s gain.</w:t>
      </w:r>
    </w:p>
    <w:p w:rsidR="00870670" w:rsidRPr="000047F2" w:rsidRDefault="00870670" w:rsidP="006C19A4">
      <w:pPr>
        <w:pStyle w:val="Bullet-list"/>
        <w:spacing w:after="0" w:line="240" w:lineRule="auto"/>
        <w:ind w:left="0" w:firstLine="0"/>
        <w:jc w:val="both"/>
        <w:rPr>
          <w:rFonts w:ascii="Times New Roman" w:hAnsi="Times New Roman"/>
          <w:sz w:val="24"/>
          <w:szCs w:val="24"/>
        </w:rPr>
      </w:pPr>
    </w:p>
    <w:p w:rsidR="00914B5A" w:rsidRPr="00C045C5" w:rsidRDefault="00870670" w:rsidP="006C19A4">
      <w:pPr>
        <w:pStyle w:val="Bullet-list"/>
        <w:numPr>
          <w:ilvl w:val="0"/>
          <w:numId w:val="3"/>
        </w:numPr>
        <w:tabs>
          <w:tab w:val="clear" w:pos="720"/>
          <w:tab w:val="num" w:pos="0"/>
        </w:tabs>
        <w:spacing w:after="0" w:line="240" w:lineRule="auto"/>
        <w:ind w:left="0" w:hanging="11"/>
        <w:jc w:val="both"/>
        <w:rPr>
          <w:szCs w:val="24"/>
        </w:rPr>
      </w:pPr>
      <w:r w:rsidRPr="000047F2">
        <w:rPr>
          <w:rFonts w:ascii="Times New Roman" w:hAnsi="Times New Roman"/>
          <w:sz w:val="24"/>
          <w:szCs w:val="24"/>
        </w:rPr>
        <w:t>To mitigate the risk of over-taxation</w:t>
      </w:r>
      <w:r w:rsidR="00C735FB" w:rsidRPr="000047F2">
        <w:rPr>
          <w:rFonts w:ascii="Times New Roman" w:hAnsi="Times New Roman"/>
          <w:sz w:val="24"/>
          <w:szCs w:val="24"/>
        </w:rPr>
        <w:t xml:space="preserve"> </w:t>
      </w:r>
      <w:r w:rsidRPr="000047F2">
        <w:rPr>
          <w:rFonts w:ascii="Times New Roman" w:hAnsi="Times New Roman"/>
          <w:sz w:val="24"/>
          <w:szCs w:val="24"/>
        </w:rPr>
        <w:t>and potential cash-flow issues for sellers, we recommend that sellers should be able to file an interim income tax return following the payment of RLWT to the Commissioner in order to obtain a refund, rather than having to wait to until the end of the income year</w:t>
      </w:r>
      <w:r w:rsidR="005965C4">
        <w:rPr>
          <w:rFonts w:ascii="Times New Roman" w:hAnsi="Times New Roman"/>
          <w:sz w:val="24"/>
          <w:szCs w:val="24"/>
        </w:rPr>
        <w:t xml:space="preserve">.  </w:t>
      </w:r>
      <w:r w:rsidR="00C95690">
        <w:rPr>
          <w:rFonts w:ascii="Times New Roman" w:hAnsi="Times New Roman"/>
          <w:sz w:val="24"/>
          <w:szCs w:val="24"/>
        </w:rPr>
        <w:t>Submitters considered this to be an important factor</w:t>
      </w:r>
      <w:r w:rsidR="00804553">
        <w:rPr>
          <w:rFonts w:ascii="Times New Roman" w:hAnsi="Times New Roman"/>
          <w:sz w:val="24"/>
          <w:szCs w:val="24"/>
        </w:rPr>
        <w:t xml:space="preserve"> in </w:t>
      </w:r>
      <w:r w:rsidR="00C045C5">
        <w:rPr>
          <w:rFonts w:ascii="Times New Roman" w:hAnsi="Times New Roman"/>
          <w:sz w:val="24"/>
          <w:szCs w:val="24"/>
        </w:rPr>
        <w:t>making the withholding tax practical and effective.</w:t>
      </w:r>
    </w:p>
    <w:p w:rsidR="00A7178F" w:rsidRPr="00A7178F" w:rsidRDefault="00A7178F">
      <w:pPr>
        <w:pStyle w:val="ListParagraph"/>
        <w:rPr>
          <w:rFonts w:ascii="Times New Roman" w:hAnsi="Times New Roman"/>
          <w:sz w:val="24"/>
          <w:szCs w:val="24"/>
          <w:lang w:val="en-AU"/>
        </w:rPr>
      </w:pPr>
    </w:p>
    <w:p w:rsidR="00403183" w:rsidRPr="00403183" w:rsidRDefault="00403183" w:rsidP="006C19A4">
      <w:pPr>
        <w:spacing w:after="0" w:line="240" w:lineRule="auto"/>
        <w:jc w:val="both"/>
        <w:rPr>
          <w:rFonts w:ascii="Times New Roman" w:hAnsi="Times New Roman"/>
          <w:i/>
          <w:sz w:val="24"/>
          <w:szCs w:val="24"/>
          <w:lang w:val="en-AU"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433"/>
        <w:gridCol w:w="4163"/>
      </w:tblGrid>
      <w:tr w:rsidR="0062619E" w:rsidRPr="00CD666F" w:rsidTr="00283405">
        <w:trPr>
          <w:trHeight w:val="560"/>
        </w:trPr>
        <w:tc>
          <w:tcPr>
            <w:tcW w:w="0" w:type="auto"/>
            <w:shd w:val="clear" w:color="auto" w:fill="auto"/>
            <w:vAlign w:val="center"/>
          </w:tcPr>
          <w:p w:rsidR="0062619E" w:rsidRPr="000E6CDD" w:rsidRDefault="0062619E" w:rsidP="006C19A4">
            <w:pPr>
              <w:spacing w:after="0" w:line="240" w:lineRule="auto"/>
              <w:rPr>
                <w:rFonts w:ascii="Times New Roman" w:hAnsi="Times New Roman"/>
                <w:b/>
                <w:sz w:val="20"/>
                <w:lang w:val="en-NZ"/>
              </w:rPr>
            </w:pPr>
            <w:r w:rsidRPr="000E6CDD">
              <w:rPr>
                <w:rFonts w:ascii="Times New Roman" w:hAnsi="Times New Roman"/>
                <w:b/>
                <w:sz w:val="20"/>
                <w:lang w:val="en-NZ"/>
              </w:rPr>
              <w:t>Options</w:t>
            </w:r>
          </w:p>
        </w:tc>
        <w:tc>
          <w:tcPr>
            <w:tcW w:w="0" w:type="auto"/>
            <w:shd w:val="clear" w:color="auto" w:fill="auto"/>
            <w:vAlign w:val="center"/>
          </w:tcPr>
          <w:p w:rsidR="0062619E" w:rsidRPr="000E6CDD" w:rsidRDefault="0062619E" w:rsidP="006C19A4">
            <w:pPr>
              <w:spacing w:after="0" w:line="240" w:lineRule="auto"/>
              <w:rPr>
                <w:rFonts w:ascii="Times New Roman" w:hAnsi="Times New Roman"/>
                <w:b/>
                <w:sz w:val="20"/>
                <w:lang w:val="en-NZ"/>
              </w:rPr>
            </w:pPr>
            <w:r w:rsidRPr="000E6CDD">
              <w:rPr>
                <w:rFonts w:ascii="Times New Roman" w:hAnsi="Times New Roman"/>
                <w:b/>
                <w:sz w:val="20"/>
                <w:lang w:val="en-NZ"/>
              </w:rPr>
              <w:t>Advantages</w:t>
            </w:r>
          </w:p>
        </w:tc>
        <w:tc>
          <w:tcPr>
            <w:tcW w:w="0" w:type="auto"/>
            <w:shd w:val="clear" w:color="auto" w:fill="auto"/>
            <w:vAlign w:val="center"/>
          </w:tcPr>
          <w:p w:rsidR="0062619E" w:rsidRPr="000E6CDD" w:rsidRDefault="0062619E" w:rsidP="006C19A4">
            <w:pPr>
              <w:spacing w:after="0" w:line="240" w:lineRule="auto"/>
              <w:rPr>
                <w:rFonts w:ascii="Times New Roman" w:hAnsi="Times New Roman"/>
                <w:b/>
                <w:sz w:val="20"/>
                <w:lang w:val="en-NZ"/>
              </w:rPr>
            </w:pPr>
            <w:r w:rsidRPr="000E6CDD">
              <w:rPr>
                <w:rFonts w:ascii="Times New Roman" w:hAnsi="Times New Roman"/>
                <w:b/>
                <w:sz w:val="20"/>
                <w:lang w:val="en-NZ"/>
              </w:rPr>
              <w:t>Disadvantages</w:t>
            </w:r>
          </w:p>
        </w:tc>
      </w:tr>
      <w:tr w:rsidR="0062619E" w:rsidRPr="00CD666F" w:rsidTr="00283405">
        <w:trPr>
          <w:trHeight w:val="597"/>
        </w:trPr>
        <w:tc>
          <w:tcPr>
            <w:tcW w:w="0" w:type="auto"/>
            <w:vMerge w:val="restart"/>
            <w:shd w:val="clear" w:color="auto" w:fill="auto"/>
            <w:vAlign w:val="center"/>
          </w:tcPr>
          <w:p w:rsidR="0062619E" w:rsidRPr="000E6CDD" w:rsidRDefault="0062619E">
            <w:pPr>
              <w:spacing w:after="0" w:line="240" w:lineRule="auto"/>
              <w:rPr>
                <w:rFonts w:ascii="Times New Roman" w:hAnsi="Times New Roman"/>
                <w:b/>
                <w:i/>
                <w:sz w:val="20"/>
                <w:lang w:val="en-NZ"/>
              </w:rPr>
            </w:pPr>
            <w:r>
              <w:rPr>
                <w:rFonts w:ascii="Times New Roman" w:hAnsi="Times New Roman"/>
                <w:b/>
                <w:i/>
                <w:sz w:val="20"/>
                <w:lang w:val="en-NZ"/>
              </w:rPr>
              <w:t>10% of total sales price</w:t>
            </w:r>
          </w:p>
        </w:tc>
        <w:tc>
          <w:tcPr>
            <w:tcW w:w="0" w:type="auto"/>
            <w:shd w:val="clear" w:color="auto" w:fill="auto"/>
          </w:tcPr>
          <w:p w:rsidR="0062619E" w:rsidRPr="009B05C8" w:rsidRDefault="0062619E">
            <w:pPr>
              <w:spacing w:after="0" w:line="240" w:lineRule="auto"/>
              <w:rPr>
                <w:rFonts w:ascii="Times New Roman" w:hAnsi="Times New Roman"/>
                <w:sz w:val="20"/>
                <w:lang w:val="en-NZ"/>
              </w:rPr>
            </w:pPr>
            <w:r>
              <w:rPr>
                <w:rFonts w:ascii="Times New Roman" w:hAnsi="Times New Roman"/>
                <w:sz w:val="20"/>
                <w:lang w:val="en-NZ"/>
              </w:rPr>
              <w:t xml:space="preserve">Simple to calculate as the total sales price would be available to </w:t>
            </w:r>
            <w:proofErr w:type="gramStart"/>
            <w:r>
              <w:rPr>
                <w:rFonts w:ascii="Times New Roman" w:hAnsi="Times New Roman"/>
                <w:sz w:val="20"/>
                <w:lang w:val="en-NZ"/>
              </w:rPr>
              <w:t>both buyer</w:t>
            </w:r>
            <w:proofErr w:type="gramEnd"/>
            <w:r>
              <w:rPr>
                <w:rFonts w:ascii="Times New Roman" w:hAnsi="Times New Roman"/>
                <w:sz w:val="20"/>
                <w:lang w:val="en-NZ"/>
              </w:rPr>
              <w:t xml:space="preserve"> and seller, a</w:t>
            </w:r>
            <w:r w:rsidR="00384A49">
              <w:rPr>
                <w:rFonts w:ascii="Times New Roman" w:hAnsi="Times New Roman"/>
                <w:sz w:val="20"/>
                <w:lang w:val="en-NZ"/>
              </w:rPr>
              <w:t>s well as</w:t>
            </w:r>
            <w:r>
              <w:rPr>
                <w:rFonts w:ascii="Times New Roman" w:hAnsi="Times New Roman"/>
                <w:sz w:val="20"/>
                <w:lang w:val="en-NZ"/>
              </w:rPr>
              <w:t xml:space="preserve"> their respective conveyancing agents thereby reducing compliance costs.</w:t>
            </w:r>
          </w:p>
        </w:tc>
        <w:tc>
          <w:tcPr>
            <w:tcW w:w="0" w:type="auto"/>
            <w:shd w:val="clear" w:color="auto" w:fill="auto"/>
          </w:tcPr>
          <w:p w:rsidR="0062619E" w:rsidRDefault="0062619E">
            <w:pPr>
              <w:spacing w:after="0" w:line="240" w:lineRule="auto"/>
              <w:rPr>
                <w:rFonts w:ascii="Times New Roman" w:hAnsi="Times New Roman"/>
                <w:sz w:val="20"/>
                <w:lang w:val="en-NZ"/>
              </w:rPr>
            </w:pPr>
            <w:r>
              <w:rPr>
                <w:rFonts w:ascii="Times New Roman" w:hAnsi="Times New Roman"/>
                <w:sz w:val="20"/>
                <w:lang w:val="en-NZ"/>
              </w:rPr>
              <w:t>Likely to result in over-taxation relative to the taxpayer’s final income tax liability - particularly as the bright-line test (and thus the RLWT) is targeted at short-term speculation</w:t>
            </w:r>
            <w:r w:rsidR="005965C4">
              <w:rPr>
                <w:rFonts w:ascii="Times New Roman" w:hAnsi="Times New Roman"/>
                <w:sz w:val="20"/>
                <w:lang w:val="en-NZ"/>
              </w:rPr>
              <w:t xml:space="preserve">.  </w:t>
            </w:r>
            <w:r>
              <w:rPr>
                <w:rFonts w:ascii="Times New Roman" w:hAnsi="Times New Roman"/>
                <w:sz w:val="20"/>
                <w:lang w:val="en-NZ"/>
              </w:rPr>
              <w:t>Where the seller has made a loss on the sales price, RLWT would be withheld even though there is no tax liability</w:t>
            </w:r>
            <w:r w:rsidR="005965C4">
              <w:rPr>
                <w:rFonts w:ascii="Times New Roman" w:hAnsi="Times New Roman"/>
                <w:sz w:val="20"/>
                <w:lang w:val="en-NZ"/>
              </w:rPr>
              <w:t xml:space="preserve">.  </w:t>
            </w:r>
            <w:r>
              <w:rPr>
                <w:rFonts w:ascii="Times New Roman" w:hAnsi="Times New Roman"/>
                <w:sz w:val="20"/>
                <w:lang w:val="en-NZ"/>
              </w:rPr>
              <w:t>Would require more refunds to be issued.</w:t>
            </w:r>
          </w:p>
          <w:p w:rsidR="0062619E" w:rsidRPr="000E6CDD" w:rsidRDefault="0062619E">
            <w:pPr>
              <w:spacing w:after="0" w:line="240" w:lineRule="auto"/>
              <w:rPr>
                <w:rFonts w:ascii="Times New Roman" w:hAnsi="Times New Roman"/>
                <w:sz w:val="20"/>
                <w:lang w:val="en-NZ"/>
              </w:rPr>
            </w:pPr>
          </w:p>
        </w:tc>
      </w:tr>
      <w:tr w:rsidR="0062619E" w:rsidRPr="00CD666F" w:rsidTr="00283405">
        <w:trPr>
          <w:trHeight w:val="369"/>
        </w:trPr>
        <w:tc>
          <w:tcPr>
            <w:tcW w:w="0" w:type="auto"/>
            <w:vMerge/>
            <w:shd w:val="clear" w:color="auto" w:fill="auto"/>
            <w:vAlign w:val="center"/>
          </w:tcPr>
          <w:p w:rsidR="0062619E" w:rsidRDefault="0062619E">
            <w:pPr>
              <w:spacing w:after="0" w:line="240" w:lineRule="auto"/>
              <w:rPr>
                <w:rFonts w:ascii="Times New Roman" w:hAnsi="Times New Roman"/>
                <w:b/>
                <w:i/>
                <w:sz w:val="20"/>
                <w:lang w:val="en-NZ"/>
              </w:rPr>
            </w:pPr>
          </w:p>
        </w:tc>
        <w:tc>
          <w:tcPr>
            <w:tcW w:w="0" w:type="auto"/>
            <w:gridSpan w:val="2"/>
            <w:shd w:val="clear" w:color="auto" w:fill="auto"/>
          </w:tcPr>
          <w:p w:rsidR="0062619E" w:rsidRDefault="0062619E" w:rsidP="006C19A4">
            <w:pPr>
              <w:spacing w:after="0" w:line="240" w:lineRule="auto"/>
              <w:rPr>
                <w:rFonts w:ascii="Times New Roman" w:hAnsi="Times New Roman"/>
                <w:sz w:val="20"/>
                <w:lang w:val="en-NZ"/>
              </w:rPr>
            </w:pPr>
            <w:r w:rsidRPr="0062619E">
              <w:rPr>
                <w:rFonts w:ascii="Times New Roman" w:hAnsi="Times New Roman"/>
                <w:sz w:val="20"/>
                <w:u w:val="single"/>
                <w:lang w:val="en-NZ"/>
              </w:rPr>
              <w:t>Recommendation</w:t>
            </w:r>
            <w:r>
              <w:rPr>
                <w:rFonts w:ascii="Times New Roman" w:hAnsi="Times New Roman"/>
                <w:sz w:val="20"/>
                <w:lang w:val="en-NZ"/>
              </w:rPr>
              <w:t>: not recommended.</w:t>
            </w:r>
          </w:p>
        </w:tc>
      </w:tr>
      <w:tr w:rsidR="0062619E" w:rsidRPr="00CD666F" w:rsidTr="00283405">
        <w:trPr>
          <w:trHeight w:val="408"/>
        </w:trPr>
        <w:tc>
          <w:tcPr>
            <w:tcW w:w="0" w:type="auto"/>
            <w:vMerge w:val="restart"/>
            <w:shd w:val="clear" w:color="auto" w:fill="auto"/>
            <w:vAlign w:val="center"/>
          </w:tcPr>
          <w:p w:rsidR="0062619E" w:rsidRPr="000E6CDD" w:rsidRDefault="0062619E">
            <w:pPr>
              <w:spacing w:after="0" w:line="240" w:lineRule="auto"/>
              <w:rPr>
                <w:rFonts w:ascii="Times New Roman" w:hAnsi="Times New Roman"/>
                <w:b/>
                <w:i/>
                <w:sz w:val="20"/>
                <w:lang w:val="en-NZ"/>
              </w:rPr>
            </w:pPr>
            <w:r>
              <w:rPr>
                <w:rFonts w:ascii="Times New Roman" w:hAnsi="Times New Roman"/>
                <w:b/>
                <w:i/>
                <w:sz w:val="20"/>
                <w:lang w:val="en-NZ"/>
              </w:rPr>
              <w:t>33% of seller’s gain (total sales price - seller’s acquisition price)</w:t>
            </w:r>
          </w:p>
        </w:tc>
        <w:tc>
          <w:tcPr>
            <w:tcW w:w="0" w:type="auto"/>
            <w:shd w:val="clear" w:color="auto" w:fill="auto"/>
          </w:tcPr>
          <w:p w:rsidR="0062619E" w:rsidRPr="009B05C8" w:rsidRDefault="0062619E">
            <w:pPr>
              <w:spacing w:after="0" w:line="240" w:lineRule="auto"/>
              <w:rPr>
                <w:rFonts w:ascii="Times New Roman" w:hAnsi="Times New Roman"/>
                <w:sz w:val="20"/>
                <w:lang w:val="en-NZ"/>
              </w:rPr>
            </w:pPr>
            <w:r>
              <w:rPr>
                <w:rFonts w:ascii="Times New Roman" w:hAnsi="Times New Roman"/>
                <w:sz w:val="20"/>
                <w:lang w:val="en-NZ"/>
              </w:rPr>
              <w:t>The amount withheld would be more in line with the taxpayer’s final income tax liability</w:t>
            </w:r>
            <w:r w:rsidR="005965C4">
              <w:rPr>
                <w:rFonts w:ascii="Times New Roman" w:hAnsi="Times New Roman"/>
                <w:sz w:val="20"/>
                <w:lang w:val="en-NZ"/>
              </w:rPr>
              <w:t xml:space="preserve">.  </w:t>
            </w:r>
            <w:r>
              <w:rPr>
                <w:rFonts w:ascii="Times New Roman" w:hAnsi="Times New Roman"/>
                <w:sz w:val="20"/>
                <w:lang w:val="en-NZ"/>
              </w:rPr>
              <w:t>Relatively simple to calculate - seller’s acquisition price generally available from Quotable Value</w:t>
            </w:r>
            <w:r w:rsidR="005965C4">
              <w:rPr>
                <w:rFonts w:ascii="Times New Roman" w:hAnsi="Times New Roman"/>
                <w:sz w:val="20"/>
                <w:lang w:val="en-NZ"/>
              </w:rPr>
              <w:t xml:space="preserve">.  </w:t>
            </w:r>
            <w:r>
              <w:rPr>
                <w:rFonts w:ascii="Times New Roman" w:hAnsi="Times New Roman"/>
                <w:sz w:val="20"/>
                <w:lang w:val="en-NZ"/>
              </w:rPr>
              <w:t>No RLWT to be withheld when the seller has made a loss on the sales price</w:t>
            </w:r>
            <w:r w:rsidR="005965C4">
              <w:rPr>
                <w:rFonts w:ascii="Times New Roman" w:hAnsi="Times New Roman"/>
                <w:sz w:val="20"/>
                <w:lang w:val="en-NZ"/>
              </w:rPr>
              <w:t xml:space="preserve">.  </w:t>
            </w:r>
          </w:p>
        </w:tc>
        <w:tc>
          <w:tcPr>
            <w:tcW w:w="0" w:type="auto"/>
            <w:shd w:val="clear" w:color="auto" w:fill="auto"/>
          </w:tcPr>
          <w:p w:rsidR="0062619E" w:rsidRPr="000E6CDD" w:rsidRDefault="0062619E">
            <w:pPr>
              <w:spacing w:after="0" w:line="240" w:lineRule="auto"/>
              <w:rPr>
                <w:rFonts w:ascii="Times New Roman" w:hAnsi="Times New Roman"/>
                <w:sz w:val="20"/>
                <w:lang w:val="en-NZ"/>
              </w:rPr>
            </w:pPr>
            <w:r>
              <w:rPr>
                <w:rFonts w:ascii="Times New Roman" w:hAnsi="Times New Roman"/>
                <w:sz w:val="20"/>
                <w:lang w:val="en-NZ"/>
              </w:rPr>
              <w:t>There may be instances where the seller’s acquisition price is not available, in which case, 33% x seller’s gain becomes 33% x total sales price and there would be over-taxation</w:t>
            </w:r>
            <w:r w:rsidR="005965C4">
              <w:rPr>
                <w:rFonts w:ascii="Times New Roman" w:hAnsi="Times New Roman"/>
                <w:sz w:val="20"/>
                <w:lang w:val="en-NZ"/>
              </w:rPr>
              <w:t xml:space="preserve">.  </w:t>
            </w:r>
            <w:r>
              <w:rPr>
                <w:rFonts w:ascii="Times New Roman" w:hAnsi="Times New Roman"/>
                <w:sz w:val="20"/>
                <w:lang w:val="en-NZ"/>
              </w:rPr>
              <w:t>Over-taxation would also occur where the seller has a number of deductions available  (for example, where the seller has made a number of capital improvements)</w:t>
            </w:r>
          </w:p>
        </w:tc>
      </w:tr>
      <w:tr w:rsidR="0062619E" w:rsidRPr="00CD666F" w:rsidTr="00283405">
        <w:trPr>
          <w:trHeight w:val="408"/>
        </w:trPr>
        <w:tc>
          <w:tcPr>
            <w:tcW w:w="0" w:type="auto"/>
            <w:vMerge/>
            <w:shd w:val="clear" w:color="auto" w:fill="auto"/>
            <w:vAlign w:val="center"/>
          </w:tcPr>
          <w:p w:rsidR="0062619E" w:rsidRDefault="0062619E">
            <w:pPr>
              <w:spacing w:after="0" w:line="240" w:lineRule="auto"/>
              <w:rPr>
                <w:rFonts w:ascii="Times New Roman" w:hAnsi="Times New Roman"/>
                <w:b/>
                <w:i/>
                <w:sz w:val="20"/>
                <w:lang w:val="en-NZ"/>
              </w:rPr>
            </w:pPr>
          </w:p>
        </w:tc>
        <w:tc>
          <w:tcPr>
            <w:tcW w:w="0" w:type="auto"/>
            <w:gridSpan w:val="2"/>
            <w:shd w:val="clear" w:color="auto" w:fill="auto"/>
          </w:tcPr>
          <w:p w:rsidR="0062619E" w:rsidRDefault="0062619E" w:rsidP="006C19A4">
            <w:pPr>
              <w:spacing w:after="0" w:line="240" w:lineRule="auto"/>
              <w:rPr>
                <w:rFonts w:ascii="Times New Roman" w:hAnsi="Times New Roman"/>
                <w:sz w:val="20"/>
                <w:lang w:val="en-NZ"/>
              </w:rPr>
            </w:pPr>
            <w:r w:rsidRPr="0062619E">
              <w:rPr>
                <w:rFonts w:ascii="Times New Roman" w:hAnsi="Times New Roman"/>
                <w:sz w:val="20"/>
                <w:u w:val="single"/>
                <w:lang w:val="en-NZ"/>
              </w:rPr>
              <w:t>Recommendation</w:t>
            </w:r>
            <w:r>
              <w:rPr>
                <w:rFonts w:ascii="Times New Roman" w:hAnsi="Times New Roman"/>
                <w:sz w:val="20"/>
                <w:lang w:val="en-NZ"/>
              </w:rPr>
              <w:t>: not recommended.</w:t>
            </w:r>
          </w:p>
        </w:tc>
      </w:tr>
      <w:tr w:rsidR="0062619E" w:rsidRPr="00CD666F" w:rsidTr="00283405">
        <w:trPr>
          <w:trHeight w:val="608"/>
        </w:trPr>
        <w:tc>
          <w:tcPr>
            <w:tcW w:w="0" w:type="auto"/>
            <w:vMerge w:val="restart"/>
            <w:shd w:val="clear" w:color="auto" w:fill="auto"/>
            <w:vAlign w:val="center"/>
          </w:tcPr>
          <w:p w:rsidR="0062619E" w:rsidRPr="000E6CDD" w:rsidRDefault="00C045C5">
            <w:pPr>
              <w:spacing w:after="0" w:line="240" w:lineRule="auto"/>
              <w:rPr>
                <w:rFonts w:ascii="Times New Roman" w:hAnsi="Times New Roman"/>
                <w:b/>
                <w:i/>
                <w:sz w:val="20"/>
                <w:lang w:val="en-NZ"/>
              </w:rPr>
            </w:pPr>
            <w:r>
              <w:rPr>
                <w:rFonts w:ascii="Times New Roman" w:hAnsi="Times New Roman"/>
                <w:b/>
                <w:i/>
                <w:sz w:val="20"/>
                <w:lang w:val="en-NZ"/>
              </w:rPr>
              <w:t>“Lower of” approach</w:t>
            </w:r>
          </w:p>
        </w:tc>
        <w:tc>
          <w:tcPr>
            <w:tcW w:w="0" w:type="auto"/>
            <w:shd w:val="clear" w:color="auto" w:fill="auto"/>
          </w:tcPr>
          <w:p w:rsidR="0062619E" w:rsidRPr="00E02FCB" w:rsidRDefault="0062619E">
            <w:pPr>
              <w:spacing w:after="0" w:line="240" w:lineRule="auto"/>
              <w:rPr>
                <w:rFonts w:ascii="Times New Roman" w:hAnsi="Times New Roman"/>
                <w:sz w:val="20"/>
                <w:lang w:val="en-NZ"/>
              </w:rPr>
            </w:pPr>
            <w:r>
              <w:rPr>
                <w:rFonts w:ascii="Times New Roman" w:hAnsi="Times New Roman"/>
                <w:sz w:val="20"/>
                <w:lang w:val="en-NZ"/>
              </w:rPr>
              <w:t>The amount withheld would be more in line with the taxpayer’s final income tax liability, but there is a back stop where the seller’s acquisition price cannot be obtained</w:t>
            </w:r>
            <w:r w:rsidR="00384A49">
              <w:rPr>
                <w:rFonts w:ascii="Times New Roman" w:hAnsi="Times New Roman"/>
                <w:sz w:val="20"/>
                <w:lang w:val="en-NZ"/>
              </w:rPr>
              <w:t>.</w:t>
            </w:r>
            <w:r>
              <w:rPr>
                <w:rFonts w:ascii="Times New Roman" w:hAnsi="Times New Roman"/>
                <w:sz w:val="20"/>
                <w:lang w:val="en-NZ"/>
              </w:rPr>
              <w:t xml:space="preserve"> </w:t>
            </w:r>
          </w:p>
        </w:tc>
        <w:tc>
          <w:tcPr>
            <w:tcW w:w="0" w:type="auto"/>
            <w:shd w:val="clear" w:color="auto" w:fill="auto"/>
          </w:tcPr>
          <w:p w:rsidR="0062619E" w:rsidRPr="00521242" w:rsidRDefault="0062619E">
            <w:pPr>
              <w:spacing w:after="0" w:line="240" w:lineRule="auto"/>
              <w:rPr>
                <w:rFonts w:ascii="Times New Roman" w:hAnsi="Times New Roman"/>
                <w:sz w:val="20"/>
                <w:lang w:val="en-NZ"/>
              </w:rPr>
            </w:pPr>
            <w:r>
              <w:rPr>
                <w:rFonts w:ascii="Times New Roman" w:hAnsi="Times New Roman"/>
                <w:sz w:val="20"/>
                <w:lang w:val="en-NZ"/>
              </w:rPr>
              <w:t>There would still be some instances of over-taxation where the seller has a number of deductions available.</w:t>
            </w:r>
          </w:p>
        </w:tc>
      </w:tr>
      <w:tr w:rsidR="0062619E" w:rsidRPr="00CD666F" w:rsidTr="00283405">
        <w:trPr>
          <w:trHeight w:val="333"/>
        </w:trPr>
        <w:tc>
          <w:tcPr>
            <w:tcW w:w="0" w:type="auto"/>
            <w:vMerge/>
            <w:shd w:val="clear" w:color="auto" w:fill="auto"/>
            <w:vAlign w:val="center"/>
          </w:tcPr>
          <w:p w:rsidR="0062619E" w:rsidRDefault="0062619E">
            <w:pPr>
              <w:spacing w:after="0" w:line="240" w:lineRule="auto"/>
              <w:rPr>
                <w:rFonts w:ascii="Times New Roman" w:hAnsi="Times New Roman"/>
                <w:b/>
                <w:i/>
                <w:sz w:val="20"/>
                <w:lang w:val="en-NZ"/>
              </w:rPr>
            </w:pPr>
          </w:p>
        </w:tc>
        <w:tc>
          <w:tcPr>
            <w:tcW w:w="0" w:type="auto"/>
            <w:gridSpan w:val="2"/>
            <w:shd w:val="clear" w:color="auto" w:fill="auto"/>
          </w:tcPr>
          <w:p w:rsidR="0062619E" w:rsidRDefault="0062619E" w:rsidP="006C19A4">
            <w:pPr>
              <w:spacing w:after="0" w:line="240" w:lineRule="auto"/>
              <w:rPr>
                <w:rFonts w:ascii="Times New Roman" w:hAnsi="Times New Roman"/>
                <w:sz w:val="20"/>
                <w:lang w:val="en-NZ"/>
              </w:rPr>
            </w:pPr>
            <w:r w:rsidRPr="00283405">
              <w:rPr>
                <w:rFonts w:ascii="Times New Roman" w:hAnsi="Times New Roman"/>
                <w:sz w:val="20"/>
                <w:u w:val="single"/>
                <w:lang w:val="en-NZ"/>
              </w:rPr>
              <w:t>Recommendation</w:t>
            </w:r>
            <w:r>
              <w:rPr>
                <w:rFonts w:ascii="Times New Roman" w:hAnsi="Times New Roman"/>
                <w:sz w:val="20"/>
                <w:lang w:val="en-NZ"/>
              </w:rPr>
              <w:t>: recommended.</w:t>
            </w:r>
          </w:p>
        </w:tc>
      </w:tr>
    </w:tbl>
    <w:p w:rsidR="00403183" w:rsidRPr="00403183" w:rsidRDefault="00403183" w:rsidP="006C19A4">
      <w:pPr>
        <w:spacing w:after="0" w:line="240" w:lineRule="auto"/>
        <w:jc w:val="both"/>
        <w:rPr>
          <w:rFonts w:ascii="Times New Roman" w:hAnsi="Times New Roman"/>
          <w:sz w:val="24"/>
          <w:szCs w:val="24"/>
          <w:u w:val="single"/>
          <w:lang w:val="en-AU" w:eastAsia="en-US"/>
        </w:rPr>
      </w:pPr>
    </w:p>
    <w:p w:rsidR="001C30F1" w:rsidRPr="00403183" w:rsidRDefault="001C30F1" w:rsidP="006C19A4">
      <w:pPr>
        <w:spacing w:after="0" w:line="240" w:lineRule="auto"/>
        <w:jc w:val="both"/>
        <w:rPr>
          <w:rFonts w:ascii="Times New Roman" w:hAnsi="Times New Roman"/>
          <w:i/>
          <w:sz w:val="24"/>
          <w:szCs w:val="24"/>
          <w:lang w:val="en-AU" w:eastAsia="en-US"/>
        </w:rPr>
      </w:pPr>
    </w:p>
    <w:p w:rsidR="001C30F1" w:rsidRPr="006C19A4" w:rsidRDefault="001C30F1" w:rsidP="006C19A4">
      <w:pPr>
        <w:spacing w:after="0" w:line="240" w:lineRule="auto"/>
        <w:jc w:val="both"/>
        <w:rPr>
          <w:rFonts w:ascii="Times New Roman" w:hAnsi="Times New Roman"/>
          <w:b/>
          <w:i/>
          <w:sz w:val="24"/>
          <w:szCs w:val="24"/>
          <w:lang w:val="en-AU" w:eastAsia="en-US"/>
        </w:rPr>
      </w:pPr>
      <w:r w:rsidRPr="006C19A4">
        <w:rPr>
          <w:rFonts w:ascii="Times New Roman" w:hAnsi="Times New Roman"/>
          <w:b/>
          <w:i/>
          <w:sz w:val="24"/>
          <w:szCs w:val="24"/>
          <w:lang w:val="en-AU" w:eastAsia="en-US"/>
        </w:rPr>
        <w:t>The withholding agent</w:t>
      </w:r>
    </w:p>
    <w:p w:rsidR="00AA69B3" w:rsidRDefault="00AA69B3" w:rsidP="006C19A4">
      <w:pPr>
        <w:spacing w:after="0" w:line="240" w:lineRule="auto"/>
        <w:jc w:val="both"/>
        <w:rPr>
          <w:rFonts w:ascii="Times New Roman" w:hAnsi="Times New Roman"/>
          <w:i/>
          <w:sz w:val="24"/>
          <w:szCs w:val="24"/>
          <w:lang w:val="en-AU" w:eastAsia="en-US"/>
        </w:rPr>
      </w:pPr>
    </w:p>
    <w:p w:rsidR="00AA69B3" w:rsidRPr="00C045C5" w:rsidRDefault="00AA69B3" w:rsidP="006C19A4">
      <w:pPr>
        <w:pStyle w:val="Bullet-list"/>
        <w:numPr>
          <w:ilvl w:val="0"/>
          <w:numId w:val="3"/>
        </w:numPr>
        <w:tabs>
          <w:tab w:val="clear" w:pos="720"/>
          <w:tab w:val="num" w:pos="0"/>
        </w:tabs>
        <w:spacing w:after="0" w:line="240" w:lineRule="auto"/>
        <w:ind w:left="0" w:hanging="11"/>
        <w:jc w:val="both"/>
        <w:rPr>
          <w:szCs w:val="24"/>
        </w:rPr>
      </w:pPr>
      <w:r w:rsidRPr="000047F2">
        <w:rPr>
          <w:rFonts w:ascii="Times New Roman" w:hAnsi="Times New Roman"/>
          <w:sz w:val="24"/>
          <w:szCs w:val="24"/>
        </w:rPr>
        <w:t>In general, withholding taxes are used to ensure that the relevant tax is paid out of an amount due to a person before the recipient gets control of the funds</w:t>
      </w:r>
      <w:r w:rsidR="005965C4">
        <w:rPr>
          <w:rFonts w:ascii="Times New Roman" w:hAnsi="Times New Roman"/>
          <w:sz w:val="24"/>
          <w:szCs w:val="24"/>
        </w:rPr>
        <w:t xml:space="preserve">.  </w:t>
      </w:r>
      <w:r w:rsidRPr="000047F2">
        <w:rPr>
          <w:rFonts w:ascii="Times New Roman" w:hAnsi="Times New Roman"/>
          <w:sz w:val="24"/>
          <w:szCs w:val="24"/>
        </w:rPr>
        <w:t>The recipient may have an incentive to spend the funds before tax has been paid, which is generally why tax administrations “clip the ticket” before the money reaches the recipient</w:t>
      </w:r>
      <w:r w:rsidR="005965C4">
        <w:rPr>
          <w:rFonts w:ascii="Times New Roman" w:hAnsi="Times New Roman"/>
          <w:sz w:val="24"/>
          <w:szCs w:val="24"/>
        </w:rPr>
        <w:t xml:space="preserve">.  </w:t>
      </w:r>
      <w:r w:rsidRPr="000047F2">
        <w:rPr>
          <w:rFonts w:ascii="Times New Roman" w:hAnsi="Times New Roman"/>
          <w:sz w:val="24"/>
          <w:szCs w:val="24"/>
        </w:rPr>
        <w:t xml:space="preserve">In finding an appropriate party to clip the ticket, we consider it should be the person with the least to gain from failing to comply with the rules </w:t>
      </w:r>
      <w:r w:rsidR="00C53F30">
        <w:rPr>
          <w:rFonts w:ascii="Times New Roman" w:hAnsi="Times New Roman"/>
          <w:sz w:val="24"/>
          <w:szCs w:val="24"/>
        </w:rPr>
        <w:t xml:space="preserve">– </w:t>
      </w:r>
      <w:r w:rsidRPr="000047F2">
        <w:rPr>
          <w:rFonts w:ascii="Times New Roman" w:hAnsi="Times New Roman"/>
          <w:sz w:val="24"/>
          <w:szCs w:val="24"/>
        </w:rPr>
        <w:t>this is normally the payer of the amount</w:t>
      </w:r>
      <w:r w:rsidR="005965C4">
        <w:rPr>
          <w:rFonts w:ascii="Times New Roman" w:hAnsi="Times New Roman"/>
          <w:sz w:val="24"/>
          <w:szCs w:val="24"/>
        </w:rPr>
        <w:t xml:space="preserve">.  </w:t>
      </w:r>
      <w:r w:rsidRPr="000047F2">
        <w:rPr>
          <w:rFonts w:ascii="Times New Roman" w:hAnsi="Times New Roman"/>
          <w:sz w:val="24"/>
          <w:szCs w:val="24"/>
        </w:rPr>
        <w:t xml:space="preserve">This is particularly relevant to the problem here, </w:t>
      </w:r>
      <w:r w:rsidR="005442DB" w:rsidRPr="000047F2">
        <w:rPr>
          <w:rFonts w:ascii="Times New Roman" w:hAnsi="Times New Roman"/>
          <w:sz w:val="24"/>
          <w:szCs w:val="24"/>
        </w:rPr>
        <w:t>because the RLWT under option 4</w:t>
      </w:r>
      <w:r w:rsidRPr="000047F2">
        <w:rPr>
          <w:rFonts w:ascii="Times New Roman" w:hAnsi="Times New Roman"/>
          <w:sz w:val="24"/>
          <w:szCs w:val="24"/>
        </w:rPr>
        <w:t xml:space="preserve"> is aimed at enforcing the </w:t>
      </w:r>
      <w:r w:rsidR="002D3278">
        <w:rPr>
          <w:rFonts w:ascii="Times New Roman" w:hAnsi="Times New Roman"/>
          <w:sz w:val="24"/>
          <w:szCs w:val="24"/>
        </w:rPr>
        <w:t>seller</w:t>
      </w:r>
      <w:r w:rsidR="002D3278" w:rsidRPr="000047F2">
        <w:rPr>
          <w:rFonts w:ascii="Times New Roman" w:hAnsi="Times New Roman"/>
          <w:sz w:val="24"/>
          <w:szCs w:val="24"/>
        </w:rPr>
        <w:t xml:space="preserve">’s </w:t>
      </w:r>
      <w:r w:rsidRPr="000047F2">
        <w:rPr>
          <w:rFonts w:ascii="Times New Roman" w:hAnsi="Times New Roman"/>
          <w:sz w:val="24"/>
          <w:szCs w:val="24"/>
        </w:rPr>
        <w:t>tax liabi</w:t>
      </w:r>
      <w:r w:rsidR="005442DB" w:rsidRPr="000047F2">
        <w:rPr>
          <w:rFonts w:ascii="Times New Roman" w:hAnsi="Times New Roman"/>
          <w:sz w:val="24"/>
          <w:szCs w:val="24"/>
        </w:rPr>
        <w:t>lity under the bright-line test, where the seller may not otherwise comply with their tax obligations.</w:t>
      </w:r>
    </w:p>
    <w:p w:rsidR="00AA69B3" w:rsidRPr="000047F2" w:rsidRDefault="00AA69B3" w:rsidP="006C19A4">
      <w:pPr>
        <w:pStyle w:val="Bullet-list"/>
        <w:spacing w:after="0" w:line="240" w:lineRule="auto"/>
        <w:ind w:left="0" w:firstLine="0"/>
        <w:jc w:val="both"/>
        <w:rPr>
          <w:rFonts w:ascii="Times New Roman" w:hAnsi="Times New Roman"/>
          <w:sz w:val="24"/>
          <w:szCs w:val="24"/>
        </w:rPr>
      </w:pPr>
    </w:p>
    <w:p w:rsidR="00283405" w:rsidRDefault="005002D9"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The officials’ issues paper</w:t>
      </w:r>
      <w:r w:rsidR="00283405">
        <w:rPr>
          <w:rFonts w:ascii="Times New Roman" w:hAnsi="Times New Roman"/>
          <w:sz w:val="24"/>
          <w:szCs w:val="24"/>
        </w:rPr>
        <w:t xml:space="preserve"> proposed that the withholding agent should be a solicitor or </w:t>
      </w:r>
      <w:r w:rsidR="00B0750C">
        <w:rPr>
          <w:rFonts w:ascii="Times New Roman" w:hAnsi="Times New Roman"/>
          <w:sz w:val="24"/>
          <w:szCs w:val="24"/>
        </w:rPr>
        <w:t>conveyancer</w:t>
      </w:r>
      <w:r w:rsidR="00283405">
        <w:rPr>
          <w:rFonts w:ascii="Times New Roman" w:hAnsi="Times New Roman"/>
          <w:sz w:val="24"/>
          <w:szCs w:val="24"/>
        </w:rPr>
        <w:t xml:space="preserve"> involved in the property conveyancing process (“the conveyancing agent”)</w:t>
      </w:r>
      <w:r w:rsidR="00804553">
        <w:rPr>
          <w:rFonts w:ascii="Times New Roman" w:hAnsi="Times New Roman"/>
          <w:sz w:val="24"/>
          <w:szCs w:val="24"/>
        </w:rPr>
        <w:t xml:space="preserve"> and not the buyer or seller themselves</w:t>
      </w:r>
      <w:r w:rsidR="00283405" w:rsidRPr="00155210">
        <w:rPr>
          <w:rFonts w:ascii="Times New Roman" w:hAnsi="Times New Roman"/>
          <w:sz w:val="24"/>
          <w:szCs w:val="24"/>
        </w:rPr>
        <w:t>.</w:t>
      </w:r>
      <w:r w:rsidR="00A16BE6" w:rsidRPr="00EB3175">
        <w:rPr>
          <w:rStyle w:val="FootnoteReference"/>
          <w:rFonts w:ascii="Times New Roman" w:hAnsi="Times New Roman"/>
          <w:szCs w:val="24"/>
        </w:rPr>
        <w:footnoteReference w:id="3"/>
      </w:r>
      <w:r w:rsidR="00283405" w:rsidRPr="00155210">
        <w:rPr>
          <w:rFonts w:ascii="Times New Roman" w:hAnsi="Times New Roman"/>
          <w:sz w:val="24"/>
          <w:szCs w:val="24"/>
        </w:rPr>
        <w:t xml:space="preserve"> </w:t>
      </w:r>
      <w:r w:rsidR="00283405" w:rsidRPr="009B05C8">
        <w:rPr>
          <w:rFonts w:ascii="Times New Roman" w:hAnsi="Times New Roman"/>
          <w:sz w:val="24"/>
          <w:szCs w:val="24"/>
        </w:rPr>
        <w:t>This is because they already have professional obligations to discharge i</w:t>
      </w:r>
      <w:r w:rsidR="00283405">
        <w:rPr>
          <w:rFonts w:ascii="Times New Roman" w:hAnsi="Times New Roman"/>
          <w:sz w:val="24"/>
          <w:szCs w:val="24"/>
        </w:rPr>
        <w:t>n relation to the conveyancing</w:t>
      </w:r>
      <w:r w:rsidR="00283405" w:rsidRPr="009B05C8">
        <w:rPr>
          <w:rFonts w:ascii="Times New Roman" w:hAnsi="Times New Roman"/>
          <w:sz w:val="24"/>
          <w:szCs w:val="24"/>
        </w:rPr>
        <w:t xml:space="preserve"> of property and this would more naturally form part of those other obligations</w:t>
      </w:r>
      <w:r w:rsidR="005965C4">
        <w:rPr>
          <w:rFonts w:ascii="Times New Roman" w:hAnsi="Times New Roman"/>
          <w:sz w:val="24"/>
          <w:szCs w:val="24"/>
        </w:rPr>
        <w:t xml:space="preserve">.  </w:t>
      </w:r>
      <w:r w:rsidR="00283405" w:rsidRPr="009B05C8">
        <w:rPr>
          <w:rFonts w:ascii="Times New Roman" w:hAnsi="Times New Roman"/>
          <w:sz w:val="24"/>
          <w:szCs w:val="24"/>
        </w:rPr>
        <w:t>They also have the systems and trust accounts needed to manage the funds involved in the settlement of property</w:t>
      </w:r>
      <w:r w:rsidR="000E16BE">
        <w:rPr>
          <w:rFonts w:ascii="Times New Roman" w:hAnsi="Times New Roman"/>
          <w:sz w:val="24"/>
          <w:szCs w:val="24"/>
        </w:rPr>
        <w:t>,</w:t>
      </w:r>
      <w:r w:rsidR="00283405" w:rsidRPr="009B05C8">
        <w:rPr>
          <w:rFonts w:ascii="Times New Roman" w:hAnsi="Times New Roman"/>
          <w:sz w:val="24"/>
          <w:szCs w:val="24"/>
        </w:rPr>
        <w:t xml:space="preserve"> which is important in terms of ensuring the integrity of the withholding process.</w:t>
      </w:r>
    </w:p>
    <w:p w:rsidR="00A60DA6" w:rsidRDefault="00A60DA6">
      <w:pPr>
        <w:pStyle w:val="ListParagraph"/>
        <w:rPr>
          <w:rFonts w:ascii="Times New Roman" w:hAnsi="Times New Roman"/>
          <w:sz w:val="24"/>
          <w:szCs w:val="24"/>
        </w:rPr>
      </w:pPr>
    </w:p>
    <w:p w:rsidR="00085B7B" w:rsidRDefault="00C41B9B"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The majority of s</w:t>
      </w:r>
      <w:r w:rsidR="00A60DA6">
        <w:rPr>
          <w:rFonts w:ascii="Times New Roman" w:hAnsi="Times New Roman"/>
          <w:sz w:val="24"/>
          <w:szCs w:val="24"/>
        </w:rPr>
        <w:t>ubmitters agreed that neither the buyer nor seller should be the default withholding agent and proposed that the seller’s conveyancing agent</w:t>
      </w:r>
      <w:r w:rsidR="00085B7B">
        <w:rPr>
          <w:rFonts w:ascii="Times New Roman" w:hAnsi="Times New Roman"/>
          <w:sz w:val="24"/>
          <w:szCs w:val="24"/>
        </w:rPr>
        <w:t xml:space="preserve"> should be the withholding agent</w:t>
      </w:r>
      <w:r w:rsidR="005965C4">
        <w:rPr>
          <w:rFonts w:ascii="Times New Roman" w:hAnsi="Times New Roman"/>
          <w:sz w:val="24"/>
          <w:szCs w:val="24"/>
        </w:rPr>
        <w:t xml:space="preserve">.  </w:t>
      </w:r>
      <w:r w:rsidR="00085B7B">
        <w:rPr>
          <w:rFonts w:ascii="Times New Roman" w:hAnsi="Times New Roman"/>
          <w:sz w:val="24"/>
          <w:szCs w:val="24"/>
        </w:rPr>
        <w:t xml:space="preserve">This is because they have ready access to the required information to determine whether the seller </w:t>
      </w:r>
      <w:r w:rsidR="00155210">
        <w:rPr>
          <w:rFonts w:ascii="Times New Roman" w:hAnsi="Times New Roman"/>
          <w:sz w:val="24"/>
          <w:szCs w:val="24"/>
        </w:rPr>
        <w:t>would be</w:t>
      </w:r>
      <w:r w:rsidR="00085B7B">
        <w:rPr>
          <w:rFonts w:ascii="Times New Roman" w:hAnsi="Times New Roman"/>
          <w:sz w:val="24"/>
          <w:szCs w:val="24"/>
        </w:rPr>
        <w:t xml:space="preserve"> eligible </w:t>
      </w:r>
      <w:r w:rsidR="009A20DB">
        <w:rPr>
          <w:rFonts w:ascii="Times New Roman" w:hAnsi="Times New Roman"/>
          <w:sz w:val="24"/>
          <w:szCs w:val="24"/>
        </w:rPr>
        <w:t xml:space="preserve">for </w:t>
      </w:r>
      <w:r w:rsidR="00085B7B">
        <w:rPr>
          <w:rFonts w:ascii="Times New Roman" w:hAnsi="Times New Roman"/>
          <w:sz w:val="24"/>
          <w:szCs w:val="24"/>
        </w:rPr>
        <w:t xml:space="preserve">an exemption from withholding and it would minimise the required interaction between the </w:t>
      </w:r>
      <w:r w:rsidR="00486DD1">
        <w:rPr>
          <w:rFonts w:ascii="Times New Roman" w:hAnsi="Times New Roman"/>
          <w:sz w:val="24"/>
          <w:szCs w:val="24"/>
        </w:rPr>
        <w:t xml:space="preserve">buyer’s </w:t>
      </w:r>
      <w:r w:rsidR="00085B7B">
        <w:rPr>
          <w:rFonts w:ascii="Times New Roman" w:hAnsi="Times New Roman"/>
          <w:sz w:val="24"/>
          <w:szCs w:val="24"/>
        </w:rPr>
        <w:t>and seller’s conveyancing agents</w:t>
      </w:r>
      <w:r w:rsidR="005965C4">
        <w:rPr>
          <w:rFonts w:ascii="Times New Roman" w:hAnsi="Times New Roman"/>
          <w:sz w:val="24"/>
          <w:szCs w:val="24"/>
        </w:rPr>
        <w:t xml:space="preserve">.  </w:t>
      </w:r>
      <w:r w:rsidR="00085B7B">
        <w:rPr>
          <w:rFonts w:ascii="Times New Roman" w:hAnsi="Times New Roman"/>
          <w:sz w:val="24"/>
          <w:szCs w:val="24"/>
        </w:rPr>
        <w:t>This reduces the compliance burden imposed on the conveyancing agents and their clients</w:t>
      </w:r>
      <w:r w:rsidR="005965C4">
        <w:rPr>
          <w:rFonts w:ascii="Times New Roman" w:hAnsi="Times New Roman"/>
          <w:sz w:val="24"/>
          <w:szCs w:val="24"/>
        </w:rPr>
        <w:t xml:space="preserve">.  </w:t>
      </w:r>
      <w:r>
        <w:rPr>
          <w:rFonts w:ascii="Times New Roman" w:hAnsi="Times New Roman"/>
          <w:sz w:val="24"/>
          <w:szCs w:val="24"/>
        </w:rPr>
        <w:t>In addition, a major advantage identified by submitters was that it would make the withholding tax a lot fairer – the compliance costs of the withholding tax would be borne by the seller.</w:t>
      </w:r>
    </w:p>
    <w:p w:rsidR="00C41B9B" w:rsidRDefault="00C41B9B">
      <w:pPr>
        <w:pStyle w:val="ListParagraph"/>
        <w:rPr>
          <w:rFonts w:ascii="Times New Roman" w:hAnsi="Times New Roman"/>
          <w:sz w:val="24"/>
          <w:szCs w:val="24"/>
        </w:rPr>
      </w:pPr>
    </w:p>
    <w:p w:rsidR="0094124B" w:rsidRDefault="0094124B"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O</w:t>
      </w:r>
      <w:r w:rsidR="00C41B9B">
        <w:rPr>
          <w:rFonts w:ascii="Times New Roman" w:hAnsi="Times New Roman"/>
          <w:sz w:val="24"/>
          <w:szCs w:val="24"/>
        </w:rPr>
        <w:t>fficials do not consider the issue to be as clear cut</w:t>
      </w:r>
      <w:r w:rsidR="005965C4">
        <w:rPr>
          <w:rFonts w:ascii="Times New Roman" w:hAnsi="Times New Roman"/>
          <w:sz w:val="24"/>
          <w:szCs w:val="24"/>
        </w:rPr>
        <w:t xml:space="preserve">.  </w:t>
      </w:r>
      <w:r w:rsidR="00C41B9B">
        <w:rPr>
          <w:rFonts w:ascii="Times New Roman" w:hAnsi="Times New Roman"/>
          <w:sz w:val="24"/>
          <w:szCs w:val="24"/>
        </w:rPr>
        <w:t>There are a number of advantages to requiring the buyer’s conveyancing agent to withhold on the buyer’s behalf</w:t>
      </w:r>
      <w:r w:rsidR="005965C4">
        <w:rPr>
          <w:rFonts w:ascii="Times New Roman" w:hAnsi="Times New Roman"/>
          <w:sz w:val="24"/>
          <w:szCs w:val="24"/>
        </w:rPr>
        <w:t xml:space="preserve">.  </w:t>
      </w:r>
      <w:r w:rsidR="003C62A5">
        <w:rPr>
          <w:rFonts w:ascii="Times New Roman" w:hAnsi="Times New Roman"/>
          <w:sz w:val="24"/>
          <w:szCs w:val="24"/>
        </w:rPr>
        <w:t xml:space="preserve">The first is that it follows other withholding taxes (both in New Zealand and overseas), where </w:t>
      </w:r>
      <w:r w:rsidR="00510102">
        <w:rPr>
          <w:rFonts w:ascii="Times New Roman" w:hAnsi="Times New Roman"/>
          <w:sz w:val="24"/>
          <w:szCs w:val="24"/>
        </w:rPr>
        <w:t>t</w:t>
      </w:r>
      <w:r w:rsidR="003C62A5">
        <w:rPr>
          <w:rFonts w:ascii="Times New Roman" w:hAnsi="Times New Roman"/>
          <w:sz w:val="24"/>
          <w:szCs w:val="24"/>
        </w:rPr>
        <w:t xml:space="preserve">he withholding agent is the first </w:t>
      </w:r>
      <w:proofErr w:type="spellStart"/>
      <w:r w:rsidR="003C62A5">
        <w:rPr>
          <w:rFonts w:ascii="Times New Roman" w:hAnsi="Times New Roman"/>
          <w:sz w:val="24"/>
          <w:szCs w:val="24"/>
        </w:rPr>
        <w:t>payer</w:t>
      </w:r>
      <w:proofErr w:type="spellEnd"/>
      <w:r w:rsidR="003C62A5">
        <w:rPr>
          <w:rFonts w:ascii="Times New Roman" w:hAnsi="Times New Roman"/>
          <w:sz w:val="24"/>
          <w:szCs w:val="24"/>
        </w:rPr>
        <w:t xml:space="preserve"> in the chain</w:t>
      </w:r>
      <w:r w:rsidR="005965C4">
        <w:rPr>
          <w:rFonts w:ascii="Times New Roman" w:hAnsi="Times New Roman"/>
          <w:sz w:val="24"/>
          <w:szCs w:val="24"/>
        </w:rPr>
        <w:t xml:space="preserve">.  </w:t>
      </w:r>
      <w:r w:rsidR="00510102">
        <w:rPr>
          <w:rFonts w:ascii="Times New Roman" w:hAnsi="Times New Roman"/>
          <w:sz w:val="24"/>
          <w:szCs w:val="24"/>
        </w:rPr>
        <w:t>Other advantages include that a secondary obligation can be placed on the seller’s conveyancing agent if the buyer’s agent fails to withhold, the funds are more likely to flow through a New Zealand bank account, and it would not create a potential conflict between the seller and their conveyancing agent where withholding could go against a client action.</w:t>
      </w:r>
    </w:p>
    <w:p w:rsidR="009873E7" w:rsidRDefault="009873E7" w:rsidP="006C19A4">
      <w:pPr>
        <w:pStyle w:val="Bullet-list"/>
        <w:spacing w:after="0" w:line="240" w:lineRule="auto"/>
        <w:ind w:left="0" w:firstLine="0"/>
        <w:jc w:val="both"/>
        <w:rPr>
          <w:rFonts w:ascii="Times New Roman" w:hAnsi="Times New Roman"/>
          <w:sz w:val="24"/>
          <w:szCs w:val="24"/>
        </w:rPr>
      </w:pPr>
    </w:p>
    <w:p w:rsidR="0094124B" w:rsidRPr="00F172FD" w:rsidRDefault="0094124B" w:rsidP="006C19A4">
      <w:pPr>
        <w:pStyle w:val="Bullet-list"/>
        <w:numPr>
          <w:ilvl w:val="0"/>
          <w:numId w:val="3"/>
        </w:numPr>
        <w:tabs>
          <w:tab w:val="clear" w:pos="720"/>
          <w:tab w:val="num" w:pos="0"/>
        </w:tabs>
        <w:spacing w:after="0" w:line="240" w:lineRule="auto"/>
        <w:ind w:left="0" w:hanging="11"/>
        <w:jc w:val="both"/>
        <w:rPr>
          <w:szCs w:val="24"/>
        </w:rPr>
      </w:pPr>
      <w:r w:rsidRPr="00486DD1">
        <w:rPr>
          <w:rFonts w:ascii="Times New Roman" w:hAnsi="Times New Roman"/>
          <w:sz w:val="24"/>
          <w:szCs w:val="24"/>
        </w:rPr>
        <w:t xml:space="preserve">Officials consider the advantages and disadvantages of both options </w:t>
      </w:r>
      <w:r w:rsidR="00486DD1">
        <w:rPr>
          <w:rFonts w:ascii="Times New Roman" w:hAnsi="Times New Roman"/>
          <w:sz w:val="24"/>
          <w:szCs w:val="24"/>
        </w:rPr>
        <w:t>to be</w:t>
      </w:r>
      <w:r w:rsidR="00486DD1" w:rsidRPr="006C19A4">
        <w:rPr>
          <w:rFonts w:ascii="Times New Roman" w:hAnsi="Times New Roman"/>
          <w:sz w:val="24"/>
          <w:szCs w:val="24"/>
        </w:rPr>
        <w:t xml:space="preserve"> </w:t>
      </w:r>
      <w:r w:rsidRPr="006C19A4">
        <w:rPr>
          <w:rFonts w:ascii="Times New Roman" w:hAnsi="Times New Roman"/>
          <w:sz w:val="24"/>
          <w:szCs w:val="24"/>
        </w:rPr>
        <w:t>finely balanced</w:t>
      </w:r>
      <w:r w:rsidR="005965C4">
        <w:rPr>
          <w:rFonts w:ascii="Times New Roman" w:hAnsi="Times New Roman"/>
          <w:sz w:val="24"/>
          <w:szCs w:val="24"/>
        </w:rPr>
        <w:t xml:space="preserve">.  </w:t>
      </w:r>
      <w:r w:rsidRPr="006C19A4">
        <w:rPr>
          <w:rFonts w:ascii="Times New Roman" w:hAnsi="Times New Roman"/>
          <w:sz w:val="24"/>
          <w:szCs w:val="24"/>
        </w:rPr>
        <w:t xml:space="preserve">There are marginal compliance cost benefits to the proposal that the withholding agent be the </w:t>
      </w:r>
      <w:r w:rsidR="00486DD1">
        <w:rPr>
          <w:rFonts w:ascii="Times New Roman" w:hAnsi="Times New Roman"/>
          <w:sz w:val="24"/>
          <w:szCs w:val="24"/>
        </w:rPr>
        <w:t>seller</w:t>
      </w:r>
      <w:r w:rsidR="00486DD1" w:rsidRPr="00486DD1">
        <w:rPr>
          <w:rFonts w:ascii="Times New Roman" w:hAnsi="Times New Roman"/>
          <w:sz w:val="24"/>
          <w:szCs w:val="24"/>
        </w:rPr>
        <w:t xml:space="preserve">’s </w:t>
      </w:r>
      <w:r w:rsidRPr="00486DD1">
        <w:rPr>
          <w:rFonts w:ascii="Times New Roman" w:hAnsi="Times New Roman"/>
          <w:sz w:val="24"/>
          <w:szCs w:val="24"/>
        </w:rPr>
        <w:t>conveyancing agent</w:t>
      </w:r>
      <w:r w:rsidR="005965C4">
        <w:rPr>
          <w:rFonts w:ascii="Times New Roman" w:hAnsi="Times New Roman"/>
          <w:sz w:val="24"/>
          <w:szCs w:val="24"/>
        </w:rPr>
        <w:t xml:space="preserve">.  </w:t>
      </w:r>
      <w:r w:rsidR="00C53F30">
        <w:rPr>
          <w:rFonts w:ascii="Times New Roman" w:hAnsi="Times New Roman"/>
          <w:sz w:val="24"/>
          <w:szCs w:val="24"/>
        </w:rPr>
        <w:t>On the other hand, t</w:t>
      </w:r>
      <w:r w:rsidRPr="00486DD1">
        <w:rPr>
          <w:rFonts w:ascii="Times New Roman" w:hAnsi="Times New Roman"/>
          <w:sz w:val="24"/>
          <w:szCs w:val="24"/>
        </w:rPr>
        <w:t xml:space="preserve">here are marginal revenue integrity benefits to the proposal that the withholding agent be the </w:t>
      </w:r>
      <w:r w:rsidR="00486DD1">
        <w:rPr>
          <w:rFonts w:ascii="Times New Roman" w:hAnsi="Times New Roman"/>
          <w:sz w:val="24"/>
          <w:szCs w:val="24"/>
        </w:rPr>
        <w:t>buyer</w:t>
      </w:r>
      <w:r w:rsidR="00486DD1" w:rsidRPr="006C19A4">
        <w:rPr>
          <w:rFonts w:ascii="Times New Roman" w:hAnsi="Times New Roman"/>
          <w:sz w:val="24"/>
          <w:szCs w:val="24"/>
        </w:rPr>
        <w:t xml:space="preserve">’s </w:t>
      </w:r>
      <w:r w:rsidRPr="006C19A4">
        <w:rPr>
          <w:rFonts w:ascii="Times New Roman" w:hAnsi="Times New Roman"/>
          <w:sz w:val="24"/>
          <w:szCs w:val="24"/>
        </w:rPr>
        <w:t>conveyancing agent</w:t>
      </w:r>
      <w:r w:rsidR="005965C4">
        <w:rPr>
          <w:rFonts w:ascii="Times New Roman" w:hAnsi="Times New Roman"/>
          <w:sz w:val="24"/>
          <w:szCs w:val="24"/>
        </w:rPr>
        <w:t xml:space="preserve">.  </w:t>
      </w:r>
    </w:p>
    <w:p w:rsidR="0094124B" w:rsidRPr="00486DD1" w:rsidRDefault="0094124B" w:rsidP="006C19A4">
      <w:pPr>
        <w:pStyle w:val="Bullet-list"/>
        <w:spacing w:after="0" w:line="240" w:lineRule="auto"/>
        <w:ind w:left="0" w:firstLine="0"/>
        <w:jc w:val="both"/>
        <w:rPr>
          <w:rFonts w:ascii="Times New Roman" w:hAnsi="Times New Roman"/>
          <w:sz w:val="24"/>
          <w:szCs w:val="24"/>
        </w:rPr>
      </w:pPr>
    </w:p>
    <w:p w:rsidR="0094124B" w:rsidRDefault="0094124B" w:rsidP="006C19A4">
      <w:pPr>
        <w:pStyle w:val="Bullet-list"/>
        <w:numPr>
          <w:ilvl w:val="0"/>
          <w:numId w:val="3"/>
        </w:numPr>
        <w:tabs>
          <w:tab w:val="clear" w:pos="720"/>
          <w:tab w:val="num" w:pos="0"/>
        </w:tabs>
        <w:spacing w:after="0" w:line="240" w:lineRule="auto"/>
        <w:ind w:left="0" w:hanging="11"/>
        <w:jc w:val="both"/>
        <w:rPr>
          <w:szCs w:val="24"/>
        </w:rPr>
      </w:pPr>
      <w:r w:rsidRPr="00486DD1">
        <w:rPr>
          <w:rFonts w:ascii="Times New Roman" w:hAnsi="Times New Roman"/>
          <w:sz w:val="24"/>
          <w:szCs w:val="24"/>
        </w:rPr>
        <w:t xml:space="preserve">Officials consider that the </w:t>
      </w:r>
      <w:r w:rsidR="00486DD1">
        <w:rPr>
          <w:rFonts w:ascii="Times New Roman" w:hAnsi="Times New Roman"/>
          <w:sz w:val="24"/>
          <w:szCs w:val="24"/>
        </w:rPr>
        <w:t xml:space="preserve">better approach, on balance, is the </w:t>
      </w:r>
      <w:r w:rsidRPr="006C19A4">
        <w:rPr>
          <w:rFonts w:ascii="Times New Roman" w:hAnsi="Times New Roman"/>
          <w:sz w:val="24"/>
          <w:szCs w:val="24"/>
        </w:rPr>
        <w:t xml:space="preserve">proposal that the withholding agent be the </w:t>
      </w:r>
      <w:r w:rsidR="00486DD1">
        <w:rPr>
          <w:rFonts w:ascii="Times New Roman" w:hAnsi="Times New Roman"/>
          <w:sz w:val="24"/>
          <w:szCs w:val="24"/>
        </w:rPr>
        <w:t>seller</w:t>
      </w:r>
      <w:r w:rsidR="00486DD1" w:rsidRPr="00486DD1">
        <w:rPr>
          <w:rFonts w:ascii="Times New Roman" w:hAnsi="Times New Roman"/>
          <w:sz w:val="24"/>
          <w:szCs w:val="24"/>
        </w:rPr>
        <w:t xml:space="preserve">’s </w:t>
      </w:r>
      <w:r w:rsidRPr="00486DD1">
        <w:rPr>
          <w:rFonts w:ascii="Times New Roman" w:hAnsi="Times New Roman"/>
          <w:sz w:val="24"/>
          <w:szCs w:val="24"/>
        </w:rPr>
        <w:t>conveyancing agent as long as sufficient other revenue integrity measures can be put in place as part of the overall structure of the proposed RLWT.</w:t>
      </w:r>
    </w:p>
    <w:p w:rsidR="00510102" w:rsidRDefault="00510102" w:rsidP="006C19A4">
      <w:pPr>
        <w:pStyle w:val="Bullet-list"/>
        <w:spacing w:after="0" w:line="240" w:lineRule="auto"/>
        <w:ind w:left="0" w:firstLine="0"/>
        <w:jc w:val="both"/>
        <w:rPr>
          <w:rFonts w:ascii="Times New Roman" w:hAnsi="Times New Roman"/>
          <w:sz w:val="24"/>
          <w:szCs w:val="24"/>
        </w:rPr>
      </w:pPr>
    </w:p>
    <w:p w:rsidR="008A0123" w:rsidRDefault="008A0123" w:rsidP="006C19A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Where the </w:t>
      </w:r>
      <w:r w:rsidR="00486DD1">
        <w:rPr>
          <w:rFonts w:ascii="Times New Roman" w:hAnsi="Times New Roman"/>
          <w:sz w:val="24"/>
          <w:szCs w:val="24"/>
        </w:rPr>
        <w:t xml:space="preserve">buyer </w:t>
      </w:r>
      <w:r>
        <w:rPr>
          <w:rFonts w:ascii="Times New Roman" w:hAnsi="Times New Roman"/>
          <w:sz w:val="24"/>
          <w:szCs w:val="24"/>
        </w:rPr>
        <w:t xml:space="preserve">is the withholding agent, we recommend </w:t>
      </w:r>
      <w:r w:rsidR="005442DB">
        <w:rPr>
          <w:rFonts w:ascii="Times New Roman" w:hAnsi="Times New Roman"/>
          <w:sz w:val="24"/>
          <w:szCs w:val="24"/>
        </w:rPr>
        <w:t xml:space="preserve">that they should be required to provide a statutory declaration </w:t>
      </w:r>
      <w:r w:rsidR="00FB4A22">
        <w:rPr>
          <w:rFonts w:ascii="Times New Roman" w:hAnsi="Times New Roman"/>
          <w:sz w:val="24"/>
          <w:szCs w:val="24"/>
        </w:rPr>
        <w:t>stating</w:t>
      </w:r>
      <w:r w:rsidR="005442DB">
        <w:rPr>
          <w:rFonts w:ascii="Times New Roman" w:hAnsi="Times New Roman"/>
          <w:sz w:val="24"/>
          <w:szCs w:val="24"/>
        </w:rPr>
        <w:t xml:space="preserve"> they have fulfilled their withholding obligations</w:t>
      </w:r>
      <w:r w:rsidR="005965C4">
        <w:rPr>
          <w:rFonts w:ascii="Times New Roman" w:hAnsi="Times New Roman"/>
          <w:sz w:val="24"/>
          <w:szCs w:val="24"/>
        </w:rPr>
        <w:t xml:space="preserve">.  </w:t>
      </w:r>
      <w:r>
        <w:rPr>
          <w:rFonts w:ascii="Times New Roman" w:hAnsi="Times New Roman"/>
          <w:sz w:val="24"/>
          <w:szCs w:val="24"/>
        </w:rPr>
        <w:t>We consider this necessary to protect the integrity of the RLWT</w:t>
      </w:r>
      <w:r w:rsidR="005965C4">
        <w:rPr>
          <w:rFonts w:ascii="Times New Roman" w:hAnsi="Times New Roman"/>
          <w:sz w:val="24"/>
          <w:szCs w:val="24"/>
        </w:rPr>
        <w:t xml:space="preserve">.  </w:t>
      </w:r>
      <w:r>
        <w:rPr>
          <w:rFonts w:ascii="Times New Roman" w:hAnsi="Times New Roman"/>
          <w:sz w:val="24"/>
          <w:szCs w:val="24"/>
        </w:rPr>
        <w:t xml:space="preserve">We understand that while it is possible to </w:t>
      </w:r>
      <w:r w:rsidR="0053582D">
        <w:rPr>
          <w:rFonts w:ascii="Times New Roman" w:hAnsi="Times New Roman"/>
          <w:sz w:val="24"/>
          <w:szCs w:val="24"/>
        </w:rPr>
        <w:t>complete a property transfer without a conveyancing agent</w:t>
      </w:r>
      <w:r>
        <w:rPr>
          <w:rFonts w:ascii="Times New Roman" w:hAnsi="Times New Roman"/>
          <w:sz w:val="24"/>
          <w:szCs w:val="24"/>
        </w:rPr>
        <w:t>, only very few people do</w:t>
      </w:r>
      <w:r w:rsidR="005965C4">
        <w:rPr>
          <w:rFonts w:ascii="Times New Roman" w:hAnsi="Times New Roman"/>
          <w:sz w:val="24"/>
          <w:szCs w:val="24"/>
        </w:rPr>
        <w:t xml:space="preserve">.  </w:t>
      </w:r>
      <w:r>
        <w:rPr>
          <w:rFonts w:ascii="Times New Roman" w:hAnsi="Times New Roman"/>
          <w:sz w:val="24"/>
          <w:szCs w:val="24"/>
        </w:rPr>
        <w:t xml:space="preserve">RLWT should not encourage people to undertake their own conveyancing </w:t>
      </w:r>
      <w:r w:rsidR="0092297D">
        <w:rPr>
          <w:rFonts w:ascii="Times New Roman" w:hAnsi="Times New Roman"/>
          <w:sz w:val="24"/>
          <w:szCs w:val="24"/>
        </w:rPr>
        <w:t xml:space="preserve">simply </w:t>
      </w:r>
      <w:r>
        <w:rPr>
          <w:rFonts w:ascii="Times New Roman" w:hAnsi="Times New Roman"/>
          <w:sz w:val="24"/>
          <w:szCs w:val="24"/>
        </w:rPr>
        <w:t>in order to circumvent the application of the withholding tax.</w:t>
      </w:r>
    </w:p>
    <w:p w:rsidR="00AA69B3" w:rsidRPr="009B05C8" w:rsidRDefault="00AA69B3" w:rsidP="006C19A4">
      <w:pPr>
        <w:pStyle w:val="Bullet-list"/>
        <w:spacing w:after="0" w:line="240" w:lineRule="auto"/>
        <w:ind w:left="0" w:firstLine="0"/>
        <w:jc w:val="both"/>
        <w:rPr>
          <w:rFonts w:ascii="Times New Roman" w:hAnsi="Times New Roman"/>
          <w:sz w:val="24"/>
          <w:szCs w:val="24"/>
        </w:rPr>
      </w:pPr>
    </w:p>
    <w:p w:rsidR="004146D4" w:rsidRDefault="004146D4" w:rsidP="006C19A4">
      <w:pPr>
        <w:spacing w:after="0" w:line="240" w:lineRule="auto"/>
        <w:jc w:val="both"/>
        <w:rPr>
          <w:rFonts w:ascii="Times New Roman" w:hAnsi="Times New Roman"/>
          <w:i/>
          <w:sz w:val="24"/>
          <w:szCs w:val="24"/>
          <w:lang w:val="en-A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3923"/>
        <w:gridCol w:w="3693"/>
      </w:tblGrid>
      <w:tr w:rsidR="008A0123" w:rsidRPr="000E6CDD" w:rsidTr="00283405">
        <w:trPr>
          <w:trHeight w:val="195"/>
        </w:trPr>
        <w:tc>
          <w:tcPr>
            <w:tcW w:w="0" w:type="auto"/>
            <w:shd w:val="clear" w:color="auto" w:fill="auto"/>
            <w:vAlign w:val="center"/>
          </w:tcPr>
          <w:p w:rsidR="00283405" w:rsidRPr="000E6CDD" w:rsidRDefault="00283405" w:rsidP="006C19A4">
            <w:pPr>
              <w:spacing w:after="0" w:line="240" w:lineRule="auto"/>
              <w:rPr>
                <w:rFonts w:ascii="Times New Roman" w:hAnsi="Times New Roman"/>
                <w:b/>
                <w:sz w:val="20"/>
                <w:lang w:val="en-NZ"/>
              </w:rPr>
            </w:pPr>
            <w:r w:rsidRPr="000E6CDD">
              <w:rPr>
                <w:rFonts w:ascii="Times New Roman" w:hAnsi="Times New Roman"/>
                <w:b/>
                <w:sz w:val="20"/>
                <w:lang w:val="en-NZ"/>
              </w:rPr>
              <w:t>Options</w:t>
            </w:r>
          </w:p>
        </w:tc>
        <w:tc>
          <w:tcPr>
            <w:tcW w:w="0" w:type="auto"/>
            <w:shd w:val="clear" w:color="auto" w:fill="auto"/>
            <w:vAlign w:val="center"/>
          </w:tcPr>
          <w:p w:rsidR="00283405" w:rsidRPr="000E6CDD" w:rsidRDefault="00283405" w:rsidP="006C19A4">
            <w:pPr>
              <w:spacing w:after="0" w:line="240" w:lineRule="auto"/>
              <w:rPr>
                <w:rFonts w:ascii="Times New Roman" w:hAnsi="Times New Roman"/>
                <w:b/>
                <w:sz w:val="20"/>
                <w:lang w:val="en-NZ"/>
              </w:rPr>
            </w:pPr>
            <w:r w:rsidRPr="000E6CDD">
              <w:rPr>
                <w:rFonts w:ascii="Times New Roman" w:hAnsi="Times New Roman"/>
                <w:b/>
                <w:sz w:val="20"/>
                <w:lang w:val="en-NZ"/>
              </w:rPr>
              <w:t>Advantages</w:t>
            </w:r>
          </w:p>
        </w:tc>
        <w:tc>
          <w:tcPr>
            <w:tcW w:w="0" w:type="auto"/>
            <w:shd w:val="clear" w:color="auto" w:fill="auto"/>
            <w:vAlign w:val="center"/>
          </w:tcPr>
          <w:p w:rsidR="00283405" w:rsidRPr="000E6CDD" w:rsidRDefault="00283405" w:rsidP="006C19A4">
            <w:pPr>
              <w:spacing w:after="0" w:line="240" w:lineRule="auto"/>
              <w:rPr>
                <w:rFonts w:ascii="Times New Roman" w:hAnsi="Times New Roman"/>
                <w:b/>
                <w:sz w:val="20"/>
                <w:lang w:val="en-NZ"/>
              </w:rPr>
            </w:pPr>
            <w:r w:rsidRPr="000E6CDD">
              <w:rPr>
                <w:rFonts w:ascii="Times New Roman" w:hAnsi="Times New Roman"/>
                <w:b/>
                <w:sz w:val="20"/>
                <w:lang w:val="en-NZ"/>
              </w:rPr>
              <w:t>Disadvantages</w:t>
            </w:r>
          </w:p>
        </w:tc>
      </w:tr>
      <w:tr w:rsidR="008A0123" w:rsidRPr="000E6CDD" w:rsidTr="00283405">
        <w:trPr>
          <w:trHeight w:val="142"/>
        </w:trPr>
        <w:tc>
          <w:tcPr>
            <w:tcW w:w="0" w:type="auto"/>
            <w:vMerge w:val="restart"/>
            <w:shd w:val="clear" w:color="auto" w:fill="auto"/>
            <w:vAlign w:val="center"/>
          </w:tcPr>
          <w:p w:rsidR="00283405" w:rsidRPr="000E6CDD" w:rsidRDefault="00283405">
            <w:pPr>
              <w:spacing w:after="0" w:line="240" w:lineRule="auto"/>
              <w:rPr>
                <w:rFonts w:ascii="Times New Roman" w:hAnsi="Times New Roman"/>
                <w:b/>
                <w:i/>
                <w:sz w:val="20"/>
                <w:lang w:val="en-NZ"/>
              </w:rPr>
            </w:pPr>
            <w:r>
              <w:rPr>
                <w:rFonts w:ascii="Times New Roman" w:hAnsi="Times New Roman"/>
                <w:b/>
                <w:i/>
                <w:sz w:val="20"/>
                <w:lang w:val="en-NZ"/>
              </w:rPr>
              <w:t>Buyer</w:t>
            </w:r>
          </w:p>
        </w:tc>
        <w:tc>
          <w:tcPr>
            <w:tcW w:w="0" w:type="auto"/>
            <w:shd w:val="clear" w:color="auto" w:fill="auto"/>
          </w:tcPr>
          <w:p w:rsidR="00283405" w:rsidRPr="009B05C8" w:rsidRDefault="00283405">
            <w:pPr>
              <w:spacing w:after="0" w:line="240" w:lineRule="auto"/>
              <w:rPr>
                <w:rFonts w:ascii="Times New Roman" w:hAnsi="Times New Roman"/>
                <w:sz w:val="20"/>
                <w:lang w:val="en-NZ"/>
              </w:rPr>
            </w:pPr>
            <w:r>
              <w:rPr>
                <w:rFonts w:ascii="Times New Roman" w:hAnsi="Times New Roman"/>
                <w:sz w:val="20"/>
                <w:lang w:val="en-NZ"/>
              </w:rPr>
              <w:t>Legal i</w:t>
            </w:r>
            <w:r w:rsidRPr="006719F2">
              <w:rPr>
                <w:rFonts w:ascii="Times New Roman" w:hAnsi="Times New Roman"/>
                <w:sz w:val="20"/>
                <w:lang w:val="en-NZ"/>
              </w:rPr>
              <w:t>nternational norm e.g</w:t>
            </w:r>
            <w:r w:rsidR="005965C4">
              <w:rPr>
                <w:rFonts w:ascii="Times New Roman" w:hAnsi="Times New Roman"/>
                <w:sz w:val="20"/>
                <w:lang w:val="en-NZ"/>
              </w:rPr>
              <w:t xml:space="preserve">.  </w:t>
            </w:r>
            <w:r w:rsidRPr="006719F2">
              <w:rPr>
                <w:rFonts w:ascii="Times New Roman" w:hAnsi="Times New Roman"/>
                <w:sz w:val="20"/>
                <w:lang w:val="en-NZ"/>
              </w:rPr>
              <w:t>US, Cana</w:t>
            </w:r>
            <w:r>
              <w:rPr>
                <w:rFonts w:ascii="Times New Roman" w:hAnsi="Times New Roman"/>
                <w:sz w:val="20"/>
                <w:lang w:val="en-NZ"/>
              </w:rPr>
              <w:t>da, Japan (and soon Australia)</w:t>
            </w:r>
            <w:r w:rsidR="005965C4">
              <w:rPr>
                <w:rFonts w:ascii="Times New Roman" w:hAnsi="Times New Roman"/>
                <w:sz w:val="20"/>
                <w:lang w:val="en-NZ"/>
              </w:rPr>
              <w:t xml:space="preserve">.  </w:t>
            </w:r>
            <w:r>
              <w:rPr>
                <w:rFonts w:ascii="Times New Roman" w:hAnsi="Times New Roman"/>
                <w:sz w:val="20"/>
                <w:lang w:val="en-NZ"/>
              </w:rPr>
              <w:t>Allows the buyer to use their solicitor to discharge their withholding obligation if desired.</w:t>
            </w:r>
          </w:p>
        </w:tc>
        <w:tc>
          <w:tcPr>
            <w:tcW w:w="0" w:type="auto"/>
            <w:shd w:val="clear" w:color="auto" w:fill="auto"/>
          </w:tcPr>
          <w:p w:rsidR="00283405" w:rsidRPr="00F35AE8" w:rsidRDefault="00283405">
            <w:pPr>
              <w:spacing w:after="0" w:line="240" w:lineRule="auto"/>
              <w:rPr>
                <w:rFonts w:ascii="Times New Roman" w:hAnsi="Times New Roman"/>
                <w:sz w:val="20"/>
                <w:lang w:val="en-NZ"/>
              </w:rPr>
            </w:pPr>
            <w:r>
              <w:rPr>
                <w:rFonts w:ascii="Times New Roman" w:hAnsi="Times New Roman"/>
                <w:sz w:val="20"/>
                <w:lang w:val="en-NZ"/>
              </w:rPr>
              <w:t>Would be administrati</w:t>
            </w:r>
            <w:r w:rsidR="005F43C3">
              <w:rPr>
                <w:rFonts w:ascii="Times New Roman" w:hAnsi="Times New Roman"/>
                <w:sz w:val="20"/>
                <w:lang w:val="en-NZ"/>
              </w:rPr>
              <w:t>vely burdensome for Inland Revenue and compliance-heavy for buyers of residential property.</w:t>
            </w:r>
          </w:p>
        </w:tc>
      </w:tr>
      <w:tr w:rsidR="00283405" w:rsidRPr="000E6CDD" w:rsidTr="00283405">
        <w:trPr>
          <w:trHeight w:val="142"/>
        </w:trPr>
        <w:tc>
          <w:tcPr>
            <w:tcW w:w="0" w:type="auto"/>
            <w:vMerge/>
            <w:shd w:val="clear" w:color="auto" w:fill="auto"/>
            <w:vAlign w:val="center"/>
          </w:tcPr>
          <w:p w:rsidR="00283405" w:rsidRDefault="00283405">
            <w:pPr>
              <w:spacing w:after="0" w:line="240" w:lineRule="auto"/>
              <w:rPr>
                <w:rFonts w:ascii="Times New Roman" w:hAnsi="Times New Roman"/>
                <w:b/>
                <w:i/>
                <w:sz w:val="20"/>
                <w:lang w:val="en-NZ"/>
              </w:rPr>
            </w:pPr>
          </w:p>
        </w:tc>
        <w:tc>
          <w:tcPr>
            <w:tcW w:w="0" w:type="auto"/>
            <w:gridSpan w:val="2"/>
            <w:shd w:val="clear" w:color="auto" w:fill="auto"/>
          </w:tcPr>
          <w:p w:rsidR="00283405" w:rsidRPr="00F35AE8" w:rsidRDefault="00283405" w:rsidP="006C19A4">
            <w:pPr>
              <w:spacing w:after="0" w:line="240" w:lineRule="auto"/>
              <w:rPr>
                <w:rFonts w:ascii="Times New Roman" w:hAnsi="Times New Roman"/>
                <w:sz w:val="20"/>
                <w:lang w:val="en-NZ"/>
              </w:rPr>
            </w:pPr>
            <w:r w:rsidRPr="00283405">
              <w:rPr>
                <w:rFonts w:ascii="Times New Roman" w:hAnsi="Times New Roman"/>
                <w:sz w:val="20"/>
                <w:u w:val="single"/>
                <w:lang w:val="en-NZ"/>
              </w:rPr>
              <w:t>Recommendation</w:t>
            </w:r>
            <w:r>
              <w:rPr>
                <w:rFonts w:ascii="Times New Roman" w:hAnsi="Times New Roman"/>
                <w:sz w:val="20"/>
                <w:lang w:val="en-NZ"/>
              </w:rPr>
              <w:t>: not recommended</w:t>
            </w:r>
            <w:r w:rsidR="00F50DB0">
              <w:rPr>
                <w:rFonts w:ascii="Times New Roman" w:hAnsi="Times New Roman"/>
                <w:sz w:val="20"/>
                <w:lang w:val="en-NZ"/>
              </w:rPr>
              <w:t>.</w:t>
            </w:r>
          </w:p>
        </w:tc>
      </w:tr>
      <w:tr w:rsidR="008A0123" w:rsidRPr="000E6CDD" w:rsidTr="00283405">
        <w:trPr>
          <w:trHeight w:val="97"/>
        </w:trPr>
        <w:tc>
          <w:tcPr>
            <w:tcW w:w="0" w:type="auto"/>
            <w:vMerge w:val="restart"/>
            <w:shd w:val="clear" w:color="auto" w:fill="auto"/>
            <w:vAlign w:val="center"/>
          </w:tcPr>
          <w:p w:rsidR="00283405" w:rsidRPr="000E6CDD" w:rsidRDefault="00283405">
            <w:pPr>
              <w:spacing w:after="0" w:line="240" w:lineRule="auto"/>
              <w:rPr>
                <w:rFonts w:ascii="Times New Roman" w:hAnsi="Times New Roman"/>
                <w:b/>
                <w:i/>
                <w:sz w:val="20"/>
                <w:lang w:val="en-NZ"/>
              </w:rPr>
            </w:pPr>
            <w:r>
              <w:rPr>
                <w:rFonts w:ascii="Times New Roman" w:hAnsi="Times New Roman"/>
                <w:b/>
                <w:i/>
                <w:sz w:val="20"/>
                <w:lang w:val="en-NZ"/>
              </w:rPr>
              <w:t>Buyer’s conveyancing agent (e.g</w:t>
            </w:r>
            <w:r w:rsidR="005965C4">
              <w:rPr>
                <w:rFonts w:ascii="Times New Roman" w:hAnsi="Times New Roman"/>
                <w:b/>
                <w:i/>
                <w:sz w:val="20"/>
                <w:lang w:val="en-NZ"/>
              </w:rPr>
              <w:t xml:space="preserve">.  </w:t>
            </w:r>
            <w:r>
              <w:rPr>
                <w:rFonts w:ascii="Times New Roman" w:hAnsi="Times New Roman"/>
                <w:b/>
                <w:i/>
                <w:sz w:val="20"/>
                <w:lang w:val="en-NZ"/>
              </w:rPr>
              <w:t>solicitor or conveyancer)</w:t>
            </w:r>
          </w:p>
        </w:tc>
        <w:tc>
          <w:tcPr>
            <w:tcW w:w="0" w:type="auto"/>
            <w:shd w:val="clear" w:color="auto" w:fill="auto"/>
          </w:tcPr>
          <w:p w:rsidR="00283405" w:rsidRPr="009B05C8" w:rsidRDefault="005F43C3" w:rsidP="00462D98">
            <w:pPr>
              <w:spacing w:after="0" w:line="240" w:lineRule="auto"/>
              <w:rPr>
                <w:rFonts w:ascii="Times New Roman" w:hAnsi="Times New Roman"/>
                <w:sz w:val="20"/>
                <w:lang w:val="en-NZ"/>
              </w:rPr>
            </w:pPr>
            <w:r>
              <w:rPr>
                <w:rFonts w:ascii="Times New Roman" w:hAnsi="Times New Roman"/>
                <w:sz w:val="20"/>
                <w:lang w:val="en-NZ"/>
              </w:rPr>
              <w:t>Practical i</w:t>
            </w:r>
            <w:r w:rsidR="00283405" w:rsidRPr="006719F2">
              <w:rPr>
                <w:rFonts w:ascii="Times New Roman" w:hAnsi="Times New Roman"/>
                <w:sz w:val="20"/>
                <w:lang w:val="en-NZ"/>
              </w:rPr>
              <w:t>nternational norm e.g</w:t>
            </w:r>
            <w:r w:rsidR="005965C4">
              <w:rPr>
                <w:rFonts w:ascii="Times New Roman" w:hAnsi="Times New Roman"/>
                <w:sz w:val="20"/>
                <w:lang w:val="en-NZ"/>
              </w:rPr>
              <w:t xml:space="preserve">.  </w:t>
            </w:r>
            <w:r w:rsidR="00283405" w:rsidRPr="006719F2">
              <w:rPr>
                <w:rFonts w:ascii="Times New Roman" w:hAnsi="Times New Roman"/>
                <w:sz w:val="20"/>
                <w:lang w:val="en-NZ"/>
              </w:rPr>
              <w:t>US, Cana</w:t>
            </w:r>
            <w:r w:rsidR="00283405">
              <w:rPr>
                <w:rFonts w:ascii="Times New Roman" w:hAnsi="Times New Roman"/>
                <w:sz w:val="20"/>
                <w:lang w:val="en-NZ"/>
              </w:rPr>
              <w:t>da, Japan (and soon Australia)</w:t>
            </w:r>
            <w:r w:rsidR="008A0123">
              <w:rPr>
                <w:rFonts w:ascii="Times New Roman" w:hAnsi="Times New Roman"/>
                <w:sz w:val="20"/>
                <w:lang w:val="en-NZ"/>
              </w:rPr>
              <w:t>, where buyers are expected to use a solicitor or other agent to discharge their withholding obligations</w:t>
            </w:r>
            <w:r w:rsidR="005965C4">
              <w:rPr>
                <w:rFonts w:ascii="Times New Roman" w:hAnsi="Times New Roman"/>
                <w:sz w:val="20"/>
                <w:lang w:val="en-NZ"/>
              </w:rPr>
              <w:t xml:space="preserve">.  </w:t>
            </w:r>
            <w:r w:rsidR="00283405" w:rsidRPr="006719F2">
              <w:rPr>
                <w:rFonts w:ascii="Times New Roman" w:hAnsi="Times New Roman"/>
                <w:sz w:val="20"/>
                <w:lang w:val="en-NZ"/>
              </w:rPr>
              <w:t>Follows other New Zealand withholding taxes which place withholding liability on the payer (e.g</w:t>
            </w:r>
            <w:r w:rsidR="005965C4">
              <w:rPr>
                <w:rFonts w:ascii="Times New Roman" w:hAnsi="Times New Roman"/>
                <w:sz w:val="20"/>
                <w:lang w:val="en-NZ"/>
              </w:rPr>
              <w:t xml:space="preserve">. </w:t>
            </w:r>
            <w:r w:rsidR="00283405" w:rsidRPr="006719F2">
              <w:rPr>
                <w:rFonts w:ascii="Times New Roman" w:hAnsi="Times New Roman"/>
                <w:sz w:val="20"/>
                <w:lang w:val="en-NZ"/>
              </w:rPr>
              <w:t xml:space="preserve">employers with </w:t>
            </w:r>
            <w:r w:rsidR="00283405">
              <w:rPr>
                <w:rFonts w:ascii="Times New Roman" w:hAnsi="Times New Roman"/>
                <w:sz w:val="20"/>
                <w:lang w:val="en-NZ"/>
              </w:rPr>
              <w:t>PAYE, banks with RWT and NRWT)</w:t>
            </w:r>
            <w:r w:rsidR="005965C4">
              <w:rPr>
                <w:rFonts w:ascii="Times New Roman" w:hAnsi="Times New Roman"/>
                <w:sz w:val="20"/>
                <w:lang w:val="en-NZ"/>
              </w:rPr>
              <w:t xml:space="preserve">.  </w:t>
            </w:r>
            <w:r w:rsidR="00283405" w:rsidRPr="006719F2">
              <w:rPr>
                <w:rFonts w:ascii="Times New Roman" w:hAnsi="Times New Roman"/>
                <w:sz w:val="20"/>
                <w:lang w:val="en-NZ"/>
              </w:rPr>
              <w:t xml:space="preserve">There is a “back stop”: if the buyer’s conveyancing agent fails to withhold correctly, a secondary liability can be placed on </w:t>
            </w:r>
            <w:r w:rsidR="00283405">
              <w:rPr>
                <w:rFonts w:ascii="Times New Roman" w:hAnsi="Times New Roman"/>
                <w:sz w:val="20"/>
                <w:lang w:val="en-NZ"/>
              </w:rPr>
              <w:t>the seller’s conveyancing agent.</w:t>
            </w:r>
          </w:p>
        </w:tc>
        <w:tc>
          <w:tcPr>
            <w:tcW w:w="0" w:type="auto"/>
            <w:shd w:val="clear" w:color="auto" w:fill="auto"/>
          </w:tcPr>
          <w:p w:rsidR="00283405" w:rsidRPr="00F35AE8" w:rsidRDefault="00E25CD4">
            <w:pPr>
              <w:spacing w:after="0" w:line="240" w:lineRule="auto"/>
              <w:rPr>
                <w:rFonts w:ascii="Times New Roman" w:hAnsi="Times New Roman"/>
                <w:sz w:val="20"/>
                <w:lang w:val="en-NZ"/>
              </w:rPr>
            </w:pPr>
            <w:r>
              <w:rPr>
                <w:rFonts w:ascii="Times New Roman" w:hAnsi="Times New Roman"/>
                <w:sz w:val="20"/>
                <w:lang w:val="en-NZ"/>
              </w:rPr>
              <w:t>Seen</w:t>
            </w:r>
            <w:r w:rsidR="00283405" w:rsidRPr="006719F2">
              <w:rPr>
                <w:rFonts w:ascii="Times New Roman" w:hAnsi="Times New Roman"/>
                <w:sz w:val="20"/>
                <w:lang w:val="en-NZ"/>
              </w:rPr>
              <w:t xml:space="preserve"> as unfair as the ultimate tax l</w:t>
            </w:r>
            <w:r w:rsidR="00283405">
              <w:rPr>
                <w:rFonts w:ascii="Times New Roman" w:hAnsi="Times New Roman"/>
                <w:sz w:val="20"/>
                <w:lang w:val="en-NZ"/>
              </w:rPr>
              <w:t>iability belongs to the seller</w:t>
            </w:r>
            <w:r w:rsidR="005965C4">
              <w:rPr>
                <w:rFonts w:ascii="Times New Roman" w:hAnsi="Times New Roman"/>
                <w:sz w:val="20"/>
                <w:lang w:val="en-NZ"/>
              </w:rPr>
              <w:t xml:space="preserve">.  </w:t>
            </w:r>
            <w:r w:rsidR="00283405" w:rsidRPr="006719F2">
              <w:rPr>
                <w:rFonts w:ascii="Times New Roman" w:hAnsi="Times New Roman"/>
                <w:sz w:val="20"/>
                <w:lang w:val="en-NZ"/>
              </w:rPr>
              <w:t>Requires the buyer’s conveyancing agent to obtain information about the seller from the seller’s agent</w:t>
            </w:r>
            <w:r w:rsidR="008A0123">
              <w:rPr>
                <w:rFonts w:ascii="Times New Roman" w:hAnsi="Times New Roman"/>
                <w:sz w:val="20"/>
                <w:lang w:val="en-NZ"/>
              </w:rPr>
              <w:t>, which could lead to delays in settlement</w:t>
            </w:r>
            <w:r w:rsidR="005965C4">
              <w:rPr>
                <w:rFonts w:ascii="Times New Roman" w:hAnsi="Times New Roman"/>
                <w:sz w:val="20"/>
                <w:lang w:val="en-NZ"/>
              </w:rPr>
              <w:t xml:space="preserve">.  </w:t>
            </w:r>
            <w:r w:rsidR="008A0123">
              <w:rPr>
                <w:rFonts w:ascii="Times New Roman" w:hAnsi="Times New Roman"/>
                <w:sz w:val="20"/>
                <w:lang w:val="en-NZ"/>
              </w:rPr>
              <w:t xml:space="preserve">May </w:t>
            </w:r>
            <w:r w:rsidR="00283405" w:rsidRPr="006719F2">
              <w:rPr>
                <w:rFonts w:ascii="Times New Roman" w:hAnsi="Times New Roman"/>
                <w:sz w:val="20"/>
                <w:lang w:val="en-NZ"/>
              </w:rPr>
              <w:t>be seen as increasing the compliance burden on the buyer’s agent and adding an additional cost to New Zealand buyers</w:t>
            </w:r>
            <w:r w:rsidR="005965C4">
              <w:rPr>
                <w:rFonts w:ascii="Times New Roman" w:hAnsi="Times New Roman"/>
                <w:sz w:val="20"/>
                <w:lang w:val="en-NZ"/>
              </w:rPr>
              <w:t xml:space="preserve">.  </w:t>
            </w:r>
          </w:p>
        </w:tc>
      </w:tr>
      <w:tr w:rsidR="00283405" w:rsidRPr="000E6CDD" w:rsidTr="00283405">
        <w:trPr>
          <w:trHeight w:val="97"/>
        </w:trPr>
        <w:tc>
          <w:tcPr>
            <w:tcW w:w="0" w:type="auto"/>
            <w:vMerge/>
            <w:shd w:val="clear" w:color="auto" w:fill="auto"/>
            <w:vAlign w:val="center"/>
          </w:tcPr>
          <w:p w:rsidR="00283405" w:rsidRDefault="00283405">
            <w:pPr>
              <w:spacing w:after="0" w:line="240" w:lineRule="auto"/>
              <w:rPr>
                <w:rFonts w:ascii="Times New Roman" w:hAnsi="Times New Roman"/>
                <w:b/>
                <w:i/>
                <w:sz w:val="20"/>
                <w:lang w:val="en-NZ"/>
              </w:rPr>
            </w:pPr>
          </w:p>
        </w:tc>
        <w:tc>
          <w:tcPr>
            <w:tcW w:w="0" w:type="auto"/>
            <w:gridSpan w:val="2"/>
            <w:shd w:val="clear" w:color="auto" w:fill="auto"/>
          </w:tcPr>
          <w:p w:rsidR="00283405" w:rsidRPr="006719F2" w:rsidRDefault="00283405" w:rsidP="006C19A4">
            <w:pPr>
              <w:spacing w:after="0" w:line="240" w:lineRule="auto"/>
              <w:rPr>
                <w:rFonts w:ascii="Times New Roman" w:hAnsi="Times New Roman"/>
                <w:sz w:val="20"/>
                <w:lang w:val="en-NZ"/>
              </w:rPr>
            </w:pPr>
            <w:r w:rsidRPr="00283405">
              <w:rPr>
                <w:rFonts w:ascii="Times New Roman" w:hAnsi="Times New Roman"/>
                <w:sz w:val="20"/>
                <w:u w:val="single"/>
                <w:lang w:val="en-NZ"/>
              </w:rPr>
              <w:t>Recommendation</w:t>
            </w:r>
            <w:r>
              <w:rPr>
                <w:rFonts w:ascii="Times New Roman" w:hAnsi="Times New Roman"/>
                <w:sz w:val="20"/>
                <w:lang w:val="en-NZ"/>
              </w:rPr>
              <w:t>: not recommended</w:t>
            </w:r>
            <w:r w:rsidR="00F50DB0">
              <w:rPr>
                <w:rFonts w:ascii="Times New Roman" w:hAnsi="Times New Roman"/>
                <w:sz w:val="20"/>
                <w:lang w:val="en-NZ"/>
              </w:rPr>
              <w:t>.</w:t>
            </w:r>
          </w:p>
        </w:tc>
      </w:tr>
      <w:tr w:rsidR="008A0123" w:rsidRPr="000E6CDD" w:rsidTr="00283405">
        <w:trPr>
          <w:trHeight w:val="175"/>
        </w:trPr>
        <w:tc>
          <w:tcPr>
            <w:tcW w:w="0" w:type="auto"/>
            <w:vMerge w:val="restart"/>
            <w:shd w:val="clear" w:color="auto" w:fill="auto"/>
            <w:vAlign w:val="center"/>
          </w:tcPr>
          <w:p w:rsidR="00283405" w:rsidRPr="000E6CDD" w:rsidRDefault="00283405">
            <w:pPr>
              <w:spacing w:after="0" w:line="240" w:lineRule="auto"/>
              <w:rPr>
                <w:rFonts w:ascii="Times New Roman" w:hAnsi="Times New Roman"/>
                <w:b/>
                <w:i/>
                <w:sz w:val="20"/>
                <w:lang w:val="en-NZ"/>
              </w:rPr>
            </w:pPr>
            <w:r>
              <w:rPr>
                <w:rFonts w:ascii="Times New Roman" w:hAnsi="Times New Roman"/>
                <w:b/>
                <w:i/>
                <w:sz w:val="20"/>
                <w:lang w:val="en-NZ"/>
              </w:rPr>
              <w:t>Seller’s conveyancing agent (e.g</w:t>
            </w:r>
            <w:r w:rsidR="005965C4">
              <w:rPr>
                <w:rFonts w:ascii="Times New Roman" w:hAnsi="Times New Roman"/>
                <w:b/>
                <w:i/>
                <w:sz w:val="20"/>
                <w:lang w:val="en-NZ"/>
              </w:rPr>
              <w:t xml:space="preserve">.  </w:t>
            </w:r>
            <w:r>
              <w:rPr>
                <w:rFonts w:ascii="Times New Roman" w:hAnsi="Times New Roman"/>
                <w:b/>
                <w:i/>
                <w:sz w:val="20"/>
                <w:lang w:val="en-NZ"/>
              </w:rPr>
              <w:t>solicitor or conveyancer)</w:t>
            </w:r>
          </w:p>
        </w:tc>
        <w:tc>
          <w:tcPr>
            <w:tcW w:w="0" w:type="auto"/>
            <w:shd w:val="clear" w:color="auto" w:fill="auto"/>
          </w:tcPr>
          <w:p w:rsidR="00283405" w:rsidRPr="009B05C8" w:rsidRDefault="00283405">
            <w:pPr>
              <w:spacing w:after="0" w:line="240" w:lineRule="auto"/>
              <w:rPr>
                <w:rFonts w:ascii="Times New Roman" w:hAnsi="Times New Roman"/>
                <w:sz w:val="20"/>
                <w:lang w:val="en-NZ"/>
              </w:rPr>
            </w:pPr>
            <w:r w:rsidRPr="006719F2">
              <w:rPr>
                <w:rFonts w:ascii="Times New Roman" w:hAnsi="Times New Roman"/>
                <w:sz w:val="20"/>
                <w:lang w:val="en-NZ"/>
              </w:rPr>
              <w:t>Could be seen as being fairer for buyers – the compliance burden and cost are legally borne by the seller (i.e</w:t>
            </w:r>
            <w:r w:rsidR="00C53F30">
              <w:rPr>
                <w:rFonts w:ascii="Times New Roman" w:hAnsi="Times New Roman"/>
                <w:sz w:val="20"/>
                <w:lang w:val="en-NZ"/>
              </w:rPr>
              <w:t>.</w:t>
            </w:r>
            <w:r w:rsidR="005965C4">
              <w:rPr>
                <w:rFonts w:ascii="Times New Roman" w:hAnsi="Times New Roman"/>
                <w:sz w:val="20"/>
                <w:lang w:val="en-NZ"/>
              </w:rPr>
              <w:t xml:space="preserve"> </w:t>
            </w:r>
            <w:r w:rsidRPr="006719F2">
              <w:rPr>
                <w:rFonts w:ascii="Times New Roman" w:hAnsi="Times New Roman"/>
                <w:sz w:val="20"/>
                <w:lang w:val="en-NZ"/>
              </w:rPr>
              <w:t>by the person wi</w:t>
            </w:r>
            <w:r>
              <w:rPr>
                <w:rFonts w:ascii="Times New Roman" w:hAnsi="Times New Roman"/>
                <w:sz w:val="20"/>
                <w:lang w:val="en-NZ"/>
              </w:rPr>
              <w:t>th the ultimate tax liability)</w:t>
            </w:r>
            <w:r w:rsidR="005965C4">
              <w:rPr>
                <w:rFonts w:ascii="Times New Roman" w:hAnsi="Times New Roman"/>
                <w:sz w:val="20"/>
                <w:lang w:val="en-NZ"/>
              </w:rPr>
              <w:t xml:space="preserve">.  </w:t>
            </w:r>
            <w:r w:rsidRPr="006719F2">
              <w:rPr>
                <w:rFonts w:ascii="Times New Roman" w:hAnsi="Times New Roman"/>
                <w:sz w:val="20"/>
                <w:lang w:val="en-NZ"/>
              </w:rPr>
              <w:t>The seller’s conveyancing agent may have more immediate access to information abou</w:t>
            </w:r>
            <w:r>
              <w:rPr>
                <w:rFonts w:ascii="Times New Roman" w:hAnsi="Times New Roman"/>
                <w:sz w:val="20"/>
                <w:lang w:val="en-NZ"/>
              </w:rPr>
              <w:t>t the seller’s offshore status</w:t>
            </w:r>
            <w:r w:rsidR="005965C4">
              <w:rPr>
                <w:rFonts w:ascii="Times New Roman" w:hAnsi="Times New Roman"/>
                <w:sz w:val="20"/>
                <w:lang w:val="en-NZ"/>
              </w:rPr>
              <w:t xml:space="preserve">.  </w:t>
            </w:r>
            <w:r w:rsidRPr="006719F2">
              <w:rPr>
                <w:rFonts w:ascii="Times New Roman" w:hAnsi="Times New Roman"/>
                <w:sz w:val="20"/>
                <w:lang w:val="en-NZ"/>
              </w:rPr>
              <w:t>The seller’s conveyancing agent deals with other expenses at the time of settlement (e.g</w:t>
            </w:r>
            <w:r w:rsidR="005965C4">
              <w:rPr>
                <w:rFonts w:ascii="Times New Roman" w:hAnsi="Times New Roman"/>
                <w:sz w:val="20"/>
                <w:lang w:val="en-NZ"/>
              </w:rPr>
              <w:t xml:space="preserve">. </w:t>
            </w:r>
            <w:r w:rsidRPr="006719F2">
              <w:rPr>
                <w:rFonts w:ascii="Times New Roman" w:hAnsi="Times New Roman"/>
                <w:sz w:val="20"/>
                <w:lang w:val="en-NZ"/>
              </w:rPr>
              <w:t>mortgage</w:t>
            </w:r>
            <w:r w:rsidR="00131302">
              <w:rPr>
                <w:rFonts w:ascii="Times New Roman" w:hAnsi="Times New Roman"/>
                <w:sz w:val="20"/>
                <w:lang w:val="en-NZ"/>
              </w:rPr>
              <w:t>s</w:t>
            </w:r>
            <w:r w:rsidRPr="006719F2">
              <w:rPr>
                <w:rFonts w:ascii="Times New Roman" w:hAnsi="Times New Roman"/>
                <w:sz w:val="20"/>
                <w:lang w:val="en-NZ"/>
              </w:rPr>
              <w:t xml:space="preserve"> and rates).</w:t>
            </w:r>
          </w:p>
        </w:tc>
        <w:tc>
          <w:tcPr>
            <w:tcW w:w="0" w:type="auto"/>
            <w:shd w:val="clear" w:color="auto" w:fill="auto"/>
          </w:tcPr>
          <w:p w:rsidR="00283405" w:rsidRPr="009B05C8" w:rsidRDefault="00283405" w:rsidP="003223CF">
            <w:pPr>
              <w:spacing w:after="0" w:line="240" w:lineRule="auto"/>
              <w:rPr>
                <w:rFonts w:ascii="Times New Roman" w:hAnsi="Times New Roman"/>
                <w:sz w:val="20"/>
                <w:lang w:val="en-NZ"/>
              </w:rPr>
            </w:pPr>
            <w:r w:rsidRPr="006719F2">
              <w:rPr>
                <w:rFonts w:ascii="Times New Roman" w:hAnsi="Times New Roman"/>
                <w:sz w:val="20"/>
                <w:lang w:val="en-NZ"/>
              </w:rPr>
              <w:t>Cont</w:t>
            </w:r>
            <w:r>
              <w:rPr>
                <w:rFonts w:ascii="Times New Roman" w:hAnsi="Times New Roman"/>
                <w:sz w:val="20"/>
                <w:lang w:val="en-NZ"/>
              </w:rPr>
              <w:t>rary to international norms and New Zealand’s current withholding taxes where the withholding liability on the payer</w:t>
            </w:r>
            <w:r w:rsidR="005965C4">
              <w:rPr>
                <w:rFonts w:ascii="Times New Roman" w:hAnsi="Times New Roman"/>
                <w:sz w:val="20"/>
                <w:lang w:val="en-NZ"/>
              </w:rPr>
              <w:t xml:space="preserve">.  </w:t>
            </w:r>
            <w:r>
              <w:rPr>
                <w:rFonts w:ascii="Times New Roman" w:hAnsi="Times New Roman"/>
                <w:sz w:val="20"/>
                <w:lang w:val="en-NZ"/>
              </w:rPr>
              <w:t>There is no “back stop” if the agent fails to withhold</w:t>
            </w:r>
            <w:r w:rsidR="005965C4">
              <w:rPr>
                <w:rFonts w:ascii="Times New Roman" w:hAnsi="Times New Roman"/>
                <w:sz w:val="20"/>
                <w:lang w:val="en-NZ"/>
              </w:rPr>
              <w:t xml:space="preserve">.  </w:t>
            </w:r>
          </w:p>
        </w:tc>
      </w:tr>
      <w:tr w:rsidR="00283405" w:rsidRPr="000E6CDD" w:rsidTr="00283405">
        <w:trPr>
          <w:trHeight w:val="175"/>
        </w:trPr>
        <w:tc>
          <w:tcPr>
            <w:tcW w:w="0" w:type="auto"/>
            <w:vMerge/>
            <w:shd w:val="clear" w:color="auto" w:fill="auto"/>
            <w:vAlign w:val="center"/>
          </w:tcPr>
          <w:p w:rsidR="00283405" w:rsidRDefault="00283405">
            <w:pPr>
              <w:spacing w:after="0" w:line="240" w:lineRule="auto"/>
              <w:rPr>
                <w:rFonts w:ascii="Times New Roman" w:hAnsi="Times New Roman"/>
                <w:b/>
                <w:i/>
                <w:sz w:val="20"/>
                <w:lang w:val="en-NZ"/>
              </w:rPr>
            </w:pPr>
          </w:p>
        </w:tc>
        <w:tc>
          <w:tcPr>
            <w:tcW w:w="0" w:type="auto"/>
            <w:gridSpan w:val="2"/>
            <w:shd w:val="clear" w:color="auto" w:fill="auto"/>
          </w:tcPr>
          <w:p w:rsidR="00283405" w:rsidRPr="006719F2" w:rsidRDefault="00283405" w:rsidP="003223CF">
            <w:pPr>
              <w:spacing w:after="0" w:line="240" w:lineRule="auto"/>
              <w:rPr>
                <w:rFonts w:ascii="Times New Roman" w:hAnsi="Times New Roman"/>
                <w:sz w:val="20"/>
                <w:lang w:val="en-NZ"/>
              </w:rPr>
            </w:pPr>
            <w:r w:rsidRPr="00283405">
              <w:rPr>
                <w:rFonts w:ascii="Times New Roman" w:hAnsi="Times New Roman"/>
                <w:sz w:val="20"/>
                <w:u w:val="single"/>
                <w:lang w:val="en-NZ"/>
              </w:rPr>
              <w:t>Recommendation</w:t>
            </w:r>
            <w:r>
              <w:rPr>
                <w:rFonts w:ascii="Times New Roman" w:hAnsi="Times New Roman"/>
                <w:sz w:val="20"/>
                <w:lang w:val="en-NZ"/>
              </w:rPr>
              <w:t>: recommended</w:t>
            </w:r>
            <w:r w:rsidR="00510102">
              <w:rPr>
                <w:rFonts w:ascii="Times New Roman" w:hAnsi="Times New Roman"/>
                <w:sz w:val="20"/>
                <w:lang w:val="en-NZ"/>
              </w:rPr>
              <w:t xml:space="preserve"> </w:t>
            </w:r>
            <w:r w:rsidR="003223CF">
              <w:rPr>
                <w:rFonts w:ascii="Times New Roman" w:hAnsi="Times New Roman"/>
                <w:sz w:val="20"/>
                <w:lang w:val="en-NZ"/>
              </w:rPr>
              <w:t>if</w:t>
            </w:r>
            <w:r w:rsidR="00510102">
              <w:rPr>
                <w:rFonts w:ascii="Times New Roman" w:hAnsi="Times New Roman"/>
                <w:sz w:val="20"/>
                <w:lang w:val="en-NZ"/>
              </w:rPr>
              <w:t xml:space="preserve"> a number of safeguards are introduced to protect the integrity of the withholding tax</w:t>
            </w:r>
            <w:r w:rsidR="00F50DB0">
              <w:rPr>
                <w:rFonts w:ascii="Times New Roman" w:hAnsi="Times New Roman"/>
                <w:sz w:val="20"/>
                <w:lang w:val="en-NZ"/>
              </w:rPr>
              <w:t>.</w:t>
            </w:r>
          </w:p>
        </w:tc>
      </w:tr>
    </w:tbl>
    <w:p w:rsidR="0005661F" w:rsidRDefault="0005661F" w:rsidP="006C19A4">
      <w:pPr>
        <w:spacing w:after="0" w:line="240" w:lineRule="auto"/>
        <w:jc w:val="both"/>
        <w:rPr>
          <w:rFonts w:ascii="Times New Roman" w:hAnsi="Times New Roman"/>
          <w:b/>
          <w:i/>
          <w:sz w:val="24"/>
          <w:szCs w:val="24"/>
          <w:lang w:val="en-AU" w:eastAsia="en-US"/>
        </w:rPr>
      </w:pPr>
    </w:p>
    <w:p w:rsidR="003B76B2" w:rsidRPr="006C19A4" w:rsidRDefault="00160987" w:rsidP="006C19A4">
      <w:pPr>
        <w:spacing w:after="0" w:line="240" w:lineRule="auto"/>
        <w:jc w:val="both"/>
        <w:rPr>
          <w:rFonts w:ascii="Times New Roman" w:hAnsi="Times New Roman"/>
          <w:b/>
          <w:i/>
          <w:sz w:val="24"/>
          <w:szCs w:val="24"/>
          <w:lang w:val="en-AU" w:eastAsia="en-US"/>
        </w:rPr>
      </w:pPr>
      <w:r>
        <w:rPr>
          <w:rFonts w:ascii="Times New Roman" w:hAnsi="Times New Roman"/>
          <w:b/>
          <w:i/>
          <w:sz w:val="24"/>
          <w:szCs w:val="24"/>
          <w:lang w:val="en-AU" w:eastAsia="en-US"/>
        </w:rPr>
        <w:t>When should the Commissioner be paid before other</w:t>
      </w:r>
      <w:r w:rsidR="00C95690" w:rsidRPr="006C19A4">
        <w:rPr>
          <w:rFonts w:ascii="Times New Roman" w:hAnsi="Times New Roman"/>
          <w:b/>
          <w:i/>
          <w:sz w:val="24"/>
          <w:szCs w:val="24"/>
          <w:lang w:val="en-AU" w:eastAsia="en-US"/>
        </w:rPr>
        <w:t xml:space="preserve"> disbursements</w:t>
      </w:r>
      <w:r>
        <w:rPr>
          <w:rFonts w:ascii="Times New Roman" w:hAnsi="Times New Roman"/>
          <w:b/>
          <w:i/>
          <w:sz w:val="24"/>
          <w:szCs w:val="24"/>
          <w:lang w:val="en-AU" w:eastAsia="en-US"/>
        </w:rPr>
        <w:t>?</w:t>
      </w:r>
    </w:p>
    <w:p w:rsidR="00C41B9B" w:rsidRDefault="00C41B9B" w:rsidP="006C19A4">
      <w:pPr>
        <w:pStyle w:val="Bullet-list"/>
        <w:spacing w:after="0" w:line="240" w:lineRule="auto"/>
        <w:ind w:left="0" w:firstLine="0"/>
        <w:jc w:val="both"/>
        <w:rPr>
          <w:rFonts w:ascii="Times New Roman" w:hAnsi="Times New Roman"/>
          <w:sz w:val="24"/>
          <w:szCs w:val="24"/>
        </w:rPr>
      </w:pPr>
    </w:p>
    <w:p w:rsidR="007F70C4" w:rsidRDefault="007F70C4" w:rsidP="007F70C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7F70C4">
        <w:rPr>
          <w:rFonts w:ascii="Times New Roman" w:hAnsi="Times New Roman"/>
          <w:sz w:val="24"/>
          <w:szCs w:val="24"/>
        </w:rPr>
        <w:t xml:space="preserve">In situations where the buyer’s </w:t>
      </w:r>
      <w:r w:rsidR="00FE4521">
        <w:rPr>
          <w:rFonts w:ascii="Times New Roman" w:hAnsi="Times New Roman"/>
          <w:sz w:val="24"/>
          <w:szCs w:val="24"/>
        </w:rPr>
        <w:t>conveyancing agent</w:t>
      </w:r>
      <w:r w:rsidRPr="007F70C4">
        <w:rPr>
          <w:rFonts w:ascii="Times New Roman" w:hAnsi="Times New Roman"/>
          <w:sz w:val="24"/>
          <w:szCs w:val="24"/>
        </w:rPr>
        <w:t xml:space="preserve"> withholds RLWT, the amount withheld would be paid to Inland Revenue and the remaining funds would then be passed to the </w:t>
      </w:r>
      <w:r w:rsidR="002D3278">
        <w:rPr>
          <w:rFonts w:ascii="Times New Roman" w:hAnsi="Times New Roman"/>
          <w:sz w:val="24"/>
          <w:szCs w:val="24"/>
        </w:rPr>
        <w:t>seller</w:t>
      </w:r>
      <w:r w:rsidRPr="007F70C4">
        <w:rPr>
          <w:rFonts w:ascii="Times New Roman" w:hAnsi="Times New Roman"/>
          <w:sz w:val="24"/>
          <w:szCs w:val="24"/>
        </w:rPr>
        <w:t xml:space="preserve">’s </w:t>
      </w:r>
      <w:r w:rsidR="00FE4521">
        <w:rPr>
          <w:rFonts w:ascii="Times New Roman" w:hAnsi="Times New Roman"/>
          <w:sz w:val="24"/>
          <w:szCs w:val="24"/>
        </w:rPr>
        <w:t>conveyancing agent</w:t>
      </w:r>
      <w:r w:rsidRPr="007F70C4">
        <w:rPr>
          <w:rFonts w:ascii="Times New Roman" w:hAnsi="Times New Roman"/>
          <w:sz w:val="24"/>
          <w:szCs w:val="24"/>
        </w:rPr>
        <w:t>, who w</w:t>
      </w:r>
      <w:r w:rsidR="00FE4521">
        <w:rPr>
          <w:rFonts w:ascii="Times New Roman" w:hAnsi="Times New Roman"/>
          <w:sz w:val="24"/>
          <w:szCs w:val="24"/>
        </w:rPr>
        <w:t>ould</w:t>
      </w:r>
      <w:r w:rsidRPr="007F70C4">
        <w:rPr>
          <w:rFonts w:ascii="Times New Roman" w:hAnsi="Times New Roman"/>
          <w:sz w:val="24"/>
          <w:szCs w:val="24"/>
        </w:rPr>
        <w:t xml:space="preserve"> use the funds to pay the </w:t>
      </w:r>
      <w:r w:rsidR="002D3278">
        <w:rPr>
          <w:rFonts w:ascii="Times New Roman" w:hAnsi="Times New Roman"/>
          <w:sz w:val="24"/>
          <w:szCs w:val="24"/>
        </w:rPr>
        <w:t>seller</w:t>
      </w:r>
      <w:r w:rsidRPr="007F70C4">
        <w:rPr>
          <w:rFonts w:ascii="Times New Roman" w:hAnsi="Times New Roman"/>
          <w:sz w:val="24"/>
          <w:szCs w:val="24"/>
        </w:rPr>
        <w:t xml:space="preserve">’s mortgages and outstanding local government rates, before paying the remaining amount to the </w:t>
      </w:r>
      <w:r w:rsidR="002D3278">
        <w:rPr>
          <w:rFonts w:ascii="Times New Roman" w:hAnsi="Times New Roman"/>
          <w:sz w:val="24"/>
          <w:szCs w:val="24"/>
        </w:rPr>
        <w:t>seller</w:t>
      </w:r>
      <w:r w:rsidRPr="007F70C4">
        <w:rPr>
          <w:rFonts w:ascii="Times New Roman" w:hAnsi="Times New Roman"/>
          <w:sz w:val="24"/>
          <w:szCs w:val="24"/>
        </w:rPr>
        <w:t xml:space="preserve">. </w:t>
      </w:r>
    </w:p>
    <w:p w:rsidR="007F70C4" w:rsidRDefault="007F70C4" w:rsidP="007F70C4">
      <w:pPr>
        <w:pStyle w:val="Bullet-list"/>
        <w:spacing w:after="0" w:line="240" w:lineRule="auto"/>
        <w:ind w:left="0" w:firstLine="0"/>
        <w:jc w:val="both"/>
        <w:rPr>
          <w:rFonts w:ascii="Times New Roman" w:hAnsi="Times New Roman"/>
          <w:sz w:val="24"/>
          <w:szCs w:val="24"/>
        </w:rPr>
      </w:pPr>
    </w:p>
    <w:p w:rsidR="007F70C4" w:rsidRDefault="007F70C4" w:rsidP="007F70C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7F70C4">
        <w:rPr>
          <w:rFonts w:ascii="Times New Roman" w:hAnsi="Times New Roman"/>
          <w:sz w:val="24"/>
          <w:szCs w:val="24"/>
        </w:rPr>
        <w:t xml:space="preserve">Where the </w:t>
      </w:r>
      <w:r w:rsidR="002D3278">
        <w:rPr>
          <w:rFonts w:ascii="Times New Roman" w:hAnsi="Times New Roman"/>
          <w:sz w:val="24"/>
          <w:szCs w:val="24"/>
        </w:rPr>
        <w:t>seller</w:t>
      </w:r>
      <w:r w:rsidRPr="007F70C4">
        <w:rPr>
          <w:rFonts w:ascii="Times New Roman" w:hAnsi="Times New Roman"/>
          <w:sz w:val="24"/>
          <w:szCs w:val="24"/>
        </w:rPr>
        <w:t xml:space="preserve">’s </w:t>
      </w:r>
      <w:r w:rsidR="00FE4521">
        <w:rPr>
          <w:rFonts w:ascii="Times New Roman" w:hAnsi="Times New Roman"/>
          <w:sz w:val="24"/>
          <w:szCs w:val="24"/>
        </w:rPr>
        <w:t>conveyancing agent</w:t>
      </w:r>
      <w:r w:rsidRPr="007F70C4">
        <w:rPr>
          <w:rFonts w:ascii="Times New Roman" w:hAnsi="Times New Roman"/>
          <w:sz w:val="24"/>
          <w:szCs w:val="24"/>
        </w:rPr>
        <w:t xml:space="preserve"> withholds RLWT, the issue of whether the withholding tax should be paid first (that is, before mortgages on the property) arises. </w:t>
      </w:r>
    </w:p>
    <w:p w:rsidR="007F70C4" w:rsidRDefault="007F70C4" w:rsidP="007F70C4">
      <w:pPr>
        <w:pStyle w:val="ListParagraph"/>
        <w:rPr>
          <w:rFonts w:ascii="Times New Roman" w:hAnsi="Times New Roman"/>
          <w:sz w:val="24"/>
          <w:szCs w:val="24"/>
        </w:rPr>
      </w:pPr>
    </w:p>
    <w:p w:rsidR="007F70C4" w:rsidRDefault="00971600" w:rsidP="007F70C4">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7F70C4">
        <w:rPr>
          <w:rFonts w:ascii="Times New Roman" w:hAnsi="Times New Roman"/>
          <w:sz w:val="24"/>
          <w:szCs w:val="24"/>
        </w:rPr>
        <w:t>The issues paper proposed that the</w:t>
      </w:r>
      <w:r w:rsidR="00FA5C4B" w:rsidRPr="007F70C4">
        <w:rPr>
          <w:rFonts w:ascii="Times New Roman" w:hAnsi="Times New Roman"/>
          <w:sz w:val="24"/>
          <w:szCs w:val="24"/>
        </w:rPr>
        <w:t xml:space="preserve"> Commissioner should </w:t>
      </w:r>
      <w:r w:rsidR="00160987">
        <w:rPr>
          <w:rFonts w:ascii="Times New Roman" w:hAnsi="Times New Roman"/>
          <w:sz w:val="24"/>
          <w:szCs w:val="24"/>
        </w:rPr>
        <w:t>be paid before</w:t>
      </w:r>
      <w:r w:rsidR="00FA5C4B" w:rsidRPr="007F70C4">
        <w:rPr>
          <w:rFonts w:ascii="Times New Roman" w:hAnsi="Times New Roman"/>
          <w:sz w:val="24"/>
          <w:szCs w:val="24"/>
        </w:rPr>
        <w:t xml:space="preserve"> other disbursements.</w:t>
      </w:r>
    </w:p>
    <w:p w:rsidR="009B2908" w:rsidRDefault="009B2908" w:rsidP="009B2908">
      <w:pPr>
        <w:pStyle w:val="ListParagraph"/>
        <w:rPr>
          <w:rFonts w:ascii="Times New Roman" w:hAnsi="Times New Roman"/>
          <w:sz w:val="24"/>
          <w:szCs w:val="24"/>
        </w:rPr>
      </w:pPr>
    </w:p>
    <w:p w:rsidR="009B2908" w:rsidRDefault="009B2908" w:rsidP="009B2908">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9B2908">
        <w:rPr>
          <w:rFonts w:ascii="Times New Roman" w:hAnsi="Times New Roman"/>
          <w:sz w:val="24"/>
          <w:szCs w:val="24"/>
        </w:rPr>
        <w:t xml:space="preserve">If withholding tax is collected first, this would be consistent with the situation where the buyer’s </w:t>
      </w:r>
      <w:r w:rsidR="00C531C8">
        <w:rPr>
          <w:rFonts w:ascii="Times New Roman" w:hAnsi="Times New Roman"/>
          <w:sz w:val="24"/>
          <w:szCs w:val="24"/>
        </w:rPr>
        <w:t>conveyancing agent</w:t>
      </w:r>
      <w:r w:rsidRPr="009B2908">
        <w:rPr>
          <w:rFonts w:ascii="Times New Roman" w:hAnsi="Times New Roman"/>
          <w:sz w:val="24"/>
          <w:szCs w:val="24"/>
        </w:rPr>
        <w:t xml:space="preserve"> withholds RLWT.</w:t>
      </w:r>
      <w:r w:rsidR="001C15BF">
        <w:rPr>
          <w:rFonts w:ascii="Times New Roman" w:hAnsi="Times New Roman"/>
          <w:sz w:val="24"/>
          <w:szCs w:val="24"/>
        </w:rPr>
        <w:t xml:space="preserve"> </w:t>
      </w:r>
      <w:r w:rsidRPr="009B2908">
        <w:rPr>
          <w:rFonts w:ascii="Times New Roman" w:hAnsi="Times New Roman"/>
          <w:sz w:val="24"/>
          <w:szCs w:val="24"/>
        </w:rPr>
        <w:t xml:space="preserve"> </w:t>
      </w:r>
      <w:r w:rsidRPr="005935A8">
        <w:rPr>
          <w:rFonts w:ascii="Times New Roman" w:hAnsi="Times New Roman"/>
          <w:sz w:val="24"/>
          <w:szCs w:val="24"/>
        </w:rPr>
        <w:t>It also provides the same result as other withholding taxes such as PAYE, as tax is withheld by the payer before the payee receives the balance.</w:t>
      </w:r>
      <w:r w:rsidR="001C15BF">
        <w:rPr>
          <w:rFonts w:ascii="Times New Roman" w:hAnsi="Times New Roman"/>
          <w:sz w:val="24"/>
          <w:szCs w:val="24"/>
        </w:rPr>
        <w:t xml:space="preserve"> </w:t>
      </w:r>
    </w:p>
    <w:p w:rsidR="009B2908" w:rsidRDefault="009B2908" w:rsidP="009B2908">
      <w:pPr>
        <w:pStyle w:val="ListParagraph"/>
        <w:rPr>
          <w:rFonts w:ascii="Times New Roman" w:hAnsi="Times New Roman"/>
          <w:sz w:val="24"/>
          <w:szCs w:val="24"/>
        </w:rPr>
      </w:pPr>
    </w:p>
    <w:p w:rsidR="009B2908" w:rsidRDefault="009B2908" w:rsidP="009B2908">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7F70C4">
        <w:rPr>
          <w:rFonts w:ascii="Times New Roman" w:hAnsi="Times New Roman"/>
          <w:sz w:val="24"/>
          <w:szCs w:val="24"/>
        </w:rPr>
        <w:t>If withholding tax is not collected first, there would be an incentive for an offshore seller to effectively strip out the profits from the sale by increasing their mortgage prior to the sale in order to avoid payment of RLWT.  This may be particularly problematic where the mortgagee is an overseas lender, as in those situations</w:t>
      </w:r>
      <w:r w:rsidR="001C15BF">
        <w:rPr>
          <w:rFonts w:ascii="Times New Roman" w:hAnsi="Times New Roman"/>
          <w:sz w:val="24"/>
          <w:szCs w:val="24"/>
        </w:rPr>
        <w:t>,</w:t>
      </w:r>
      <w:r w:rsidRPr="007F70C4">
        <w:rPr>
          <w:rFonts w:ascii="Times New Roman" w:hAnsi="Times New Roman"/>
          <w:sz w:val="24"/>
          <w:szCs w:val="24"/>
        </w:rPr>
        <w:t xml:space="preserve"> New Zealand Reserve Bank lending ratios will not be relevant.  </w:t>
      </w:r>
    </w:p>
    <w:p w:rsidR="009B2908" w:rsidRDefault="009B2908" w:rsidP="009B2908">
      <w:pPr>
        <w:pStyle w:val="ListParagraph"/>
        <w:rPr>
          <w:rFonts w:ascii="Times New Roman" w:hAnsi="Times New Roman"/>
          <w:sz w:val="24"/>
          <w:szCs w:val="24"/>
        </w:rPr>
      </w:pPr>
    </w:p>
    <w:p w:rsidR="009B2908" w:rsidRDefault="009B2908" w:rsidP="009B2908">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286880">
        <w:rPr>
          <w:rFonts w:ascii="Times New Roman" w:hAnsi="Times New Roman"/>
          <w:sz w:val="24"/>
          <w:szCs w:val="24"/>
        </w:rPr>
        <w:t xml:space="preserve">Where there is a resulting unpaid tax liability, this behaviour could be subject to penalties for tax evasion.  </w:t>
      </w:r>
      <w:r w:rsidR="001468DD">
        <w:rPr>
          <w:rFonts w:ascii="Times New Roman" w:hAnsi="Times New Roman"/>
          <w:sz w:val="24"/>
          <w:szCs w:val="24"/>
        </w:rPr>
        <w:t>However,</w:t>
      </w:r>
      <w:r w:rsidRPr="00286880">
        <w:rPr>
          <w:rFonts w:ascii="Times New Roman" w:hAnsi="Times New Roman"/>
          <w:sz w:val="24"/>
          <w:szCs w:val="24"/>
        </w:rPr>
        <w:t xml:space="preserve"> because the offshore person is unlikely to have any presence in New Zealand, </w:t>
      </w:r>
      <w:r w:rsidR="008E5B79">
        <w:rPr>
          <w:rFonts w:ascii="Times New Roman" w:hAnsi="Times New Roman"/>
          <w:sz w:val="24"/>
          <w:szCs w:val="24"/>
        </w:rPr>
        <w:t>the Commissioner</w:t>
      </w:r>
      <w:r w:rsidRPr="00286880">
        <w:rPr>
          <w:rFonts w:ascii="Times New Roman" w:hAnsi="Times New Roman"/>
          <w:sz w:val="24"/>
          <w:szCs w:val="24"/>
        </w:rPr>
        <w:t xml:space="preserve"> would need to rely on the existing rules for collecting tax.  Under these rules it is more difficult to collect tax from offshore persons.  Accordingly, if RLWT is not collected in these situations then the objective of the RLWT rules is significantly undermined.</w:t>
      </w:r>
    </w:p>
    <w:p w:rsidR="0016652E" w:rsidRPr="007F70C4" w:rsidRDefault="0016652E">
      <w:pPr>
        <w:pStyle w:val="ListParagraph"/>
        <w:rPr>
          <w:rFonts w:ascii="Times New Roman" w:hAnsi="Times New Roman"/>
          <w:sz w:val="24"/>
          <w:szCs w:val="24"/>
        </w:rPr>
      </w:pPr>
    </w:p>
    <w:p w:rsidR="00C63EC3" w:rsidRDefault="002D6128" w:rsidP="00EB3175">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Therefore</w:t>
      </w:r>
      <w:r w:rsidR="00C63EC3" w:rsidRPr="00C63EC3">
        <w:rPr>
          <w:rFonts w:ascii="Times New Roman" w:hAnsi="Times New Roman"/>
          <w:sz w:val="24"/>
          <w:szCs w:val="24"/>
        </w:rPr>
        <w:t xml:space="preserve"> </w:t>
      </w:r>
      <w:r w:rsidR="005B568F">
        <w:rPr>
          <w:rFonts w:ascii="Times New Roman" w:hAnsi="Times New Roman"/>
          <w:sz w:val="24"/>
          <w:szCs w:val="24"/>
        </w:rPr>
        <w:t xml:space="preserve">Inland </w:t>
      </w:r>
      <w:r w:rsidR="00C63EC3" w:rsidRPr="00C63EC3">
        <w:rPr>
          <w:rFonts w:ascii="Times New Roman" w:hAnsi="Times New Roman"/>
          <w:sz w:val="24"/>
          <w:szCs w:val="24"/>
        </w:rPr>
        <w:t>Revenue’s preferred approach</w:t>
      </w:r>
      <w:r w:rsidR="009B2908">
        <w:rPr>
          <w:rFonts w:ascii="Times New Roman" w:hAnsi="Times New Roman"/>
          <w:sz w:val="24"/>
          <w:szCs w:val="24"/>
        </w:rPr>
        <w:t xml:space="preserve"> is for</w:t>
      </w:r>
      <w:r w:rsidR="009B2908" w:rsidRPr="00C63EC3">
        <w:rPr>
          <w:rFonts w:ascii="Times New Roman" w:hAnsi="Times New Roman"/>
          <w:sz w:val="24"/>
          <w:szCs w:val="24"/>
        </w:rPr>
        <w:t xml:space="preserve"> the Commissioner </w:t>
      </w:r>
      <w:r w:rsidR="009B2908">
        <w:rPr>
          <w:rFonts w:ascii="Times New Roman" w:hAnsi="Times New Roman"/>
          <w:sz w:val="24"/>
          <w:szCs w:val="24"/>
        </w:rPr>
        <w:t>to</w:t>
      </w:r>
      <w:r w:rsidR="009B2908" w:rsidRPr="00C63EC3">
        <w:rPr>
          <w:rFonts w:ascii="Times New Roman" w:hAnsi="Times New Roman"/>
          <w:sz w:val="24"/>
          <w:szCs w:val="24"/>
        </w:rPr>
        <w:t xml:space="preserve"> </w:t>
      </w:r>
      <w:r w:rsidR="00160987">
        <w:rPr>
          <w:rFonts w:ascii="Times New Roman" w:hAnsi="Times New Roman"/>
          <w:sz w:val="24"/>
          <w:szCs w:val="24"/>
        </w:rPr>
        <w:t>be paid before</w:t>
      </w:r>
      <w:r w:rsidR="009B2908" w:rsidRPr="00C63EC3">
        <w:rPr>
          <w:rFonts w:ascii="Times New Roman" w:hAnsi="Times New Roman"/>
          <w:sz w:val="24"/>
          <w:szCs w:val="24"/>
        </w:rPr>
        <w:t xml:space="preserve"> other disbursements</w:t>
      </w:r>
      <w:r w:rsidR="00C63EC3" w:rsidRPr="00C63EC3">
        <w:rPr>
          <w:rFonts w:ascii="Times New Roman" w:hAnsi="Times New Roman"/>
          <w:sz w:val="24"/>
          <w:szCs w:val="24"/>
        </w:rPr>
        <w:t>, as it is (in substance) consistent with other withholding taxes and it would be the most effective approach from an integrity perspective.</w:t>
      </w:r>
    </w:p>
    <w:p w:rsidR="00C63EC3" w:rsidRDefault="00C63EC3" w:rsidP="00EB3175">
      <w:pPr>
        <w:pStyle w:val="Bullet-list"/>
        <w:spacing w:after="0" w:line="240" w:lineRule="auto"/>
        <w:ind w:left="0" w:firstLine="0"/>
        <w:jc w:val="both"/>
        <w:rPr>
          <w:rFonts w:ascii="Times New Roman" w:hAnsi="Times New Roman"/>
          <w:sz w:val="24"/>
          <w:szCs w:val="24"/>
        </w:rPr>
      </w:pPr>
    </w:p>
    <w:p w:rsidR="003F259E" w:rsidRPr="006C3992" w:rsidRDefault="009B2908" w:rsidP="00EB3175">
      <w:pPr>
        <w:pStyle w:val="Bullet-list"/>
        <w:numPr>
          <w:ilvl w:val="0"/>
          <w:numId w:val="3"/>
        </w:numPr>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However, s</w:t>
      </w:r>
      <w:r w:rsidR="003F259E" w:rsidRPr="007F70C4">
        <w:rPr>
          <w:rFonts w:ascii="Times New Roman" w:hAnsi="Times New Roman"/>
          <w:sz w:val="24"/>
          <w:szCs w:val="24"/>
        </w:rPr>
        <w:t>ubmitters</w:t>
      </w:r>
      <w:r w:rsidR="001468DD">
        <w:rPr>
          <w:rFonts w:ascii="Times New Roman" w:hAnsi="Times New Roman"/>
          <w:sz w:val="24"/>
          <w:szCs w:val="24"/>
        </w:rPr>
        <w:t xml:space="preserve"> on the officials’ issues paper</w:t>
      </w:r>
      <w:r w:rsidR="003F259E" w:rsidRPr="007F70C4">
        <w:rPr>
          <w:rFonts w:ascii="Times New Roman" w:hAnsi="Times New Roman"/>
          <w:sz w:val="24"/>
          <w:szCs w:val="24"/>
        </w:rPr>
        <w:t xml:space="preserve"> considered that the Commissioner should </w:t>
      </w:r>
      <w:r w:rsidR="00160987">
        <w:rPr>
          <w:rFonts w:ascii="Times New Roman" w:hAnsi="Times New Roman"/>
          <w:sz w:val="24"/>
          <w:szCs w:val="24"/>
        </w:rPr>
        <w:t>not be paid before</w:t>
      </w:r>
      <w:r w:rsidR="003F259E" w:rsidRPr="007F70C4">
        <w:rPr>
          <w:rFonts w:ascii="Times New Roman" w:hAnsi="Times New Roman"/>
          <w:sz w:val="24"/>
          <w:szCs w:val="24"/>
        </w:rPr>
        <w:t xml:space="preserve"> the seller’s other creditors.  Their reasons centred on the fact that it could leave insufficient funds to discharge the seller’s mortgage, resulting in </w:t>
      </w:r>
      <w:r w:rsidR="003F259E" w:rsidRPr="007F70C4">
        <w:rPr>
          <w:rFonts w:ascii="Times New Roman" w:hAnsi="Times New Roman"/>
          <w:sz w:val="24"/>
          <w:szCs w:val="24"/>
          <w:lang w:val="en-NZ"/>
        </w:rPr>
        <w:t>delays in settlement, or prevent settlement from occurring in some cases.</w:t>
      </w:r>
      <w:r w:rsidR="006C3992">
        <w:rPr>
          <w:rFonts w:ascii="Times New Roman" w:hAnsi="Times New Roman"/>
          <w:sz w:val="24"/>
          <w:szCs w:val="24"/>
          <w:lang w:val="en-NZ"/>
        </w:rPr>
        <w:t xml:space="preserve"> </w:t>
      </w:r>
      <w:r w:rsidR="003F259E" w:rsidRPr="007F70C4">
        <w:rPr>
          <w:rFonts w:ascii="Times New Roman" w:hAnsi="Times New Roman"/>
          <w:sz w:val="24"/>
          <w:szCs w:val="24"/>
          <w:lang w:val="en-NZ"/>
        </w:rPr>
        <w:t xml:space="preserve"> </w:t>
      </w:r>
      <w:r w:rsidR="003F259E" w:rsidRPr="006C3992">
        <w:rPr>
          <w:rFonts w:ascii="Times New Roman" w:hAnsi="Times New Roman"/>
          <w:sz w:val="24"/>
          <w:szCs w:val="24"/>
          <w:lang w:val="en-NZ"/>
        </w:rPr>
        <w:t xml:space="preserve">Submitters also noted that income tax does not usually have priority in circumstances of liquidation.  However, </w:t>
      </w:r>
      <w:r w:rsidR="00286880" w:rsidRPr="006C3992">
        <w:rPr>
          <w:rFonts w:ascii="Times New Roman" w:hAnsi="Times New Roman"/>
          <w:sz w:val="24"/>
          <w:szCs w:val="24"/>
          <w:lang w:val="en-NZ"/>
        </w:rPr>
        <w:t>officials</w:t>
      </w:r>
      <w:r w:rsidR="003F259E" w:rsidRPr="006C3992">
        <w:rPr>
          <w:rFonts w:ascii="Times New Roman" w:hAnsi="Times New Roman"/>
          <w:sz w:val="24"/>
          <w:szCs w:val="24"/>
        </w:rPr>
        <w:t xml:space="preserve"> consider that the better comparison </w:t>
      </w:r>
      <w:r w:rsidRPr="006C3992">
        <w:rPr>
          <w:rFonts w:ascii="Times New Roman" w:hAnsi="Times New Roman"/>
          <w:sz w:val="24"/>
          <w:szCs w:val="24"/>
        </w:rPr>
        <w:t xml:space="preserve">in this context </w:t>
      </w:r>
      <w:r w:rsidR="003F259E" w:rsidRPr="006C3992">
        <w:rPr>
          <w:rFonts w:ascii="Times New Roman" w:hAnsi="Times New Roman"/>
          <w:sz w:val="24"/>
          <w:szCs w:val="24"/>
        </w:rPr>
        <w:t>is with other types of withholding taxes</w:t>
      </w:r>
      <w:r w:rsidR="00286880" w:rsidRPr="006C3992">
        <w:rPr>
          <w:rFonts w:ascii="Times New Roman" w:hAnsi="Times New Roman"/>
          <w:sz w:val="24"/>
          <w:szCs w:val="24"/>
        </w:rPr>
        <w:t>,</w:t>
      </w:r>
      <w:r w:rsidR="003F259E" w:rsidRPr="006C3992">
        <w:rPr>
          <w:rFonts w:ascii="Times New Roman" w:hAnsi="Times New Roman"/>
          <w:sz w:val="24"/>
          <w:szCs w:val="24"/>
        </w:rPr>
        <w:t xml:space="preserve"> which are paid first.  </w:t>
      </w:r>
    </w:p>
    <w:p w:rsidR="003F259E" w:rsidRDefault="003F259E" w:rsidP="00286880">
      <w:pPr>
        <w:pStyle w:val="Bullet-list"/>
        <w:spacing w:after="0" w:line="240" w:lineRule="auto"/>
        <w:ind w:left="0" w:firstLine="0"/>
        <w:jc w:val="both"/>
        <w:rPr>
          <w:rFonts w:ascii="Times New Roman" w:hAnsi="Times New Roman"/>
          <w:sz w:val="24"/>
          <w:szCs w:val="24"/>
          <w:lang w:val="en-NZ"/>
        </w:rPr>
      </w:pPr>
    </w:p>
    <w:p w:rsidR="00C63EC3" w:rsidRDefault="00C63EC3" w:rsidP="002868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lang w:val="en-NZ"/>
        </w:rPr>
      </w:pPr>
      <w:r>
        <w:rPr>
          <w:rFonts w:ascii="Times New Roman" w:hAnsi="Times New Roman"/>
          <w:sz w:val="24"/>
          <w:szCs w:val="24"/>
          <w:lang w:val="en-NZ"/>
        </w:rPr>
        <w:t xml:space="preserve">Officials </w:t>
      </w:r>
      <w:r w:rsidR="003F259E">
        <w:rPr>
          <w:rFonts w:ascii="Times New Roman" w:hAnsi="Times New Roman"/>
          <w:sz w:val="24"/>
          <w:szCs w:val="24"/>
          <w:lang w:val="en-NZ"/>
        </w:rPr>
        <w:t xml:space="preserve">were asked to </w:t>
      </w:r>
      <w:r>
        <w:rPr>
          <w:rFonts w:ascii="Times New Roman" w:hAnsi="Times New Roman"/>
          <w:sz w:val="24"/>
          <w:szCs w:val="24"/>
          <w:lang w:val="en-NZ"/>
        </w:rPr>
        <w:t xml:space="preserve">consider alternative options </w:t>
      </w:r>
      <w:r w:rsidR="00D22059">
        <w:rPr>
          <w:rFonts w:ascii="Times New Roman" w:hAnsi="Times New Roman"/>
          <w:sz w:val="24"/>
          <w:szCs w:val="24"/>
          <w:lang w:val="en-NZ"/>
        </w:rPr>
        <w:t>to address</w:t>
      </w:r>
      <w:r>
        <w:rPr>
          <w:rFonts w:ascii="Times New Roman" w:hAnsi="Times New Roman"/>
          <w:sz w:val="24"/>
          <w:szCs w:val="24"/>
          <w:lang w:val="en-NZ"/>
        </w:rPr>
        <w:t xml:space="preserve"> submitters’ concerns while still providing an acceptable level of integrity.  </w:t>
      </w:r>
    </w:p>
    <w:p w:rsidR="00C63EC3" w:rsidRDefault="00C63EC3" w:rsidP="00286880">
      <w:pPr>
        <w:pStyle w:val="ListParagraph"/>
        <w:rPr>
          <w:rFonts w:ascii="Times New Roman" w:hAnsi="Times New Roman"/>
          <w:sz w:val="24"/>
          <w:szCs w:val="24"/>
        </w:rPr>
      </w:pPr>
    </w:p>
    <w:p w:rsidR="009B2908" w:rsidRPr="00EB3175" w:rsidRDefault="009B2908" w:rsidP="009B2908">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lang w:val="en-NZ"/>
        </w:rPr>
      </w:pPr>
      <w:r w:rsidRPr="00286880">
        <w:rPr>
          <w:rFonts w:ascii="Times New Roman" w:hAnsi="Times New Roman"/>
          <w:sz w:val="24"/>
          <w:szCs w:val="24"/>
          <w:lang w:val="en-NZ"/>
        </w:rPr>
        <w:t>An option suggested by</w:t>
      </w:r>
      <w:r w:rsidR="006C3992">
        <w:rPr>
          <w:rFonts w:ascii="Times New Roman" w:hAnsi="Times New Roman"/>
          <w:sz w:val="24"/>
          <w:szCs w:val="24"/>
          <w:lang w:val="en-NZ"/>
        </w:rPr>
        <w:t xml:space="preserve"> one</w:t>
      </w:r>
      <w:r w:rsidRPr="00286880">
        <w:rPr>
          <w:rFonts w:ascii="Times New Roman" w:hAnsi="Times New Roman"/>
          <w:sz w:val="24"/>
          <w:szCs w:val="24"/>
          <w:lang w:val="en-NZ"/>
        </w:rPr>
        <w:t xml:space="preserve"> submitter was for </w:t>
      </w:r>
      <w:r w:rsidRPr="00286880">
        <w:rPr>
          <w:rFonts w:ascii="Times New Roman" w:hAnsi="Times New Roman"/>
          <w:sz w:val="24"/>
          <w:szCs w:val="24"/>
        </w:rPr>
        <w:t xml:space="preserve">RLWT to </w:t>
      </w:r>
      <w:r w:rsidR="001C3580">
        <w:rPr>
          <w:rFonts w:ascii="Times New Roman" w:hAnsi="Times New Roman"/>
          <w:sz w:val="24"/>
          <w:szCs w:val="24"/>
        </w:rPr>
        <w:t>be paid first</w:t>
      </w:r>
      <w:r w:rsidRPr="00286880">
        <w:rPr>
          <w:rFonts w:ascii="Times New Roman" w:hAnsi="Times New Roman"/>
          <w:sz w:val="24"/>
          <w:szCs w:val="24"/>
        </w:rPr>
        <w:t xml:space="preserve">, but the mortgagee releases title on the basis that when </w:t>
      </w:r>
      <w:r w:rsidR="006C3992">
        <w:rPr>
          <w:rFonts w:ascii="Times New Roman" w:hAnsi="Times New Roman"/>
          <w:sz w:val="24"/>
          <w:szCs w:val="24"/>
        </w:rPr>
        <w:t>the seller’s ultimate tax liability in relation to the sale is calculated</w:t>
      </w:r>
      <w:r w:rsidRPr="00286880">
        <w:rPr>
          <w:rFonts w:ascii="Times New Roman" w:hAnsi="Times New Roman"/>
          <w:sz w:val="24"/>
          <w:szCs w:val="24"/>
        </w:rPr>
        <w:t>, Inland Revenue could</w:t>
      </w:r>
      <w:r w:rsidR="006C3992">
        <w:rPr>
          <w:rFonts w:ascii="Times New Roman" w:hAnsi="Times New Roman"/>
          <w:sz w:val="24"/>
          <w:szCs w:val="24"/>
        </w:rPr>
        <w:t xml:space="preserve"> repay the amount of overpaid tax directly to</w:t>
      </w:r>
      <w:r w:rsidRPr="00286880">
        <w:rPr>
          <w:rFonts w:ascii="Times New Roman" w:hAnsi="Times New Roman"/>
          <w:sz w:val="24"/>
          <w:szCs w:val="24"/>
        </w:rPr>
        <w:t xml:space="preserve"> the mortgagee.  Under this approach, the mortgagee would effectively step into the shoes of the </w:t>
      </w:r>
      <w:r w:rsidR="002D3278">
        <w:rPr>
          <w:rFonts w:ascii="Times New Roman" w:hAnsi="Times New Roman"/>
          <w:sz w:val="24"/>
          <w:szCs w:val="24"/>
        </w:rPr>
        <w:t>selle</w:t>
      </w:r>
      <w:r w:rsidRPr="00286880">
        <w:rPr>
          <w:rFonts w:ascii="Times New Roman" w:hAnsi="Times New Roman"/>
          <w:sz w:val="24"/>
          <w:szCs w:val="24"/>
        </w:rPr>
        <w:t xml:space="preserve">r.  </w:t>
      </w:r>
      <w:r w:rsidR="00461D3A" w:rsidRPr="005935A8">
        <w:rPr>
          <w:rFonts w:ascii="Times New Roman" w:hAnsi="Times New Roman"/>
          <w:sz w:val="24"/>
          <w:szCs w:val="24"/>
        </w:rPr>
        <w:t>This could involve relatively high administrative and compliance costs</w:t>
      </w:r>
      <w:r w:rsidR="00461D3A">
        <w:rPr>
          <w:rFonts w:ascii="Times New Roman" w:hAnsi="Times New Roman"/>
          <w:sz w:val="24"/>
          <w:szCs w:val="24"/>
        </w:rPr>
        <w:t xml:space="preserve">.  </w:t>
      </w:r>
      <w:r w:rsidRPr="00286880">
        <w:rPr>
          <w:rFonts w:ascii="Times New Roman" w:hAnsi="Times New Roman"/>
          <w:sz w:val="24"/>
          <w:szCs w:val="24"/>
        </w:rPr>
        <w:t xml:space="preserve">There would need to be criteria for Inland Revenue to determine whether the refund should be </w:t>
      </w:r>
      <w:r>
        <w:rPr>
          <w:rFonts w:ascii="Times New Roman" w:hAnsi="Times New Roman"/>
          <w:sz w:val="24"/>
          <w:szCs w:val="24"/>
        </w:rPr>
        <w:t>provided</w:t>
      </w:r>
      <w:r w:rsidRPr="00286880">
        <w:rPr>
          <w:rFonts w:ascii="Times New Roman" w:hAnsi="Times New Roman"/>
          <w:sz w:val="24"/>
          <w:szCs w:val="24"/>
        </w:rPr>
        <w:t xml:space="preserve"> to the mortgagee</w:t>
      </w:r>
      <w:r w:rsidR="00645D2F">
        <w:rPr>
          <w:rFonts w:ascii="Times New Roman" w:hAnsi="Times New Roman"/>
          <w:sz w:val="24"/>
          <w:szCs w:val="24"/>
        </w:rPr>
        <w:t>, for example,</w:t>
      </w:r>
      <w:r>
        <w:rPr>
          <w:rFonts w:ascii="Times New Roman" w:hAnsi="Times New Roman"/>
          <w:sz w:val="24"/>
          <w:szCs w:val="24"/>
        </w:rPr>
        <w:t xml:space="preserve"> on the basis that the </w:t>
      </w:r>
      <w:r w:rsidR="002D3278">
        <w:rPr>
          <w:rFonts w:ascii="Times New Roman" w:hAnsi="Times New Roman"/>
          <w:sz w:val="24"/>
          <w:szCs w:val="24"/>
        </w:rPr>
        <w:t>selle</w:t>
      </w:r>
      <w:r>
        <w:rPr>
          <w:rFonts w:ascii="Times New Roman" w:hAnsi="Times New Roman"/>
          <w:sz w:val="24"/>
          <w:szCs w:val="24"/>
        </w:rPr>
        <w:t xml:space="preserve">r has no ultimate tax liability, or that Inland Revenue has determined that there is no abuse. Further, it may be difficult to implement </w:t>
      </w:r>
      <w:r w:rsidRPr="00286880">
        <w:rPr>
          <w:rFonts w:ascii="Times New Roman" w:hAnsi="Times New Roman"/>
          <w:sz w:val="24"/>
          <w:szCs w:val="24"/>
        </w:rPr>
        <w:t xml:space="preserve">as the mortgagee may not have sufficient information about the </w:t>
      </w:r>
      <w:r w:rsidR="002D3278">
        <w:rPr>
          <w:rFonts w:ascii="Times New Roman" w:hAnsi="Times New Roman"/>
          <w:sz w:val="24"/>
          <w:szCs w:val="24"/>
        </w:rPr>
        <w:t>selle</w:t>
      </w:r>
      <w:r w:rsidRPr="00286880">
        <w:rPr>
          <w:rFonts w:ascii="Times New Roman" w:hAnsi="Times New Roman"/>
          <w:sz w:val="24"/>
          <w:szCs w:val="24"/>
        </w:rPr>
        <w:t>r</w:t>
      </w:r>
      <w:r>
        <w:rPr>
          <w:rFonts w:ascii="Times New Roman" w:hAnsi="Times New Roman"/>
          <w:sz w:val="24"/>
          <w:szCs w:val="24"/>
        </w:rPr>
        <w:t xml:space="preserve"> in order</w:t>
      </w:r>
      <w:r w:rsidRPr="003F259E">
        <w:rPr>
          <w:rFonts w:ascii="Times New Roman" w:hAnsi="Times New Roman"/>
          <w:sz w:val="24"/>
          <w:szCs w:val="24"/>
        </w:rPr>
        <w:t xml:space="preserve"> to claim the refund</w:t>
      </w:r>
      <w:r>
        <w:rPr>
          <w:rFonts w:ascii="Times New Roman" w:hAnsi="Times New Roman"/>
          <w:sz w:val="24"/>
          <w:szCs w:val="24"/>
        </w:rPr>
        <w:t xml:space="preserve"> from Inland Revenue</w:t>
      </w:r>
      <w:r w:rsidRPr="003F259E">
        <w:rPr>
          <w:rFonts w:ascii="Times New Roman" w:hAnsi="Times New Roman"/>
          <w:sz w:val="24"/>
          <w:szCs w:val="24"/>
        </w:rPr>
        <w:t>.</w:t>
      </w:r>
      <w:r>
        <w:rPr>
          <w:rFonts w:ascii="Times New Roman" w:hAnsi="Times New Roman"/>
          <w:sz w:val="24"/>
          <w:szCs w:val="24"/>
        </w:rPr>
        <w:t xml:space="preserve">  </w:t>
      </w:r>
    </w:p>
    <w:p w:rsidR="009B2908" w:rsidRDefault="009B2908" w:rsidP="00EB3175">
      <w:pPr>
        <w:pStyle w:val="ListParagraph"/>
        <w:rPr>
          <w:rFonts w:ascii="Times New Roman" w:hAnsi="Times New Roman"/>
          <w:sz w:val="24"/>
          <w:szCs w:val="24"/>
        </w:rPr>
      </w:pPr>
    </w:p>
    <w:p w:rsidR="00C63EC3" w:rsidRDefault="009B2908" w:rsidP="00EB3175">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lang w:val="en-NZ"/>
        </w:rPr>
      </w:pPr>
      <w:r>
        <w:rPr>
          <w:rFonts w:ascii="Times New Roman" w:hAnsi="Times New Roman"/>
          <w:sz w:val="24"/>
          <w:szCs w:val="24"/>
          <w:lang w:val="en-NZ"/>
        </w:rPr>
        <w:t xml:space="preserve">Officials considered whether specific </w:t>
      </w:r>
      <w:r w:rsidR="00142ACF" w:rsidRPr="00286880">
        <w:rPr>
          <w:rFonts w:ascii="Times New Roman" w:hAnsi="Times New Roman"/>
          <w:sz w:val="24"/>
          <w:szCs w:val="24"/>
        </w:rPr>
        <w:t>anti-</w:t>
      </w:r>
      <w:r w:rsidR="00142ACF" w:rsidRPr="009B2908">
        <w:rPr>
          <w:rFonts w:ascii="Times New Roman" w:hAnsi="Times New Roman"/>
          <w:sz w:val="24"/>
          <w:szCs w:val="24"/>
        </w:rPr>
        <w:t xml:space="preserve">abuse rules </w:t>
      </w:r>
      <w:r w:rsidRPr="009B2908">
        <w:rPr>
          <w:rFonts w:ascii="Times New Roman" w:hAnsi="Times New Roman"/>
          <w:sz w:val="24"/>
          <w:szCs w:val="24"/>
        </w:rPr>
        <w:t xml:space="preserve">could </w:t>
      </w:r>
      <w:r w:rsidR="00E41BE7" w:rsidRPr="009B2908">
        <w:rPr>
          <w:rFonts w:ascii="Times New Roman" w:hAnsi="Times New Roman"/>
          <w:sz w:val="24"/>
          <w:szCs w:val="24"/>
        </w:rPr>
        <w:t>target avoidance situations</w:t>
      </w:r>
      <w:r w:rsidR="00645D2F">
        <w:rPr>
          <w:rFonts w:ascii="Times New Roman" w:hAnsi="Times New Roman"/>
          <w:sz w:val="24"/>
          <w:szCs w:val="24"/>
        </w:rPr>
        <w:t xml:space="preserve">, for example, </w:t>
      </w:r>
      <w:r w:rsidR="00E41BE7" w:rsidRPr="009B2908">
        <w:rPr>
          <w:rFonts w:ascii="Times New Roman" w:hAnsi="Times New Roman"/>
          <w:sz w:val="24"/>
          <w:szCs w:val="24"/>
          <w:lang w:val="en-NZ"/>
        </w:rPr>
        <w:t xml:space="preserve">requiring </w:t>
      </w:r>
      <w:r w:rsidR="001C3580">
        <w:rPr>
          <w:rFonts w:ascii="Times New Roman" w:hAnsi="Times New Roman"/>
          <w:sz w:val="24"/>
          <w:szCs w:val="24"/>
          <w:lang w:val="en-NZ"/>
        </w:rPr>
        <w:t>RLWT to be paid before other disbursements</w:t>
      </w:r>
      <w:r w:rsidR="001C3580" w:rsidRPr="009B2908">
        <w:rPr>
          <w:rFonts w:ascii="Times New Roman" w:hAnsi="Times New Roman"/>
          <w:sz w:val="24"/>
          <w:szCs w:val="24"/>
          <w:lang w:val="en-NZ"/>
        </w:rPr>
        <w:t xml:space="preserve"> </w:t>
      </w:r>
      <w:r w:rsidR="00612399" w:rsidRPr="009B2908">
        <w:rPr>
          <w:rFonts w:ascii="Times New Roman" w:hAnsi="Times New Roman"/>
          <w:sz w:val="24"/>
          <w:szCs w:val="24"/>
          <w:lang w:val="en-NZ"/>
        </w:rPr>
        <w:t>where the seller has deliberately geared up prior to the sale or has an</w:t>
      </w:r>
      <w:r w:rsidR="00612399" w:rsidRPr="00286880">
        <w:rPr>
          <w:rFonts w:ascii="Times New Roman" w:hAnsi="Times New Roman"/>
          <w:sz w:val="24"/>
          <w:szCs w:val="24"/>
          <w:lang w:val="en-NZ"/>
        </w:rPr>
        <w:t xml:space="preserve"> arrangement with an associated party</w:t>
      </w:r>
      <w:r w:rsidR="005965C4" w:rsidRPr="00286880">
        <w:rPr>
          <w:rFonts w:ascii="Times New Roman" w:hAnsi="Times New Roman"/>
          <w:sz w:val="24"/>
          <w:szCs w:val="24"/>
          <w:lang w:val="en-NZ"/>
        </w:rPr>
        <w:t xml:space="preserve">.  </w:t>
      </w:r>
      <w:r w:rsidR="00645D2F">
        <w:rPr>
          <w:rFonts w:ascii="Times New Roman" w:hAnsi="Times New Roman"/>
          <w:sz w:val="24"/>
          <w:szCs w:val="24"/>
          <w:lang w:val="en-NZ"/>
        </w:rPr>
        <w:t>Any</w:t>
      </w:r>
      <w:r w:rsidR="00461D3A">
        <w:rPr>
          <w:rFonts w:ascii="Times New Roman" w:hAnsi="Times New Roman"/>
          <w:sz w:val="24"/>
          <w:szCs w:val="24"/>
          <w:lang w:val="en-NZ"/>
        </w:rPr>
        <w:t xml:space="preserve"> </w:t>
      </w:r>
      <w:r>
        <w:rPr>
          <w:rFonts w:ascii="Times New Roman" w:hAnsi="Times New Roman"/>
          <w:sz w:val="24"/>
          <w:szCs w:val="24"/>
          <w:lang w:val="en-NZ"/>
        </w:rPr>
        <w:t>anti-abuse rule</w:t>
      </w:r>
      <w:r w:rsidR="00461D3A">
        <w:rPr>
          <w:rFonts w:ascii="Times New Roman" w:hAnsi="Times New Roman"/>
          <w:sz w:val="24"/>
          <w:szCs w:val="24"/>
          <w:lang w:val="en-NZ"/>
        </w:rPr>
        <w:t>s</w:t>
      </w:r>
      <w:r>
        <w:rPr>
          <w:rFonts w:ascii="Times New Roman" w:hAnsi="Times New Roman"/>
          <w:sz w:val="24"/>
          <w:szCs w:val="24"/>
          <w:lang w:val="en-NZ"/>
        </w:rPr>
        <w:t xml:space="preserve"> would need to be applied by the withholding agent rather than by Inland Revenue, </w:t>
      </w:r>
      <w:r w:rsidR="00645D2F">
        <w:rPr>
          <w:rFonts w:ascii="Times New Roman" w:hAnsi="Times New Roman"/>
          <w:sz w:val="24"/>
          <w:szCs w:val="24"/>
          <w:lang w:val="en-NZ"/>
        </w:rPr>
        <w:t xml:space="preserve">so from a practical perspective, </w:t>
      </w:r>
      <w:r w:rsidR="0065124F">
        <w:rPr>
          <w:rFonts w:ascii="Times New Roman" w:hAnsi="Times New Roman"/>
          <w:sz w:val="24"/>
          <w:szCs w:val="24"/>
          <w:lang w:val="en-NZ"/>
        </w:rPr>
        <w:t>the rule</w:t>
      </w:r>
      <w:r w:rsidR="00645D2F">
        <w:rPr>
          <w:rFonts w:ascii="Times New Roman" w:hAnsi="Times New Roman"/>
          <w:sz w:val="24"/>
          <w:szCs w:val="24"/>
          <w:lang w:val="en-NZ"/>
        </w:rPr>
        <w:t>s</w:t>
      </w:r>
      <w:r w:rsidR="004F3DCA">
        <w:rPr>
          <w:rFonts w:ascii="Times New Roman" w:hAnsi="Times New Roman"/>
          <w:sz w:val="24"/>
          <w:szCs w:val="24"/>
          <w:lang w:val="en-NZ"/>
        </w:rPr>
        <w:t xml:space="preserve"> would</w:t>
      </w:r>
      <w:r>
        <w:rPr>
          <w:rFonts w:ascii="Times New Roman" w:hAnsi="Times New Roman"/>
          <w:sz w:val="24"/>
          <w:szCs w:val="24"/>
          <w:lang w:val="en-NZ"/>
        </w:rPr>
        <w:t xml:space="preserve"> need to be </w:t>
      </w:r>
      <w:r w:rsidR="003F259E">
        <w:rPr>
          <w:rFonts w:ascii="Times New Roman" w:hAnsi="Times New Roman"/>
          <w:sz w:val="24"/>
          <w:szCs w:val="24"/>
          <w:lang w:val="en-NZ"/>
        </w:rPr>
        <w:t>straightforward</w:t>
      </w:r>
      <w:r>
        <w:rPr>
          <w:rFonts w:ascii="Times New Roman" w:hAnsi="Times New Roman"/>
          <w:sz w:val="24"/>
          <w:szCs w:val="24"/>
          <w:lang w:val="en-NZ"/>
        </w:rPr>
        <w:t xml:space="preserve"> and </w:t>
      </w:r>
      <w:r w:rsidR="00645D2F">
        <w:rPr>
          <w:rFonts w:ascii="Times New Roman" w:hAnsi="Times New Roman"/>
          <w:sz w:val="24"/>
          <w:szCs w:val="24"/>
          <w:lang w:val="en-NZ"/>
        </w:rPr>
        <w:t xml:space="preserve">able to be </w:t>
      </w:r>
      <w:r>
        <w:rPr>
          <w:rFonts w:ascii="Times New Roman" w:hAnsi="Times New Roman"/>
          <w:sz w:val="24"/>
          <w:szCs w:val="24"/>
          <w:lang w:val="en-NZ"/>
        </w:rPr>
        <w:t xml:space="preserve">easily determined. </w:t>
      </w:r>
      <w:r w:rsidR="00C63EC3">
        <w:rPr>
          <w:rFonts w:ascii="Times New Roman" w:hAnsi="Times New Roman"/>
          <w:sz w:val="24"/>
          <w:szCs w:val="24"/>
          <w:lang w:val="en-NZ"/>
        </w:rPr>
        <w:t xml:space="preserve"> </w:t>
      </w:r>
    </w:p>
    <w:p w:rsidR="003F259E" w:rsidRDefault="003F259E" w:rsidP="00286880">
      <w:pPr>
        <w:pStyle w:val="Bullet-list"/>
        <w:spacing w:after="0" w:line="240" w:lineRule="auto"/>
        <w:ind w:left="0" w:firstLine="0"/>
        <w:jc w:val="both"/>
        <w:rPr>
          <w:rFonts w:ascii="Times New Roman" w:hAnsi="Times New Roman"/>
          <w:sz w:val="24"/>
          <w:szCs w:val="24"/>
          <w:lang w:val="en-NZ"/>
        </w:rPr>
      </w:pPr>
    </w:p>
    <w:p w:rsidR="007F70C4" w:rsidRPr="00286880" w:rsidRDefault="007F70C4" w:rsidP="002868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lang w:val="en-NZ"/>
        </w:rPr>
      </w:pPr>
      <w:r w:rsidRPr="00D22059">
        <w:rPr>
          <w:rFonts w:ascii="Times New Roman" w:hAnsi="Times New Roman"/>
          <w:sz w:val="24"/>
          <w:szCs w:val="24"/>
        </w:rPr>
        <w:t xml:space="preserve">To address </w:t>
      </w:r>
      <w:r w:rsidR="0065124F">
        <w:rPr>
          <w:rFonts w:ascii="Times New Roman" w:hAnsi="Times New Roman"/>
          <w:sz w:val="24"/>
          <w:szCs w:val="24"/>
        </w:rPr>
        <w:t xml:space="preserve">to an extent </w:t>
      </w:r>
      <w:r w:rsidRPr="00D22059">
        <w:rPr>
          <w:rFonts w:ascii="Times New Roman" w:hAnsi="Times New Roman"/>
          <w:sz w:val="24"/>
          <w:szCs w:val="24"/>
        </w:rPr>
        <w:t xml:space="preserve">the concerns raised by submitters </w:t>
      </w:r>
      <w:r w:rsidR="0065124F">
        <w:rPr>
          <w:rFonts w:ascii="Times New Roman" w:hAnsi="Times New Roman"/>
          <w:sz w:val="24"/>
          <w:szCs w:val="24"/>
        </w:rPr>
        <w:t>in relation to delays in settlement (or non-settlement)</w:t>
      </w:r>
      <w:r w:rsidRPr="00D22059">
        <w:rPr>
          <w:rFonts w:ascii="Times New Roman" w:hAnsi="Times New Roman"/>
          <w:sz w:val="24"/>
          <w:szCs w:val="24"/>
        </w:rPr>
        <w:t xml:space="preserve">, it is proposed that the Commissioner should </w:t>
      </w:r>
      <w:r w:rsidR="001C3580">
        <w:rPr>
          <w:rFonts w:ascii="Times New Roman" w:hAnsi="Times New Roman"/>
          <w:sz w:val="24"/>
          <w:szCs w:val="24"/>
        </w:rPr>
        <w:t>be paid before other disbursements</w:t>
      </w:r>
      <w:r w:rsidRPr="00D22059">
        <w:rPr>
          <w:rFonts w:ascii="Times New Roman" w:hAnsi="Times New Roman"/>
          <w:sz w:val="24"/>
          <w:szCs w:val="24"/>
        </w:rPr>
        <w:t xml:space="preserve"> unless the disbursement relates to a</w:t>
      </w:r>
      <w:r w:rsidR="009B2908">
        <w:rPr>
          <w:rFonts w:ascii="Times New Roman" w:hAnsi="Times New Roman"/>
          <w:sz w:val="24"/>
          <w:szCs w:val="24"/>
        </w:rPr>
        <w:t xml:space="preserve"> mortgage held by a New Zealand-</w:t>
      </w:r>
      <w:r w:rsidRPr="00D22059">
        <w:rPr>
          <w:rFonts w:ascii="Times New Roman" w:hAnsi="Times New Roman"/>
          <w:sz w:val="24"/>
          <w:szCs w:val="24"/>
        </w:rPr>
        <w:t>registered bank</w:t>
      </w:r>
      <w:r w:rsidR="001C3580">
        <w:rPr>
          <w:rFonts w:ascii="Times New Roman" w:hAnsi="Times New Roman"/>
          <w:sz w:val="24"/>
          <w:szCs w:val="24"/>
        </w:rPr>
        <w:t xml:space="preserve"> (or a New Zealand-registered non-bank deposit taker)</w:t>
      </w:r>
      <w:r w:rsidRPr="00D22059">
        <w:rPr>
          <w:rFonts w:ascii="Times New Roman" w:hAnsi="Times New Roman"/>
          <w:sz w:val="24"/>
          <w:szCs w:val="24"/>
        </w:rPr>
        <w:t xml:space="preserve">.  </w:t>
      </w:r>
      <w:r w:rsidR="00D22059">
        <w:rPr>
          <w:rFonts w:ascii="Times New Roman" w:hAnsi="Times New Roman"/>
          <w:sz w:val="24"/>
          <w:szCs w:val="24"/>
        </w:rPr>
        <w:t>O</w:t>
      </w:r>
      <w:r w:rsidRPr="00D22059">
        <w:rPr>
          <w:rFonts w:ascii="Times New Roman" w:hAnsi="Times New Roman"/>
          <w:sz w:val="24"/>
          <w:szCs w:val="24"/>
        </w:rPr>
        <w:t xml:space="preserve">fficials consider that this rule </w:t>
      </w:r>
      <w:r w:rsidR="0065124F">
        <w:rPr>
          <w:rFonts w:ascii="Times New Roman" w:hAnsi="Times New Roman"/>
          <w:sz w:val="24"/>
          <w:szCs w:val="24"/>
        </w:rPr>
        <w:t>should provide</w:t>
      </w:r>
      <w:r w:rsidR="00D22059">
        <w:rPr>
          <w:rFonts w:ascii="Times New Roman" w:hAnsi="Times New Roman"/>
          <w:sz w:val="24"/>
          <w:szCs w:val="24"/>
        </w:rPr>
        <w:t xml:space="preserve"> a reasonable level of integrity as </w:t>
      </w:r>
      <w:r w:rsidR="0065124F">
        <w:rPr>
          <w:rFonts w:ascii="Times New Roman" w:hAnsi="Times New Roman"/>
          <w:sz w:val="24"/>
          <w:szCs w:val="24"/>
        </w:rPr>
        <w:t>priority would apply in</w:t>
      </w:r>
      <w:r w:rsidRPr="00D22059">
        <w:rPr>
          <w:rFonts w:ascii="Times New Roman" w:hAnsi="Times New Roman"/>
          <w:sz w:val="24"/>
          <w:szCs w:val="24"/>
        </w:rPr>
        <w:t xml:space="preserve"> situations</w:t>
      </w:r>
      <w:r w:rsidR="00D22059">
        <w:rPr>
          <w:rFonts w:ascii="Times New Roman" w:hAnsi="Times New Roman"/>
          <w:sz w:val="24"/>
          <w:szCs w:val="24"/>
        </w:rPr>
        <w:t xml:space="preserve"> where abus</w:t>
      </w:r>
      <w:r w:rsidR="009B2908">
        <w:rPr>
          <w:rFonts w:ascii="Times New Roman" w:hAnsi="Times New Roman"/>
          <w:sz w:val="24"/>
          <w:szCs w:val="24"/>
        </w:rPr>
        <w:t xml:space="preserve">e is </w:t>
      </w:r>
      <w:r w:rsidR="00645D2F">
        <w:rPr>
          <w:rFonts w:ascii="Times New Roman" w:hAnsi="Times New Roman"/>
          <w:sz w:val="24"/>
          <w:szCs w:val="24"/>
        </w:rPr>
        <w:t>particularly</w:t>
      </w:r>
      <w:r w:rsidR="009B2908">
        <w:rPr>
          <w:rFonts w:ascii="Times New Roman" w:hAnsi="Times New Roman"/>
          <w:sz w:val="24"/>
          <w:szCs w:val="24"/>
        </w:rPr>
        <w:t xml:space="preserve"> likely to occur.  </w:t>
      </w:r>
      <w:r w:rsidR="0065124F">
        <w:rPr>
          <w:rFonts w:ascii="Times New Roman" w:hAnsi="Times New Roman"/>
          <w:sz w:val="24"/>
          <w:szCs w:val="24"/>
        </w:rPr>
        <w:t>This rule</w:t>
      </w:r>
      <w:r w:rsidR="009B2908">
        <w:rPr>
          <w:rFonts w:ascii="Times New Roman" w:hAnsi="Times New Roman"/>
          <w:sz w:val="24"/>
          <w:szCs w:val="24"/>
        </w:rPr>
        <w:t xml:space="preserve"> should also </w:t>
      </w:r>
      <w:r w:rsidRPr="00D22059">
        <w:rPr>
          <w:rFonts w:ascii="Times New Roman" w:hAnsi="Times New Roman"/>
          <w:sz w:val="24"/>
          <w:szCs w:val="24"/>
        </w:rPr>
        <w:t>be relatively straightforward</w:t>
      </w:r>
      <w:r w:rsidR="00D22059">
        <w:rPr>
          <w:rFonts w:ascii="Times New Roman" w:hAnsi="Times New Roman"/>
          <w:sz w:val="24"/>
          <w:szCs w:val="24"/>
        </w:rPr>
        <w:t xml:space="preserve"> for withholding agents to </w:t>
      </w:r>
      <w:r w:rsidR="0065124F">
        <w:rPr>
          <w:rFonts w:ascii="Times New Roman" w:hAnsi="Times New Roman"/>
          <w:sz w:val="24"/>
          <w:szCs w:val="24"/>
        </w:rPr>
        <w:t>ap</w:t>
      </w:r>
      <w:r w:rsidR="00D22059">
        <w:rPr>
          <w:rFonts w:ascii="Times New Roman" w:hAnsi="Times New Roman"/>
          <w:sz w:val="24"/>
          <w:szCs w:val="24"/>
        </w:rPr>
        <w:t>ply</w:t>
      </w:r>
      <w:r w:rsidRPr="00D22059">
        <w:rPr>
          <w:rFonts w:ascii="Times New Roman" w:hAnsi="Times New Roman"/>
          <w:sz w:val="24"/>
          <w:szCs w:val="24"/>
        </w:rPr>
        <w:t xml:space="preserve">.        </w:t>
      </w:r>
    </w:p>
    <w:p w:rsidR="00C95690" w:rsidRPr="000047F2" w:rsidRDefault="00C95690" w:rsidP="006C19A4">
      <w:pPr>
        <w:spacing w:after="0" w:line="240" w:lineRule="auto"/>
        <w:jc w:val="both"/>
        <w:rPr>
          <w:rFonts w:ascii="Times New Roman" w:hAnsi="Times New Roman"/>
          <w:sz w:val="24"/>
          <w:szCs w:val="24"/>
          <w:lang w:val="en-AU" w:eastAsia="en-US"/>
        </w:rPr>
      </w:pPr>
    </w:p>
    <w:p w:rsidR="00A959BE" w:rsidRDefault="00B71BA2" w:rsidP="006C19A4">
      <w:pPr>
        <w:tabs>
          <w:tab w:val="left" w:pos="3553"/>
        </w:tabs>
        <w:jc w:val="both"/>
        <w:rPr>
          <w:rFonts w:ascii="Times New Roman" w:hAnsi="Times New Roman"/>
          <w:b/>
          <w:i/>
          <w:sz w:val="24"/>
          <w:szCs w:val="24"/>
          <w:lang w:val="en-AU" w:eastAsia="en-US"/>
        </w:rPr>
      </w:pPr>
      <w:r w:rsidRPr="006C19A4">
        <w:rPr>
          <w:rFonts w:ascii="Times New Roman" w:hAnsi="Times New Roman"/>
          <w:b/>
          <w:i/>
          <w:sz w:val="24"/>
          <w:szCs w:val="24"/>
          <w:lang w:val="en-AU" w:eastAsia="en-US"/>
        </w:rPr>
        <w:t>Definition of offshore person/i</w:t>
      </w:r>
      <w:r w:rsidR="00563F90" w:rsidRPr="006C19A4">
        <w:rPr>
          <w:rFonts w:ascii="Times New Roman" w:hAnsi="Times New Roman"/>
          <w:b/>
          <w:i/>
          <w:sz w:val="24"/>
          <w:szCs w:val="24"/>
          <w:lang w:val="en-AU" w:eastAsia="en-US"/>
        </w:rPr>
        <w:t>nformation requirements</w:t>
      </w:r>
    </w:p>
    <w:p w:rsidR="005130AA" w:rsidRPr="005130AA" w:rsidRDefault="005130AA" w:rsidP="006C19A4">
      <w:pPr>
        <w:tabs>
          <w:tab w:val="left" w:pos="3553"/>
        </w:tabs>
        <w:jc w:val="both"/>
        <w:rPr>
          <w:rFonts w:ascii="Times New Roman" w:hAnsi="Times New Roman"/>
          <w:i/>
          <w:sz w:val="24"/>
          <w:szCs w:val="24"/>
          <w:lang w:val="en-AU" w:eastAsia="en-US"/>
        </w:rPr>
      </w:pPr>
      <w:r>
        <w:rPr>
          <w:rFonts w:ascii="Times New Roman" w:hAnsi="Times New Roman"/>
          <w:i/>
          <w:sz w:val="24"/>
          <w:szCs w:val="24"/>
          <w:lang w:val="en-AU" w:eastAsia="en-US"/>
        </w:rPr>
        <w:t>Individuals</w:t>
      </w:r>
    </w:p>
    <w:p w:rsidR="00173EEB" w:rsidRPr="00A8722F" w:rsidRDefault="00173EEB" w:rsidP="00A8722F">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6C19A4">
        <w:rPr>
          <w:rFonts w:ascii="Times New Roman" w:hAnsi="Times New Roman"/>
          <w:sz w:val="24"/>
          <w:szCs w:val="24"/>
        </w:rPr>
        <w:t>For individuals, an offshore person (as defined in the</w:t>
      </w:r>
      <w:r w:rsidR="005130AA">
        <w:rPr>
          <w:rFonts w:ascii="Times New Roman" w:hAnsi="Times New Roman"/>
          <w:sz w:val="24"/>
          <w:szCs w:val="24"/>
        </w:rPr>
        <w:t xml:space="preserve"> recently enacted</w:t>
      </w:r>
      <w:r w:rsidRPr="006C19A4">
        <w:rPr>
          <w:rFonts w:ascii="Times New Roman" w:hAnsi="Times New Roman"/>
          <w:sz w:val="24"/>
          <w:szCs w:val="24"/>
        </w:rPr>
        <w:t xml:space="preserve"> Tax Administration Amendment Act 2015) is a person who is:</w:t>
      </w:r>
    </w:p>
    <w:p w:rsidR="00173EEB" w:rsidRPr="00A8722F" w:rsidRDefault="00173EEB" w:rsidP="00A8722F">
      <w:pPr>
        <w:pStyle w:val="Bullet-list"/>
        <w:numPr>
          <w:ilvl w:val="0"/>
          <w:numId w:val="5"/>
        </w:numPr>
        <w:spacing w:after="0" w:line="240" w:lineRule="auto"/>
        <w:jc w:val="both"/>
        <w:rPr>
          <w:rFonts w:ascii="Times New Roman" w:hAnsi="Times New Roman"/>
          <w:sz w:val="24"/>
          <w:szCs w:val="24"/>
          <w:lang w:val="en-NZ"/>
        </w:rPr>
      </w:pPr>
      <w:r w:rsidRPr="00A8722F">
        <w:rPr>
          <w:rFonts w:ascii="Times New Roman" w:hAnsi="Times New Roman"/>
          <w:sz w:val="24"/>
          <w:szCs w:val="24"/>
          <w:lang w:val="en-NZ"/>
        </w:rPr>
        <w:t>not a New Zealand citizen or does not hold a New Zealand residence class visa; or</w:t>
      </w:r>
    </w:p>
    <w:p w:rsidR="00173EEB" w:rsidRPr="00A8722F" w:rsidRDefault="00173EEB" w:rsidP="00A8722F">
      <w:pPr>
        <w:pStyle w:val="Bullet-list"/>
        <w:numPr>
          <w:ilvl w:val="0"/>
          <w:numId w:val="5"/>
        </w:numPr>
        <w:spacing w:after="0" w:line="240" w:lineRule="auto"/>
        <w:jc w:val="both"/>
        <w:rPr>
          <w:rFonts w:ascii="Times New Roman" w:hAnsi="Times New Roman"/>
          <w:sz w:val="24"/>
          <w:szCs w:val="24"/>
          <w:lang w:val="en-NZ"/>
        </w:rPr>
      </w:pPr>
      <w:r w:rsidRPr="00A8722F">
        <w:rPr>
          <w:rFonts w:ascii="Times New Roman" w:hAnsi="Times New Roman"/>
          <w:sz w:val="24"/>
          <w:szCs w:val="24"/>
          <w:lang w:val="en-NZ"/>
        </w:rPr>
        <w:t xml:space="preserve">a New Zealand citizen and has been away from New Zealand for more than three years; or </w:t>
      </w:r>
    </w:p>
    <w:p w:rsidR="00173EEB" w:rsidRPr="00A8722F" w:rsidRDefault="00173EEB" w:rsidP="00A8722F">
      <w:pPr>
        <w:pStyle w:val="Bullet-list"/>
        <w:numPr>
          <w:ilvl w:val="0"/>
          <w:numId w:val="5"/>
        </w:numPr>
        <w:spacing w:after="0" w:line="240" w:lineRule="auto"/>
        <w:jc w:val="both"/>
        <w:rPr>
          <w:rFonts w:ascii="Times New Roman" w:hAnsi="Times New Roman"/>
          <w:sz w:val="24"/>
          <w:szCs w:val="24"/>
          <w:lang w:val="en-NZ"/>
        </w:rPr>
      </w:pPr>
      <w:proofErr w:type="gramStart"/>
      <w:r w:rsidRPr="00A8722F">
        <w:rPr>
          <w:rFonts w:ascii="Times New Roman" w:hAnsi="Times New Roman"/>
          <w:sz w:val="24"/>
          <w:szCs w:val="24"/>
          <w:lang w:val="en-NZ"/>
        </w:rPr>
        <w:t>a</w:t>
      </w:r>
      <w:proofErr w:type="gramEnd"/>
      <w:r w:rsidRPr="00A8722F">
        <w:rPr>
          <w:rFonts w:ascii="Times New Roman" w:hAnsi="Times New Roman"/>
          <w:sz w:val="24"/>
          <w:szCs w:val="24"/>
          <w:lang w:val="en-NZ"/>
        </w:rPr>
        <w:t xml:space="preserve"> holder of a New Zealand residence class visa and has been away from New Zealand for more than one year.</w:t>
      </w:r>
    </w:p>
    <w:p w:rsidR="00173EEB" w:rsidRPr="00A8722F" w:rsidRDefault="00173EEB" w:rsidP="00A8722F">
      <w:pPr>
        <w:pStyle w:val="Bullet-list"/>
        <w:spacing w:after="0" w:line="240" w:lineRule="auto"/>
        <w:ind w:left="0" w:firstLine="0"/>
        <w:jc w:val="both"/>
        <w:rPr>
          <w:rFonts w:ascii="Times New Roman" w:hAnsi="Times New Roman"/>
          <w:sz w:val="24"/>
          <w:szCs w:val="24"/>
        </w:rPr>
      </w:pPr>
    </w:p>
    <w:p w:rsidR="00173EEB" w:rsidRPr="00A8722F" w:rsidRDefault="00173EEB" w:rsidP="00A8722F">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6C19A4">
        <w:rPr>
          <w:rFonts w:ascii="Times New Roman" w:hAnsi="Times New Roman"/>
          <w:sz w:val="24"/>
          <w:szCs w:val="24"/>
        </w:rPr>
        <w:t>Several submitters on the issues paper asked for further detail around what would be required to satisfy this test</w:t>
      </w:r>
      <w:r w:rsidR="005965C4">
        <w:rPr>
          <w:rFonts w:ascii="Times New Roman" w:hAnsi="Times New Roman"/>
          <w:sz w:val="24"/>
          <w:szCs w:val="24"/>
        </w:rPr>
        <w:t xml:space="preserve">.  </w:t>
      </w:r>
      <w:r w:rsidRPr="006C19A4">
        <w:rPr>
          <w:rFonts w:ascii="Times New Roman" w:hAnsi="Times New Roman"/>
          <w:sz w:val="24"/>
          <w:szCs w:val="24"/>
        </w:rPr>
        <w:t>We propose the following criteria.</w:t>
      </w:r>
    </w:p>
    <w:p w:rsidR="00173EEB" w:rsidRPr="00A8722F" w:rsidRDefault="00173EEB" w:rsidP="00A8722F">
      <w:pPr>
        <w:pStyle w:val="Bullet-list"/>
        <w:spacing w:after="0" w:line="240" w:lineRule="auto"/>
        <w:ind w:left="0" w:firstLine="0"/>
        <w:jc w:val="both"/>
        <w:rPr>
          <w:rFonts w:ascii="Times New Roman" w:hAnsi="Times New Roman"/>
          <w:sz w:val="24"/>
          <w:szCs w:val="24"/>
        </w:rPr>
      </w:pPr>
    </w:p>
    <w:p w:rsidR="00173EEB" w:rsidRPr="00A8722F" w:rsidRDefault="00173EEB" w:rsidP="00A8722F">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6C19A4">
        <w:rPr>
          <w:rFonts w:ascii="Times New Roman" w:hAnsi="Times New Roman"/>
          <w:sz w:val="24"/>
          <w:szCs w:val="24"/>
        </w:rPr>
        <w:t>The withholding agent would need to be satisfied that the seller meets the requirements for non-withholding</w:t>
      </w:r>
      <w:r w:rsidR="005965C4">
        <w:rPr>
          <w:rFonts w:ascii="Times New Roman" w:hAnsi="Times New Roman"/>
          <w:sz w:val="24"/>
          <w:szCs w:val="24"/>
        </w:rPr>
        <w:t xml:space="preserve">.  </w:t>
      </w:r>
    </w:p>
    <w:p w:rsidR="00173EEB" w:rsidRPr="006C19A4" w:rsidRDefault="00173EEB" w:rsidP="00A8722F">
      <w:pPr>
        <w:pStyle w:val="Bullet-list"/>
        <w:spacing w:after="0" w:line="240" w:lineRule="auto"/>
        <w:ind w:left="0" w:firstLine="0"/>
        <w:jc w:val="both"/>
        <w:rPr>
          <w:rFonts w:ascii="Times New Roman" w:hAnsi="Times New Roman"/>
          <w:sz w:val="24"/>
          <w:szCs w:val="24"/>
        </w:rPr>
      </w:pPr>
    </w:p>
    <w:p w:rsidR="00173EEB" w:rsidRPr="00A8722F" w:rsidRDefault="00173EEB" w:rsidP="00A8722F">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6C19A4">
        <w:rPr>
          <w:rFonts w:ascii="Times New Roman" w:hAnsi="Times New Roman"/>
          <w:sz w:val="24"/>
          <w:szCs w:val="24"/>
        </w:rPr>
        <w:t>It is anticipated that in most cases a New Zealand citizen or holder of a residence class visa who is selling within two years could satisfy the proof requirement by meeting with their New Zealand conveyancing agent in person and showing them their passport</w:t>
      </w:r>
      <w:r w:rsidR="003B7471">
        <w:rPr>
          <w:rFonts w:ascii="Times New Roman" w:hAnsi="Times New Roman"/>
          <w:sz w:val="24"/>
          <w:szCs w:val="24"/>
        </w:rPr>
        <w:t xml:space="preserve">. </w:t>
      </w:r>
      <w:r w:rsidRPr="006C19A4">
        <w:rPr>
          <w:rFonts w:ascii="Times New Roman" w:hAnsi="Times New Roman"/>
          <w:sz w:val="24"/>
          <w:szCs w:val="24"/>
        </w:rPr>
        <w:t>The conveyancing agent would be able to take a copy of the documentation and record that they have seen the person in New Zealand</w:t>
      </w:r>
      <w:r w:rsidR="005130AA">
        <w:rPr>
          <w:rFonts w:ascii="Times New Roman" w:hAnsi="Times New Roman"/>
          <w:sz w:val="24"/>
          <w:szCs w:val="24"/>
        </w:rPr>
        <w:t xml:space="preserve"> </w:t>
      </w:r>
      <w:r w:rsidRPr="006C19A4">
        <w:rPr>
          <w:rFonts w:ascii="Times New Roman" w:hAnsi="Times New Roman"/>
          <w:sz w:val="24"/>
          <w:szCs w:val="24"/>
        </w:rPr>
        <w:t>(</w:t>
      </w:r>
      <w:r w:rsidR="005130AA">
        <w:rPr>
          <w:rFonts w:ascii="Times New Roman" w:hAnsi="Times New Roman"/>
          <w:sz w:val="24"/>
          <w:szCs w:val="24"/>
        </w:rPr>
        <w:t>a</w:t>
      </w:r>
      <w:r w:rsidRPr="006C19A4">
        <w:rPr>
          <w:rFonts w:ascii="Times New Roman" w:hAnsi="Times New Roman"/>
          <w:sz w:val="24"/>
          <w:szCs w:val="24"/>
        </w:rPr>
        <w:t>s the person is currently in New Zealand, this means that they will not be an offshore person)</w:t>
      </w:r>
      <w:r w:rsidR="005965C4">
        <w:rPr>
          <w:rFonts w:ascii="Times New Roman" w:hAnsi="Times New Roman"/>
          <w:sz w:val="24"/>
          <w:szCs w:val="24"/>
        </w:rPr>
        <w:t xml:space="preserve">.  </w:t>
      </w:r>
    </w:p>
    <w:p w:rsidR="00173EEB" w:rsidRPr="006C19A4" w:rsidRDefault="00173EEB" w:rsidP="00A8722F">
      <w:pPr>
        <w:pStyle w:val="Bullet-list"/>
        <w:spacing w:after="0" w:line="240" w:lineRule="auto"/>
        <w:ind w:left="0" w:firstLine="0"/>
        <w:jc w:val="both"/>
        <w:rPr>
          <w:rFonts w:ascii="Times New Roman" w:hAnsi="Times New Roman"/>
          <w:sz w:val="24"/>
          <w:szCs w:val="24"/>
        </w:rPr>
      </w:pPr>
    </w:p>
    <w:p w:rsidR="00173EEB" w:rsidRPr="00A8722F" w:rsidRDefault="00173EEB" w:rsidP="00A8722F">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6C19A4">
        <w:rPr>
          <w:rFonts w:ascii="Times New Roman" w:hAnsi="Times New Roman"/>
          <w:sz w:val="24"/>
          <w:szCs w:val="24"/>
        </w:rPr>
        <w:t xml:space="preserve">If an individual person is selling their property from outside New Zealand, a certified statement or other suitable proof from the seller that they are not an offshore person should be provided to </w:t>
      </w:r>
      <w:r w:rsidR="005130AA">
        <w:rPr>
          <w:rFonts w:ascii="Times New Roman" w:hAnsi="Times New Roman"/>
          <w:sz w:val="24"/>
          <w:szCs w:val="24"/>
        </w:rPr>
        <w:t>the withholding</w:t>
      </w:r>
      <w:r w:rsidRPr="006C19A4">
        <w:rPr>
          <w:rFonts w:ascii="Times New Roman" w:hAnsi="Times New Roman"/>
          <w:sz w:val="24"/>
          <w:szCs w:val="24"/>
        </w:rPr>
        <w:t xml:space="preserve"> agent</w:t>
      </w:r>
      <w:r w:rsidR="005965C4">
        <w:rPr>
          <w:rFonts w:ascii="Times New Roman" w:hAnsi="Times New Roman"/>
          <w:sz w:val="24"/>
          <w:szCs w:val="24"/>
        </w:rPr>
        <w:t xml:space="preserve">.  </w:t>
      </w:r>
      <w:r w:rsidRPr="006C19A4">
        <w:rPr>
          <w:rFonts w:ascii="Times New Roman" w:hAnsi="Times New Roman"/>
          <w:sz w:val="24"/>
          <w:szCs w:val="24"/>
        </w:rPr>
        <w:t>This could include evidence of flights to New Zealand within the relevant time</w:t>
      </w:r>
      <w:r w:rsidR="005965C4">
        <w:rPr>
          <w:rFonts w:ascii="Times New Roman" w:hAnsi="Times New Roman"/>
          <w:sz w:val="24"/>
          <w:szCs w:val="24"/>
        </w:rPr>
        <w:t xml:space="preserve">.  </w:t>
      </w:r>
    </w:p>
    <w:p w:rsidR="00173EEB" w:rsidRPr="006C19A4" w:rsidRDefault="00173EEB" w:rsidP="00A8722F">
      <w:pPr>
        <w:pStyle w:val="Bullet-list"/>
        <w:spacing w:after="0" w:line="240" w:lineRule="auto"/>
        <w:ind w:left="0" w:firstLine="0"/>
        <w:jc w:val="both"/>
        <w:rPr>
          <w:rFonts w:ascii="Times New Roman" w:hAnsi="Times New Roman"/>
          <w:sz w:val="24"/>
          <w:szCs w:val="24"/>
        </w:rPr>
      </w:pPr>
    </w:p>
    <w:p w:rsidR="00173EEB" w:rsidRPr="00A8722F" w:rsidRDefault="00173EEB" w:rsidP="00A8722F">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6C19A4">
        <w:rPr>
          <w:rFonts w:ascii="Times New Roman" w:hAnsi="Times New Roman"/>
          <w:sz w:val="24"/>
          <w:szCs w:val="24"/>
        </w:rPr>
        <w:t>The proposed requirements for sellers to provide further information on their offshore status go beyond the recently enacted information requirements for requiring IRD numbers on property transactions as specified in the Land Transfer Amendment Act 2015</w:t>
      </w:r>
      <w:r w:rsidR="005965C4">
        <w:rPr>
          <w:rFonts w:ascii="Times New Roman" w:hAnsi="Times New Roman"/>
          <w:sz w:val="24"/>
          <w:szCs w:val="24"/>
        </w:rPr>
        <w:t xml:space="preserve">.  </w:t>
      </w:r>
      <w:r w:rsidRPr="006C19A4">
        <w:rPr>
          <w:rFonts w:ascii="Times New Roman" w:hAnsi="Times New Roman"/>
          <w:sz w:val="24"/>
          <w:szCs w:val="24"/>
        </w:rPr>
        <w:t>However, we consider that, in order to make the proposed withholding tax effective and to minimise compliance costs for agents, this additional information is necessary</w:t>
      </w:r>
      <w:r w:rsidR="005965C4">
        <w:rPr>
          <w:rFonts w:ascii="Times New Roman" w:hAnsi="Times New Roman"/>
          <w:sz w:val="24"/>
          <w:szCs w:val="24"/>
        </w:rPr>
        <w:t xml:space="preserve">.  </w:t>
      </w:r>
      <w:r w:rsidRPr="006C19A4">
        <w:rPr>
          <w:rFonts w:ascii="Times New Roman" w:hAnsi="Times New Roman"/>
          <w:sz w:val="24"/>
          <w:szCs w:val="24"/>
        </w:rPr>
        <w:t>In practice, for individuals this information would likely have been captured by conveyancing agents as evidence anyway</w:t>
      </w:r>
      <w:r w:rsidR="005965C4">
        <w:rPr>
          <w:rFonts w:ascii="Times New Roman" w:hAnsi="Times New Roman"/>
          <w:sz w:val="24"/>
          <w:szCs w:val="24"/>
        </w:rPr>
        <w:t xml:space="preserve">.  </w:t>
      </w:r>
    </w:p>
    <w:p w:rsidR="00B71BA2" w:rsidRDefault="00B71BA2" w:rsidP="00286880">
      <w:pPr>
        <w:pStyle w:val="TRNormal"/>
        <w:tabs>
          <w:tab w:val="left" w:pos="567"/>
        </w:tabs>
        <w:ind w:hanging="720"/>
        <w:rPr>
          <w:b/>
          <w:szCs w:val="24"/>
        </w:rPr>
      </w:pPr>
    </w:p>
    <w:p w:rsidR="00B71BA2" w:rsidRPr="006C19A4" w:rsidRDefault="00B71BA2" w:rsidP="00286880">
      <w:pPr>
        <w:pStyle w:val="TRNormal"/>
        <w:tabs>
          <w:tab w:val="left" w:pos="567"/>
        </w:tabs>
        <w:rPr>
          <w:i/>
          <w:szCs w:val="24"/>
        </w:rPr>
      </w:pPr>
      <w:r w:rsidRPr="006C19A4">
        <w:rPr>
          <w:i/>
          <w:szCs w:val="24"/>
        </w:rPr>
        <w:t>Non-individuals</w:t>
      </w:r>
    </w:p>
    <w:p w:rsidR="00B71BA2" w:rsidRPr="001C2078" w:rsidRDefault="00B71BA2" w:rsidP="00286880">
      <w:pPr>
        <w:pStyle w:val="TRNormal"/>
        <w:tabs>
          <w:tab w:val="left" w:pos="567"/>
        </w:tabs>
        <w:ind w:hanging="720"/>
        <w:rPr>
          <w:szCs w:val="24"/>
        </w:rPr>
      </w:pPr>
    </w:p>
    <w:p w:rsidR="00173EEB" w:rsidRPr="00A8722F" w:rsidRDefault="00173EEB" w:rsidP="00A8722F">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6C19A4">
        <w:rPr>
          <w:rFonts w:ascii="Times New Roman" w:hAnsi="Times New Roman"/>
          <w:sz w:val="24"/>
          <w:szCs w:val="24"/>
        </w:rPr>
        <w:t>The issues paper proposed that for an entity or an arrangement (e.g</w:t>
      </w:r>
      <w:r w:rsidR="005965C4">
        <w:rPr>
          <w:rFonts w:ascii="Times New Roman" w:hAnsi="Times New Roman"/>
          <w:sz w:val="24"/>
          <w:szCs w:val="24"/>
        </w:rPr>
        <w:t xml:space="preserve">.  </w:t>
      </w:r>
      <w:proofErr w:type="gramStart"/>
      <w:r w:rsidRPr="006C19A4">
        <w:rPr>
          <w:rFonts w:ascii="Times New Roman" w:hAnsi="Times New Roman"/>
          <w:sz w:val="24"/>
          <w:szCs w:val="24"/>
        </w:rPr>
        <w:t>a</w:t>
      </w:r>
      <w:proofErr w:type="gramEnd"/>
      <w:r w:rsidRPr="006C19A4">
        <w:rPr>
          <w:rFonts w:ascii="Times New Roman" w:hAnsi="Times New Roman"/>
          <w:sz w:val="24"/>
          <w:szCs w:val="24"/>
        </w:rPr>
        <w:t xml:space="preserve"> company or a trust), an offshore person could be a person who is either incorporated overseas or who is owned or controlled (legally or beneficially) 25% or more by offshore persons</w:t>
      </w:r>
      <w:r w:rsidR="005965C4">
        <w:rPr>
          <w:rFonts w:ascii="Times New Roman" w:hAnsi="Times New Roman"/>
          <w:sz w:val="24"/>
          <w:szCs w:val="24"/>
        </w:rPr>
        <w:t xml:space="preserve">.  </w:t>
      </w:r>
      <w:r w:rsidRPr="006C19A4">
        <w:rPr>
          <w:rFonts w:ascii="Times New Roman" w:hAnsi="Times New Roman"/>
          <w:sz w:val="24"/>
          <w:szCs w:val="24"/>
        </w:rPr>
        <w:t>This is based on the definition of “offshore person” as defined in the recently enacted Tax Administration Amendment Act 2015</w:t>
      </w:r>
      <w:r w:rsidR="005965C4">
        <w:rPr>
          <w:rFonts w:ascii="Times New Roman" w:hAnsi="Times New Roman"/>
          <w:sz w:val="24"/>
          <w:szCs w:val="24"/>
        </w:rPr>
        <w:t xml:space="preserve">.  </w:t>
      </w:r>
    </w:p>
    <w:p w:rsidR="00173EEB" w:rsidRPr="00A8722F" w:rsidRDefault="00173EEB" w:rsidP="00A8722F">
      <w:pPr>
        <w:pStyle w:val="Bullet-list"/>
        <w:spacing w:after="0" w:line="240" w:lineRule="auto"/>
        <w:ind w:left="0" w:firstLine="0"/>
        <w:jc w:val="both"/>
        <w:rPr>
          <w:rFonts w:ascii="Times New Roman" w:hAnsi="Times New Roman"/>
          <w:sz w:val="24"/>
          <w:szCs w:val="24"/>
        </w:rPr>
      </w:pPr>
    </w:p>
    <w:p w:rsidR="00173EEB" w:rsidRPr="00A8722F" w:rsidRDefault="00173EEB" w:rsidP="00A8722F">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6C19A4">
        <w:rPr>
          <w:rFonts w:ascii="Times New Roman" w:hAnsi="Times New Roman"/>
          <w:sz w:val="24"/>
          <w:szCs w:val="24"/>
        </w:rPr>
        <w:t xml:space="preserve">Concerns were raised by submitters around the potential difficulties for withholding agents to determine whether a non-individual is </w:t>
      </w:r>
      <w:r w:rsidR="005130AA">
        <w:rPr>
          <w:rFonts w:ascii="Times New Roman" w:hAnsi="Times New Roman"/>
          <w:sz w:val="24"/>
          <w:szCs w:val="24"/>
        </w:rPr>
        <w:t xml:space="preserve">an </w:t>
      </w:r>
      <w:r w:rsidRPr="006C19A4">
        <w:rPr>
          <w:rFonts w:ascii="Times New Roman" w:hAnsi="Times New Roman"/>
          <w:sz w:val="24"/>
          <w:szCs w:val="24"/>
        </w:rPr>
        <w:t>offshore</w:t>
      </w:r>
      <w:r w:rsidR="005130AA">
        <w:rPr>
          <w:rFonts w:ascii="Times New Roman" w:hAnsi="Times New Roman"/>
          <w:sz w:val="24"/>
          <w:szCs w:val="24"/>
        </w:rPr>
        <w:t xml:space="preserve"> person</w:t>
      </w:r>
      <w:r w:rsidR="005965C4">
        <w:rPr>
          <w:rFonts w:ascii="Times New Roman" w:hAnsi="Times New Roman"/>
          <w:sz w:val="24"/>
          <w:szCs w:val="24"/>
        </w:rPr>
        <w:t xml:space="preserve">.  </w:t>
      </w:r>
      <w:r w:rsidRPr="006C19A4">
        <w:rPr>
          <w:rFonts w:ascii="Times New Roman" w:hAnsi="Times New Roman"/>
          <w:sz w:val="24"/>
          <w:szCs w:val="24"/>
        </w:rPr>
        <w:t>This could be complex and involve high compliance costs if the withholding agent needs to verify the underlying ownership of an entity or trust</w:t>
      </w:r>
      <w:r w:rsidR="005965C4">
        <w:rPr>
          <w:rFonts w:ascii="Times New Roman" w:hAnsi="Times New Roman"/>
          <w:sz w:val="24"/>
          <w:szCs w:val="24"/>
        </w:rPr>
        <w:t xml:space="preserve">.  </w:t>
      </w:r>
      <w:r w:rsidRPr="006C19A4">
        <w:rPr>
          <w:rFonts w:ascii="Times New Roman" w:hAnsi="Times New Roman"/>
          <w:sz w:val="24"/>
          <w:szCs w:val="24"/>
        </w:rPr>
        <w:t>We also have some concerns with the 25% threshold in relation to certain arrangements (in particular, partnerships and trusts)</w:t>
      </w:r>
      <w:r w:rsidR="005965C4">
        <w:rPr>
          <w:rFonts w:ascii="Times New Roman" w:hAnsi="Times New Roman"/>
          <w:sz w:val="24"/>
          <w:szCs w:val="24"/>
        </w:rPr>
        <w:t xml:space="preserve">.  </w:t>
      </w:r>
    </w:p>
    <w:p w:rsidR="00173EEB" w:rsidRPr="00A8722F" w:rsidRDefault="00173EEB" w:rsidP="00A8722F">
      <w:pPr>
        <w:pStyle w:val="Bullet-list"/>
        <w:spacing w:after="0" w:line="240" w:lineRule="auto"/>
        <w:ind w:left="0" w:firstLine="0"/>
        <w:jc w:val="both"/>
        <w:rPr>
          <w:rFonts w:ascii="Times New Roman" w:hAnsi="Times New Roman"/>
          <w:sz w:val="24"/>
          <w:szCs w:val="24"/>
        </w:rPr>
      </w:pPr>
    </w:p>
    <w:p w:rsidR="00173EEB" w:rsidRPr="00A8722F" w:rsidRDefault="00173EEB" w:rsidP="00A8722F">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6C19A4">
        <w:rPr>
          <w:rFonts w:ascii="Times New Roman" w:hAnsi="Times New Roman"/>
          <w:sz w:val="24"/>
          <w:szCs w:val="24"/>
        </w:rPr>
        <w:t>Accordingly, we consider that the test for non-individuals (including arrangements) should be modified to be more certain and to ensure revenue integrity</w:t>
      </w:r>
      <w:r w:rsidR="005965C4">
        <w:rPr>
          <w:rFonts w:ascii="Times New Roman" w:hAnsi="Times New Roman"/>
          <w:sz w:val="24"/>
          <w:szCs w:val="24"/>
        </w:rPr>
        <w:t xml:space="preserve">.  </w:t>
      </w:r>
    </w:p>
    <w:p w:rsidR="00173EEB" w:rsidRPr="00A8722F" w:rsidRDefault="00173EEB" w:rsidP="00A8722F">
      <w:pPr>
        <w:pStyle w:val="Bullet-list"/>
        <w:spacing w:after="0" w:line="240" w:lineRule="auto"/>
        <w:ind w:left="0" w:firstLine="0"/>
        <w:jc w:val="both"/>
        <w:rPr>
          <w:rFonts w:ascii="Times New Roman" w:hAnsi="Times New Roman"/>
          <w:sz w:val="24"/>
          <w:szCs w:val="24"/>
        </w:rPr>
      </w:pPr>
    </w:p>
    <w:p w:rsidR="00173EEB" w:rsidRPr="00A8722F" w:rsidRDefault="00173EEB" w:rsidP="00A8722F">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6C19A4">
        <w:rPr>
          <w:rFonts w:ascii="Times New Roman" w:hAnsi="Times New Roman"/>
          <w:sz w:val="24"/>
          <w:szCs w:val="24"/>
        </w:rPr>
        <w:t xml:space="preserve">For a company (including a unit trust) to qualify for the non-offshore exemption, the following conditions should be met: </w:t>
      </w:r>
    </w:p>
    <w:p w:rsidR="00173EEB" w:rsidRPr="00A8722F" w:rsidRDefault="00173EEB" w:rsidP="00A8722F">
      <w:pPr>
        <w:pStyle w:val="Bullet-list"/>
        <w:numPr>
          <w:ilvl w:val="0"/>
          <w:numId w:val="5"/>
        </w:numPr>
        <w:spacing w:after="0" w:line="240" w:lineRule="auto"/>
        <w:jc w:val="both"/>
        <w:rPr>
          <w:rFonts w:ascii="Times New Roman" w:hAnsi="Times New Roman"/>
          <w:sz w:val="24"/>
          <w:szCs w:val="24"/>
          <w:lang w:val="en-NZ"/>
        </w:rPr>
      </w:pPr>
      <w:r w:rsidRPr="00A8722F">
        <w:rPr>
          <w:rFonts w:ascii="Times New Roman" w:hAnsi="Times New Roman"/>
          <w:sz w:val="24"/>
          <w:szCs w:val="24"/>
          <w:lang w:val="en-NZ"/>
        </w:rPr>
        <w:t>the company is registered in New Zealand; and</w:t>
      </w:r>
    </w:p>
    <w:p w:rsidR="00173EEB" w:rsidRPr="00A8722F" w:rsidRDefault="00173EEB" w:rsidP="00A8722F">
      <w:pPr>
        <w:pStyle w:val="Bullet-list"/>
        <w:numPr>
          <w:ilvl w:val="0"/>
          <w:numId w:val="5"/>
        </w:numPr>
        <w:spacing w:after="0" w:line="240" w:lineRule="auto"/>
        <w:jc w:val="both"/>
        <w:rPr>
          <w:rFonts w:ascii="Times New Roman" w:hAnsi="Times New Roman"/>
          <w:sz w:val="24"/>
          <w:szCs w:val="24"/>
          <w:lang w:val="en-NZ"/>
        </w:rPr>
      </w:pPr>
      <w:r w:rsidRPr="00A8722F">
        <w:rPr>
          <w:rFonts w:ascii="Times New Roman" w:hAnsi="Times New Roman"/>
          <w:sz w:val="24"/>
          <w:szCs w:val="24"/>
          <w:lang w:val="en-NZ"/>
        </w:rPr>
        <w:t xml:space="preserve">all directors of the company are non-offshore individuals; and </w:t>
      </w:r>
    </w:p>
    <w:p w:rsidR="00173EEB" w:rsidRPr="00A8722F" w:rsidRDefault="00173EEB" w:rsidP="00A8722F">
      <w:pPr>
        <w:pStyle w:val="Bullet-list"/>
        <w:numPr>
          <w:ilvl w:val="0"/>
          <w:numId w:val="5"/>
        </w:numPr>
        <w:spacing w:after="0" w:line="240" w:lineRule="auto"/>
        <w:jc w:val="both"/>
        <w:rPr>
          <w:rFonts w:ascii="Times New Roman" w:hAnsi="Times New Roman"/>
          <w:sz w:val="24"/>
          <w:szCs w:val="24"/>
          <w:lang w:val="en-NZ"/>
        </w:rPr>
      </w:pPr>
      <w:proofErr w:type="gramStart"/>
      <w:r w:rsidRPr="00A8722F">
        <w:rPr>
          <w:rFonts w:ascii="Times New Roman" w:hAnsi="Times New Roman"/>
          <w:sz w:val="24"/>
          <w:szCs w:val="24"/>
          <w:lang w:val="en-NZ"/>
        </w:rPr>
        <w:t>not</w:t>
      </w:r>
      <w:proofErr w:type="gramEnd"/>
      <w:r w:rsidRPr="00A8722F">
        <w:rPr>
          <w:rFonts w:ascii="Times New Roman" w:hAnsi="Times New Roman"/>
          <w:sz w:val="24"/>
          <w:szCs w:val="24"/>
          <w:lang w:val="en-NZ"/>
        </w:rPr>
        <w:t xml:space="preserve"> more than 25% of the shareholder decision-making rights of the company are held by offshore persons</w:t>
      </w:r>
      <w:r w:rsidR="005965C4" w:rsidRPr="00A8722F">
        <w:rPr>
          <w:rFonts w:ascii="Times New Roman" w:hAnsi="Times New Roman"/>
          <w:sz w:val="24"/>
          <w:szCs w:val="24"/>
          <w:lang w:val="en-NZ"/>
        </w:rPr>
        <w:t xml:space="preserve">.  </w:t>
      </w:r>
    </w:p>
    <w:p w:rsidR="00173EEB" w:rsidRPr="006C19A4" w:rsidRDefault="00173EEB" w:rsidP="00286880">
      <w:pPr>
        <w:pStyle w:val="Bullet-list"/>
        <w:spacing w:after="0" w:line="240" w:lineRule="auto"/>
        <w:ind w:left="0" w:hanging="720"/>
        <w:jc w:val="both"/>
        <w:rPr>
          <w:rFonts w:ascii="Times New Roman" w:hAnsi="Times New Roman"/>
          <w:sz w:val="24"/>
          <w:szCs w:val="24"/>
        </w:rPr>
      </w:pPr>
    </w:p>
    <w:p w:rsidR="00173EEB" w:rsidRPr="00F172FD" w:rsidRDefault="00173EEB" w:rsidP="00286880">
      <w:pPr>
        <w:pStyle w:val="Bullet-list"/>
        <w:numPr>
          <w:ilvl w:val="0"/>
          <w:numId w:val="3"/>
        </w:numPr>
        <w:spacing w:after="0" w:line="240" w:lineRule="auto"/>
        <w:ind w:hanging="720"/>
        <w:jc w:val="both"/>
        <w:rPr>
          <w:szCs w:val="24"/>
        </w:rPr>
      </w:pPr>
      <w:r w:rsidRPr="006C19A4">
        <w:rPr>
          <w:rFonts w:ascii="Times New Roman" w:hAnsi="Times New Roman"/>
          <w:sz w:val="24"/>
          <w:szCs w:val="24"/>
        </w:rPr>
        <w:t>This could be satisfied, for example, by proof such as:</w:t>
      </w:r>
    </w:p>
    <w:p w:rsidR="00173EEB" w:rsidRPr="00A8722F" w:rsidRDefault="00173EEB" w:rsidP="00A8722F">
      <w:pPr>
        <w:pStyle w:val="Bullet-list"/>
        <w:numPr>
          <w:ilvl w:val="0"/>
          <w:numId w:val="5"/>
        </w:numPr>
        <w:spacing w:after="0" w:line="240" w:lineRule="auto"/>
        <w:jc w:val="both"/>
        <w:rPr>
          <w:rFonts w:ascii="Times New Roman" w:hAnsi="Times New Roman"/>
          <w:sz w:val="24"/>
          <w:szCs w:val="24"/>
          <w:lang w:val="en-NZ"/>
        </w:rPr>
      </w:pPr>
      <w:r w:rsidRPr="00A8722F">
        <w:rPr>
          <w:rFonts w:ascii="Times New Roman" w:hAnsi="Times New Roman"/>
          <w:sz w:val="24"/>
          <w:szCs w:val="24"/>
          <w:lang w:val="en-NZ"/>
        </w:rPr>
        <w:t>a copy of the company’s New Zealand registration; and</w:t>
      </w:r>
    </w:p>
    <w:p w:rsidR="00173EEB" w:rsidRPr="00A8722F" w:rsidRDefault="00173EEB" w:rsidP="00A8722F">
      <w:pPr>
        <w:pStyle w:val="Bullet-list"/>
        <w:numPr>
          <w:ilvl w:val="0"/>
          <w:numId w:val="5"/>
        </w:numPr>
        <w:spacing w:after="0" w:line="240" w:lineRule="auto"/>
        <w:jc w:val="both"/>
        <w:rPr>
          <w:rFonts w:ascii="Times New Roman" w:hAnsi="Times New Roman"/>
          <w:sz w:val="24"/>
          <w:szCs w:val="24"/>
          <w:lang w:val="en-NZ"/>
        </w:rPr>
      </w:pPr>
      <w:r w:rsidRPr="00A8722F">
        <w:rPr>
          <w:rFonts w:ascii="Times New Roman" w:hAnsi="Times New Roman"/>
          <w:sz w:val="24"/>
          <w:szCs w:val="24"/>
          <w:lang w:val="en-NZ"/>
        </w:rPr>
        <w:t>a copy of each director’s New Zealand passport or residency visa sighted during a meeting with the conveyancing agent; and</w:t>
      </w:r>
    </w:p>
    <w:p w:rsidR="00173EEB" w:rsidRPr="00A8722F" w:rsidRDefault="00173EEB" w:rsidP="00A8722F">
      <w:pPr>
        <w:pStyle w:val="Bullet-list"/>
        <w:numPr>
          <w:ilvl w:val="0"/>
          <w:numId w:val="5"/>
        </w:numPr>
        <w:spacing w:after="0" w:line="240" w:lineRule="auto"/>
        <w:jc w:val="both"/>
        <w:rPr>
          <w:rFonts w:ascii="Times New Roman" w:hAnsi="Times New Roman"/>
          <w:sz w:val="24"/>
          <w:szCs w:val="24"/>
          <w:lang w:val="en-NZ"/>
        </w:rPr>
      </w:pPr>
      <w:proofErr w:type="gramStart"/>
      <w:r w:rsidRPr="00A8722F">
        <w:rPr>
          <w:rFonts w:ascii="Times New Roman" w:hAnsi="Times New Roman"/>
          <w:sz w:val="24"/>
          <w:szCs w:val="24"/>
          <w:lang w:val="en-NZ"/>
        </w:rPr>
        <w:t>a</w:t>
      </w:r>
      <w:proofErr w:type="gramEnd"/>
      <w:r w:rsidRPr="00A8722F">
        <w:rPr>
          <w:rFonts w:ascii="Times New Roman" w:hAnsi="Times New Roman"/>
          <w:sz w:val="24"/>
          <w:szCs w:val="24"/>
          <w:lang w:val="en-NZ"/>
        </w:rPr>
        <w:t xml:space="preserve"> statement from each director that, to their knowledge, no more than 25% of the shareholder decision-making rights of the company are held by offshore persons.</w:t>
      </w:r>
    </w:p>
    <w:p w:rsidR="00173EEB" w:rsidRPr="0069721F" w:rsidRDefault="00173EEB" w:rsidP="00286880">
      <w:pPr>
        <w:pStyle w:val="Bullet-list"/>
        <w:spacing w:after="0" w:line="240" w:lineRule="auto"/>
        <w:ind w:left="0" w:hanging="720"/>
        <w:jc w:val="both"/>
        <w:rPr>
          <w:szCs w:val="24"/>
        </w:rPr>
      </w:pPr>
    </w:p>
    <w:p w:rsidR="00173EEB" w:rsidRPr="00A8722F" w:rsidRDefault="00173EEB" w:rsidP="00A8722F">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6C19A4">
        <w:rPr>
          <w:rFonts w:ascii="Times New Roman" w:hAnsi="Times New Roman"/>
          <w:sz w:val="24"/>
          <w:szCs w:val="24"/>
        </w:rPr>
        <w:t>For partners of a partnership, we propose that if any of the partners is an offshore person, then the RLWT should apply</w:t>
      </w:r>
      <w:r w:rsidR="005965C4">
        <w:rPr>
          <w:rFonts w:ascii="Times New Roman" w:hAnsi="Times New Roman"/>
          <w:sz w:val="24"/>
          <w:szCs w:val="24"/>
        </w:rPr>
        <w:t xml:space="preserve">.  </w:t>
      </w:r>
      <w:r w:rsidRPr="006C19A4">
        <w:rPr>
          <w:rFonts w:ascii="Times New Roman" w:hAnsi="Times New Roman"/>
          <w:sz w:val="24"/>
          <w:szCs w:val="24"/>
        </w:rPr>
        <w:t>This will ensure integrity is retained</w:t>
      </w:r>
      <w:r w:rsidR="005965C4">
        <w:rPr>
          <w:rFonts w:ascii="Times New Roman" w:hAnsi="Times New Roman"/>
          <w:sz w:val="24"/>
          <w:szCs w:val="24"/>
        </w:rPr>
        <w:t xml:space="preserve">.  </w:t>
      </w:r>
    </w:p>
    <w:p w:rsidR="00173EEB" w:rsidRPr="00A8722F" w:rsidRDefault="00173EEB" w:rsidP="00A8722F">
      <w:pPr>
        <w:pStyle w:val="Bullet-list"/>
        <w:spacing w:after="0" w:line="240" w:lineRule="auto"/>
        <w:ind w:left="0" w:firstLine="0"/>
        <w:jc w:val="both"/>
        <w:rPr>
          <w:rFonts w:ascii="Times New Roman" w:hAnsi="Times New Roman"/>
          <w:sz w:val="24"/>
          <w:szCs w:val="24"/>
        </w:rPr>
      </w:pPr>
    </w:p>
    <w:p w:rsidR="00173EEB" w:rsidRPr="00A8722F" w:rsidRDefault="00173EEB" w:rsidP="00A8722F">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6C19A4">
        <w:rPr>
          <w:rFonts w:ascii="Times New Roman" w:hAnsi="Times New Roman"/>
          <w:sz w:val="24"/>
          <w:szCs w:val="24"/>
        </w:rPr>
        <w:t>We propose that discretionary trusts should be considered offshore and subject to RLWT if either a settlor</w:t>
      </w:r>
      <w:r w:rsidR="005130AA">
        <w:rPr>
          <w:rFonts w:ascii="Times New Roman" w:hAnsi="Times New Roman"/>
          <w:sz w:val="24"/>
          <w:szCs w:val="24"/>
        </w:rPr>
        <w:t xml:space="preserve"> or</w:t>
      </w:r>
      <w:r w:rsidRPr="006C19A4">
        <w:rPr>
          <w:rFonts w:ascii="Times New Roman" w:hAnsi="Times New Roman"/>
          <w:sz w:val="24"/>
          <w:szCs w:val="24"/>
        </w:rPr>
        <w:t xml:space="preserve"> trustee </w:t>
      </w:r>
      <w:r w:rsidR="005130AA">
        <w:rPr>
          <w:rFonts w:ascii="Times New Roman" w:hAnsi="Times New Roman"/>
          <w:sz w:val="24"/>
          <w:szCs w:val="24"/>
        </w:rPr>
        <w:t>is an offshore person (as defined above).</w:t>
      </w:r>
    </w:p>
    <w:p w:rsidR="000D48F4" w:rsidRPr="00A8722F" w:rsidRDefault="000D48F4" w:rsidP="00A8722F">
      <w:pPr>
        <w:pStyle w:val="Bullet-list"/>
        <w:spacing w:after="0" w:line="240" w:lineRule="auto"/>
        <w:ind w:left="0" w:firstLine="0"/>
        <w:jc w:val="both"/>
        <w:rPr>
          <w:rFonts w:ascii="Times New Roman" w:hAnsi="Times New Roman"/>
          <w:sz w:val="24"/>
          <w:szCs w:val="24"/>
        </w:rPr>
      </w:pPr>
    </w:p>
    <w:p w:rsidR="000D48F4" w:rsidRPr="00A8722F" w:rsidRDefault="000D48F4" w:rsidP="00A8722F">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A8722F">
        <w:rPr>
          <w:rFonts w:ascii="Times New Roman" w:hAnsi="Times New Roman"/>
          <w:sz w:val="24"/>
          <w:szCs w:val="24"/>
        </w:rPr>
        <w:t>In addition, the trustees of a discretionary trust have the ability to shift the tax liability to one of the beneficiaries by distributing the income to the beneficiary and treating it as beneficiary income</w:t>
      </w:r>
      <w:r w:rsidR="00A8722F" w:rsidRPr="00A8722F">
        <w:rPr>
          <w:rFonts w:ascii="Times New Roman" w:hAnsi="Times New Roman"/>
          <w:sz w:val="24"/>
          <w:szCs w:val="24"/>
        </w:rPr>
        <w:t xml:space="preserve">.  </w:t>
      </w:r>
      <w:r w:rsidRPr="00A8722F">
        <w:rPr>
          <w:rFonts w:ascii="Times New Roman" w:hAnsi="Times New Roman"/>
          <w:sz w:val="24"/>
          <w:szCs w:val="24"/>
        </w:rPr>
        <w:t>In order to ensure that the gain does not escape tax by being transferred to an offshore beneficiary, the RLWT should also apply to gains of trusts where:</w:t>
      </w:r>
    </w:p>
    <w:p w:rsidR="000D48F4" w:rsidRPr="00A8722F" w:rsidRDefault="000D48F4" w:rsidP="00A8722F">
      <w:pPr>
        <w:pStyle w:val="Bullet-list"/>
        <w:numPr>
          <w:ilvl w:val="0"/>
          <w:numId w:val="5"/>
        </w:numPr>
        <w:spacing w:after="0" w:line="240" w:lineRule="auto"/>
        <w:jc w:val="both"/>
        <w:rPr>
          <w:rFonts w:ascii="Times New Roman" w:hAnsi="Times New Roman"/>
          <w:sz w:val="24"/>
          <w:szCs w:val="24"/>
          <w:lang w:val="en-NZ"/>
        </w:rPr>
      </w:pPr>
      <w:r w:rsidRPr="00A8722F">
        <w:rPr>
          <w:rFonts w:ascii="Times New Roman" w:hAnsi="Times New Roman"/>
          <w:sz w:val="24"/>
          <w:szCs w:val="24"/>
          <w:lang w:val="en-NZ"/>
        </w:rPr>
        <w:t>all of the beneficiaries of the trust are offshore, or</w:t>
      </w:r>
    </w:p>
    <w:p w:rsidR="000D48F4" w:rsidRPr="00A8722F" w:rsidRDefault="000D48F4" w:rsidP="00A8722F">
      <w:pPr>
        <w:pStyle w:val="Bullet-list"/>
        <w:numPr>
          <w:ilvl w:val="0"/>
          <w:numId w:val="5"/>
        </w:numPr>
        <w:spacing w:after="0" w:line="240" w:lineRule="auto"/>
        <w:jc w:val="both"/>
        <w:rPr>
          <w:rFonts w:ascii="Times New Roman" w:hAnsi="Times New Roman"/>
          <w:sz w:val="24"/>
          <w:szCs w:val="24"/>
          <w:lang w:val="en-NZ"/>
        </w:rPr>
      </w:pPr>
      <w:proofErr w:type="gramStart"/>
      <w:r w:rsidRPr="00A8722F">
        <w:rPr>
          <w:rFonts w:ascii="Times New Roman" w:hAnsi="Times New Roman"/>
          <w:sz w:val="24"/>
          <w:szCs w:val="24"/>
          <w:lang w:val="en-NZ"/>
        </w:rPr>
        <w:t>one</w:t>
      </w:r>
      <w:proofErr w:type="gramEnd"/>
      <w:r w:rsidRPr="00A8722F">
        <w:rPr>
          <w:rFonts w:ascii="Times New Roman" w:hAnsi="Times New Roman"/>
          <w:sz w:val="24"/>
          <w:szCs w:val="24"/>
          <w:lang w:val="en-NZ"/>
        </w:rPr>
        <w:t xml:space="preserve"> or more of the beneficiaries are offshore, and the offshore beneficiary received a distribution from the trust within the last six years.</w:t>
      </w:r>
    </w:p>
    <w:p w:rsidR="000D48F4" w:rsidRPr="001C3580" w:rsidRDefault="000D48F4" w:rsidP="001C3580">
      <w:pPr>
        <w:pStyle w:val="Bullet-list"/>
        <w:spacing w:after="0" w:line="240" w:lineRule="auto"/>
        <w:ind w:left="0" w:firstLine="0"/>
        <w:jc w:val="both"/>
        <w:rPr>
          <w:rFonts w:ascii="Times New Roman" w:hAnsi="Times New Roman"/>
          <w:sz w:val="24"/>
          <w:szCs w:val="24"/>
        </w:rPr>
      </w:pPr>
    </w:p>
    <w:p w:rsidR="000D48F4" w:rsidRPr="001C3580" w:rsidRDefault="000D48F4"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1C3580">
        <w:rPr>
          <w:rFonts w:ascii="Times New Roman" w:hAnsi="Times New Roman"/>
          <w:sz w:val="24"/>
          <w:szCs w:val="24"/>
        </w:rPr>
        <w:t>This should limit instances of abuse</w:t>
      </w:r>
      <w:r w:rsidR="005965C4" w:rsidRPr="001C3580">
        <w:rPr>
          <w:rFonts w:ascii="Times New Roman" w:hAnsi="Times New Roman"/>
          <w:sz w:val="24"/>
          <w:szCs w:val="24"/>
        </w:rPr>
        <w:t xml:space="preserve">.  </w:t>
      </w:r>
      <w:r w:rsidRPr="001C3580">
        <w:rPr>
          <w:rFonts w:ascii="Times New Roman" w:hAnsi="Times New Roman"/>
          <w:sz w:val="24"/>
          <w:szCs w:val="24"/>
        </w:rPr>
        <w:t xml:space="preserve">At the same time, it would ensure that most ordinary family trusts that only hold the family home </w:t>
      </w:r>
      <w:r w:rsidR="003B7471" w:rsidRPr="001C3580">
        <w:rPr>
          <w:rFonts w:ascii="Times New Roman" w:hAnsi="Times New Roman"/>
          <w:sz w:val="24"/>
          <w:szCs w:val="24"/>
        </w:rPr>
        <w:t xml:space="preserve">would </w:t>
      </w:r>
      <w:r w:rsidRPr="001C3580">
        <w:rPr>
          <w:rFonts w:ascii="Times New Roman" w:hAnsi="Times New Roman"/>
          <w:sz w:val="24"/>
          <w:szCs w:val="24"/>
        </w:rPr>
        <w:t>not be subject to RLWT solely because some of its beneficiaries reside overseas.</w:t>
      </w:r>
    </w:p>
    <w:p w:rsidR="000D48F4" w:rsidRPr="001C3580" w:rsidRDefault="000D48F4" w:rsidP="001C3580">
      <w:pPr>
        <w:pStyle w:val="Bullet-list"/>
        <w:spacing w:after="0" w:line="240" w:lineRule="auto"/>
        <w:ind w:left="0" w:firstLine="0"/>
        <w:jc w:val="both"/>
        <w:rPr>
          <w:rFonts w:ascii="Times New Roman" w:hAnsi="Times New Roman"/>
          <w:sz w:val="24"/>
          <w:szCs w:val="24"/>
        </w:rPr>
      </w:pPr>
    </w:p>
    <w:p w:rsidR="000D48F4" w:rsidRPr="001C3580" w:rsidRDefault="000D48F4"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1C3580">
        <w:rPr>
          <w:rFonts w:ascii="Times New Roman" w:hAnsi="Times New Roman"/>
          <w:sz w:val="24"/>
          <w:szCs w:val="24"/>
        </w:rPr>
        <w:t>A corporate trustee would be able to qualify for the non-offshore exemption if it met both the company and trust criteria above.</w:t>
      </w:r>
    </w:p>
    <w:p w:rsidR="000D48F4" w:rsidRDefault="000D48F4" w:rsidP="00286880">
      <w:pPr>
        <w:pStyle w:val="Bullet-list"/>
        <w:spacing w:after="0" w:line="240" w:lineRule="auto"/>
        <w:ind w:left="0" w:hanging="720"/>
        <w:jc w:val="both"/>
        <w:rPr>
          <w:szCs w:val="24"/>
        </w:rPr>
      </w:pPr>
    </w:p>
    <w:p w:rsidR="000D48F4" w:rsidRPr="006C19A4" w:rsidRDefault="000D48F4" w:rsidP="00286880">
      <w:pPr>
        <w:pStyle w:val="Bullet-list"/>
        <w:spacing w:after="0" w:line="240" w:lineRule="auto"/>
        <w:ind w:left="0" w:firstLine="0"/>
        <w:jc w:val="both"/>
        <w:rPr>
          <w:i/>
          <w:szCs w:val="24"/>
        </w:rPr>
      </w:pPr>
      <w:r w:rsidRPr="006C19A4">
        <w:rPr>
          <w:rFonts w:ascii="Times New Roman" w:hAnsi="Times New Roman"/>
          <w:i/>
          <w:sz w:val="24"/>
          <w:szCs w:val="24"/>
        </w:rPr>
        <w:t>Certification</w:t>
      </w:r>
    </w:p>
    <w:p w:rsidR="00EA7CBA" w:rsidRDefault="00EA7CBA" w:rsidP="00286880">
      <w:pPr>
        <w:pStyle w:val="ListParagraph"/>
        <w:ind w:left="0" w:hanging="720"/>
        <w:rPr>
          <w:rFonts w:ascii="Times New Roman" w:hAnsi="Times New Roman"/>
          <w:sz w:val="24"/>
          <w:szCs w:val="24"/>
          <w:lang w:val="en-AU"/>
        </w:rPr>
      </w:pPr>
    </w:p>
    <w:p w:rsidR="00CA6BF3" w:rsidRDefault="00CA6BF3"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Pure self-certification is not recommended in this instance, due to the </w:t>
      </w:r>
      <w:r w:rsidR="00FD5BDD">
        <w:rPr>
          <w:rFonts w:ascii="Times New Roman" w:hAnsi="Times New Roman"/>
          <w:sz w:val="24"/>
          <w:szCs w:val="24"/>
        </w:rPr>
        <w:t>funds potentially</w:t>
      </w:r>
      <w:r>
        <w:rPr>
          <w:rFonts w:ascii="Times New Roman" w:hAnsi="Times New Roman"/>
          <w:sz w:val="24"/>
          <w:szCs w:val="24"/>
        </w:rPr>
        <w:t xml:space="preserve"> at stake – the two outcomes for RLWT are withholding and no withholding, while for the majority of other withholding taxes, the two outcomes both involve withholding, but at different rates</w:t>
      </w:r>
      <w:r w:rsidR="005965C4">
        <w:rPr>
          <w:rFonts w:ascii="Times New Roman" w:hAnsi="Times New Roman"/>
          <w:sz w:val="24"/>
          <w:szCs w:val="24"/>
        </w:rPr>
        <w:t xml:space="preserve">.  </w:t>
      </w:r>
      <w:r>
        <w:rPr>
          <w:rFonts w:ascii="Times New Roman" w:hAnsi="Times New Roman"/>
          <w:sz w:val="24"/>
          <w:szCs w:val="24"/>
        </w:rPr>
        <w:t xml:space="preserve">Pure self-certification could create an incentive to </w:t>
      </w:r>
      <w:r w:rsidR="00FD5BDD">
        <w:rPr>
          <w:rFonts w:ascii="Times New Roman" w:hAnsi="Times New Roman"/>
          <w:sz w:val="24"/>
          <w:szCs w:val="24"/>
        </w:rPr>
        <w:t xml:space="preserve">fraudulently </w:t>
      </w:r>
      <w:r>
        <w:rPr>
          <w:rFonts w:ascii="Times New Roman" w:hAnsi="Times New Roman"/>
          <w:sz w:val="24"/>
          <w:szCs w:val="24"/>
        </w:rPr>
        <w:t>self-certify as not an offs</w:t>
      </w:r>
      <w:r w:rsidR="00FD5BDD">
        <w:rPr>
          <w:rFonts w:ascii="Times New Roman" w:hAnsi="Times New Roman"/>
          <w:sz w:val="24"/>
          <w:szCs w:val="24"/>
        </w:rPr>
        <w:t>hore person, thus reducing the effectiveness of the withholding tax.</w:t>
      </w:r>
    </w:p>
    <w:p w:rsidR="00CA6BF3" w:rsidRPr="000047F2" w:rsidRDefault="00CA6BF3">
      <w:pPr>
        <w:pStyle w:val="ListParagraph"/>
        <w:rPr>
          <w:rFonts w:ascii="Times New Roman" w:hAnsi="Times New Roman"/>
          <w:sz w:val="24"/>
          <w:szCs w:val="24"/>
          <w:lang w:val="en-AU"/>
        </w:rPr>
      </w:pPr>
    </w:p>
    <w:p w:rsidR="00CA6BF3" w:rsidRDefault="00CA6BF3" w:rsidP="006C19A4">
      <w:pPr>
        <w:spacing w:after="0" w:line="240" w:lineRule="auto"/>
        <w:jc w:val="both"/>
        <w:rPr>
          <w:rFonts w:ascii="Times New Roman" w:hAnsi="Times New Roman"/>
          <w:i/>
          <w:sz w:val="24"/>
          <w:szCs w:val="24"/>
          <w:lang w:val="en-A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4023"/>
        <w:gridCol w:w="2917"/>
      </w:tblGrid>
      <w:tr w:rsidR="00173EEB" w:rsidRPr="000E6CDD" w:rsidTr="00745324">
        <w:trPr>
          <w:trHeight w:val="195"/>
        </w:trPr>
        <w:tc>
          <w:tcPr>
            <w:tcW w:w="0" w:type="auto"/>
            <w:shd w:val="clear" w:color="auto" w:fill="auto"/>
            <w:vAlign w:val="center"/>
          </w:tcPr>
          <w:p w:rsidR="00CA6BF3" w:rsidRPr="000E6CDD" w:rsidRDefault="00CA6BF3" w:rsidP="006C19A4">
            <w:pPr>
              <w:spacing w:after="0" w:line="240" w:lineRule="auto"/>
              <w:rPr>
                <w:rFonts w:ascii="Times New Roman" w:hAnsi="Times New Roman"/>
                <w:b/>
                <w:sz w:val="20"/>
                <w:lang w:val="en-NZ"/>
              </w:rPr>
            </w:pPr>
            <w:r w:rsidRPr="000E6CDD">
              <w:rPr>
                <w:rFonts w:ascii="Times New Roman" w:hAnsi="Times New Roman"/>
                <w:b/>
                <w:sz w:val="20"/>
                <w:lang w:val="en-NZ"/>
              </w:rPr>
              <w:t>Options</w:t>
            </w:r>
          </w:p>
        </w:tc>
        <w:tc>
          <w:tcPr>
            <w:tcW w:w="0" w:type="auto"/>
            <w:shd w:val="clear" w:color="auto" w:fill="auto"/>
            <w:vAlign w:val="center"/>
          </w:tcPr>
          <w:p w:rsidR="00CA6BF3" w:rsidRPr="000E6CDD" w:rsidRDefault="00CA6BF3" w:rsidP="006C19A4">
            <w:pPr>
              <w:spacing w:after="0" w:line="240" w:lineRule="auto"/>
              <w:rPr>
                <w:rFonts w:ascii="Times New Roman" w:hAnsi="Times New Roman"/>
                <w:b/>
                <w:sz w:val="20"/>
                <w:lang w:val="en-NZ"/>
              </w:rPr>
            </w:pPr>
            <w:r w:rsidRPr="000E6CDD">
              <w:rPr>
                <w:rFonts w:ascii="Times New Roman" w:hAnsi="Times New Roman"/>
                <w:b/>
                <w:sz w:val="20"/>
                <w:lang w:val="en-NZ"/>
              </w:rPr>
              <w:t>Advantages</w:t>
            </w:r>
          </w:p>
        </w:tc>
        <w:tc>
          <w:tcPr>
            <w:tcW w:w="0" w:type="auto"/>
            <w:shd w:val="clear" w:color="auto" w:fill="auto"/>
            <w:vAlign w:val="center"/>
          </w:tcPr>
          <w:p w:rsidR="00CA6BF3" w:rsidRPr="000E6CDD" w:rsidRDefault="00CA6BF3" w:rsidP="006C19A4">
            <w:pPr>
              <w:spacing w:after="0" w:line="240" w:lineRule="auto"/>
              <w:rPr>
                <w:rFonts w:ascii="Times New Roman" w:hAnsi="Times New Roman"/>
                <w:b/>
                <w:sz w:val="20"/>
                <w:lang w:val="en-NZ"/>
              </w:rPr>
            </w:pPr>
            <w:r w:rsidRPr="000E6CDD">
              <w:rPr>
                <w:rFonts w:ascii="Times New Roman" w:hAnsi="Times New Roman"/>
                <w:b/>
                <w:sz w:val="20"/>
                <w:lang w:val="en-NZ"/>
              </w:rPr>
              <w:t>Disadvantages</w:t>
            </w:r>
          </w:p>
        </w:tc>
      </w:tr>
      <w:tr w:rsidR="00173EEB" w:rsidRPr="000E6CDD" w:rsidTr="00745324">
        <w:trPr>
          <w:trHeight w:val="142"/>
        </w:trPr>
        <w:tc>
          <w:tcPr>
            <w:tcW w:w="0" w:type="auto"/>
            <w:vMerge w:val="restart"/>
            <w:shd w:val="clear" w:color="auto" w:fill="auto"/>
            <w:vAlign w:val="center"/>
          </w:tcPr>
          <w:p w:rsidR="00CA6BF3" w:rsidRPr="000E6CDD" w:rsidRDefault="00CA6BF3">
            <w:pPr>
              <w:spacing w:after="0" w:line="240" w:lineRule="auto"/>
              <w:rPr>
                <w:rFonts w:ascii="Times New Roman" w:hAnsi="Times New Roman"/>
                <w:b/>
                <w:i/>
                <w:sz w:val="20"/>
                <w:lang w:val="en-NZ"/>
              </w:rPr>
            </w:pPr>
            <w:r>
              <w:rPr>
                <w:rFonts w:ascii="Times New Roman" w:hAnsi="Times New Roman"/>
                <w:b/>
                <w:i/>
                <w:sz w:val="20"/>
                <w:lang w:val="en-NZ"/>
              </w:rPr>
              <w:t>Pure self-certification</w:t>
            </w:r>
          </w:p>
        </w:tc>
        <w:tc>
          <w:tcPr>
            <w:tcW w:w="0" w:type="auto"/>
            <w:shd w:val="clear" w:color="auto" w:fill="auto"/>
          </w:tcPr>
          <w:p w:rsidR="00CA6BF3" w:rsidRPr="009B05C8" w:rsidRDefault="00CA6BF3">
            <w:pPr>
              <w:spacing w:after="0" w:line="240" w:lineRule="auto"/>
              <w:rPr>
                <w:rFonts w:ascii="Times New Roman" w:hAnsi="Times New Roman"/>
                <w:sz w:val="20"/>
                <w:lang w:val="en-NZ"/>
              </w:rPr>
            </w:pPr>
            <w:r>
              <w:rPr>
                <w:rFonts w:ascii="Times New Roman" w:hAnsi="Times New Roman"/>
                <w:sz w:val="20"/>
                <w:lang w:val="en-NZ"/>
              </w:rPr>
              <w:t>From a compliance perspective, it is very simple.</w:t>
            </w:r>
          </w:p>
        </w:tc>
        <w:tc>
          <w:tcPr>
            <w:tcW w:w="0" w:type="auto"/>
            <w:shd w:val="clear" w:color="auto" w:fill="auto"/>
          </w:tcPr>
          <w:p w:rsidR="00CA6BF3" w:rsidRPr="00F35AE8" w:rsidRDefault="00CA6BF3">
            <w:pPr>
              <w:spacing w:after="0" w:line="240" w:lineRule="auto"/>
              <w:rPr>
                <w:rFonts w:ascii="Times New Roman" w:hAnsi="Times New Roman"/>
                <w:sz w:val="20"/>
                <w:lang w:val="en-NZ"/>
              </w:rPr>
            </w:pPr>
            <w:r>
              <w:rPr>
                <w:rFonts w:ascii="Times New Roman" w:hAnsi="Times New Roman"/>
                <w:sz w:val="20"/>
                <w:lang w:val="en-NZ"/>
              </w:rPr>
              <w:t xml:space="preserve">Could create an incentive to fraudulently self-certify as not </w:t>
            </w:r>
            <w:r w:rsidR="009A5482">
              <w:rPr>
                <w:rFonts w:ascii="Times New Roman" w:hAnsi="Times New Roman"/>
                <w:sz w:val="20"/>
                <w:lang w:val="en-NZ"/>
              </w:rPr>
              <w:t>a</w:t>
            </w:r>
            <w:r>
              <w:rPr>
                <w:rFonts w:ascii="Times New Roman" w:hAnsi="Times New Roman"/>
                <w:sz w:val="20"/>
                <w:lang w:val="en-NZ"/>
              </w:rPr>
              <w:t>n offshore person due to the funds at stake</w:t>
            </w:r>
            <w:r w:rsidR="005965C4">
              <w:rPr>
                <w:rFonts w:ascii="Times New Roman" w:hAnsi="Times New Roman"/>
                <w:sz w:val="20"/>
                <w:lang w:val="en-NZ"/>
              </w:rPr>
              <w:t xml:space="preserve">.  </w:t>
            </w:r>
            <w:r>
              <w:rPr>
                <w:rFonts w:ascii="Times New Roman" w:hAnsi="Times New Roman"/>
                <w:sz w:val="20"/>
                <w:lang w:val="en-NZ"/>
              </w:rPr>
              <w:t>This could substantially reduce the effectiveness of the withholding tax and thus the bright-line test.</w:t>
            </w:r>
          </w:p>
        </w:tc>
      </w:tr>
      <w:tr w:rsidR="00173EEB" w:rsidRPr="000E6CDD" w:rsidTr="00745324">
        <w:trPr>
          <w:trHeight w:val="142"/>
        </w:trPr>
        <w:tc>
          <w:tcPr>
            <w:tcW w:w="0" w:type="auto"/>
            <w:vMerge/>
            <w:shd w:val="clear" w:color="auto" w:fill="auto"/>
            <w:vAlign w:val="center"/>
          </w:tcPr>
          <w:p w:rsidR="00CA6BF3" w:rsidRDefault="00CA6BF3">
            <w:pPr>
              <w:spacing w:after="0" w:line="240" w:lineRule="auto"/>
              <w:rPr>
                <w:rFonts w:ascii="Times New Roman" w:hAnsi="Times New Roman"/>
                <w:b/>
                <w:i/>
                <w:sz w:val="20"/>
                <w:lang w:val="en-NZ"/>
              </w:rPr>
            </w:pPr>
          </w:p>
        </w:tc>
        <w:tc>
          <w:tcPr>
            <w:tcW w:w="0" w:type="auto"/>
            <w:gridSpan w:val="2"/>
            <w:shd w:val="clear" w:color="auto" w:fill="auto"/>
          </w:tcPr>
          <w:p w:rsidR="00CA6BF3" w:rsidRPr="00F35AE8" w:rsidRDefault="00CA6BF3" w:rsidP="006C19A4">
            <w:pPr>
              <w:spacing w:after="0" w:line="240" w:lineRule="auto"/>
              <w:rPr>
                <w:rFonts w:ascii="Times New Roman" w:hAnsi="Times New Roman"/>
                <w:sz w:val="20"/>
                <w:lang w:val="en-NZ"/>
              </w:rPr>
            </w:pPr>
            <w:r w:rsidRPr="00283405">
              <w:rPr>
                <w:rFonts w:ascii="Times New Roman" w:hAnsi="Times New Roman"/>
                <w:sz w:val="20"/>
                <w:u w:val="single"/>
                <w:lang w:val="en-NZ"/>
              </w:rPr>
              <w:t>Recommendation</w:t>
            </w:r>
            <w:r>
              <w:rPr>
                <w:rFonts w:ascii="Times New Roman" w:hAnsi="Times New Roman"/>
                <w:sz w:val="20"/>
                <w:lang w:val="en-NZ"/>
              </w:rPr>
              <w:t>: not recommended</w:t>
            </w:r>
            <w:r w:rsidR="009A5482">
              <w:rPr>
                <w:rFonts w:ascii="Times New Roman" w:hAnsi="Times New Roman"/>
                <w:sz w:val="20"/>
                <w:lang w:val="en-NZ"/>
              </w:rPr>
              <w:t>.</w:t>
            </w:r>
          </w:p>
        </w:tc>
      </w:tr>
      <w:tr w:rsidR="00173EEB" w:rsidRPr="000E6CDD" w:rsidTr="00CA6BF3">
        <w:trPr>
          <w:trHeight w:val="97"/>
        </w:trPr>
        <w:tc>
          <w:tcPr>
            <w:tcW w:w="0" w:type="auto"/>
            <w:vMerge w:val="restart"/>
            <w:shd w:val="clear" w:color="auto" w:fill="auto"/>
            <w:vAlign w:val="center"/>
          </w:tcPr>
          <w:p w:rsidR="00CA6BF3" w:rsidRPr="000E6CDD" w:rsidRDefault="00CA6BF3">
            <w:pPr>
              <w:spacing w:after="0" w:line="240" w:lineRule="auto"/>
              <w:rPr>
                <w:rFonts w:ascii="Times New Roman" w:hAnsi="Times New Roman"/>
                <w:b/>
                <w:i/>
                <w:sz w:val="20"/>
                <w:lang w:val="en-NZ"/>
              </w:rPr>
            </w:pPr>
            <w:r>
              <w:rPr>
                <w:rFonts w:ascii="Times New Roman" w:hAnsi="Times New Roman"/>
                <w:b/>
                <w:i/>
                <w:sz w:val="20"/>
                <w:lang w:val="en-NZ"/>
              </w:rPr>
              <w:t>Provision of information by seller and certification by conveyancing agent</w:t>
            </w:r>
          </w:p>
        </w:tc>
        <w:tc>
          <w:tcPr>
            <w:tcW w:w="0" w:type="auto"/>
            <w:shd w:val="clear" w:color="auto" w:fill="auto"/>
          </w:tcPr>
          <w:p w:rsidR="00CA6BF3" w:rsidRPr="009B05C8" w:rsidRDefault="00CA6BF3">
            <w:pPr>
              <w:spacing w:after="0" w:line="240" w:lineRule="auto"/>
              <w:rPr>
                <w:rFonts w:ascii="Times New Roman" w:hAnsi="Times New Roman"/>
                <w:sz w:val="20"/>
                <w:lang w:val="en-NZ"/>
              </w:rPr>
            </w:pPr>
            <w:r>
              <w:rPr>
                <w:rFonts w:ascii="Times New Roman" w:hAnsi="Times New Roman"/>
                <w:sz w:val="20"/>
                <w:lang w:val="en-NZ"/>
              </w:rPr>
              <w:t>Could be very difficult or impractical to determine in relation to non-individuals</w:t>
            </w:r>
            <w:r w:rsidR="005965C4">
              <w:rPr>
                <w:rFonts w:ascii="Times New Roman" w:hAnsi="Times New Roman"/>
                <w:sz w:val="20"/>
                <w:lang w:val="en-NZ"/>
              </w:rPr>
              <w:t xml:space="preserve">.  </w:t>
            </w:r>
            <w:r>
              <w:rPr>
                <w:rFonts w:ascii="Times New Roman" w:hAnsi="Times New Roman"/>
                <w:sz w:val="20"/>
                <w:lang w:val="en-NZ"/>
              </w:rPr>
              <w:t>This would increase compliance costs substantially.</w:t>
            </w:r>
          </w:p>
        </w:tc>
        <w:tc>
          <w:tcPr>
            <w:tcW w:w="0" w:type="auto"/>
            <w:shd w:val="clear" w:color="auto" w:fill="auto"/>
          </w:tcPr>
          <w:p w:rsidR="00CA6BF3" w:rsidRPr="00F35AE8" w:rsidRDefault="00CA6BF3">
            <w:pPr>
              <w:spacing w:after="0" w:line="240" w:lineRule="auto"/>
              <w:rPr>
                <w:rFonts w:ascii="Times New Roman" w:hAnsi="Times New Roman"/>
                <w:sz w:val="20"/>
                <w:lang w:val="en-NZ"/>
              </w:rPr>
            </w:pPr>
            <w:r>
              <w:rPr>
                <w:rFonts w:ascii="Times New Roman" w:hAnsi="Times New Roman"/>
                <w:sz w:val="20"/>
                <w:lang w:val="en-NZ"/>
              </w:rPr>
              <w:t>Less likely for offshore person non-individuals to be incorrectly classified</w:t>
            </w:r>
            <w:r w:rsidR="005965C4">
              <w:rPr>
                <w:rFonts w:ascii="Times New Roman" w:hAnsi="Times New Roman"/>
                <w:sz w:val="20"/>
                <w:lang w:val="en-NZ"/>
              </w:rPr>
              <w:t xml:space="preserve">.  </w:t>
            </w:r>
            <w:r>
              <w:rPr>
                <w:rFonts w:ascii="Times New Roman" w:hAnsi="Times New Roman"/>
                <w:sz w:val="20"/>
                <w:lang w:val="en-NZ"/>
              </w:rPr>
              <w:t>This would enhance the effectiveness of the withholding tax and bright-line test.</w:t>
            </w:r>
          </w:p>
        </w:tc>
      </w:tr>
      <w:tr w:rsidR="00173EEB" w:rsidRPr="000E6CDD" w:rsidTr="00745324">
        <w:trPr>
          <w:trHeight w:val="97"/>
        </w:trPr>
        <w:tc>
          <w:tcPr>
            <w:tcW w:w="0" w:type="auto"/>
            <w:vMerge/>
            <w:shd w:val="clear" w:color="auto" w:fill="auto"/>
            <w:vAlign w:val="center"/>
          </w:tcPr>
          <w:p w:rsidR="00CA6BF3" w:rsidRDefault="00CA6BF3">
            <w:pPr>
              <w:spacing w:after="0" w:line="240" w:lineRule="auto"/>
              <w:rPr>
                <w:rFonts w:ascii="Times New Roman" w:hAnsi="Times New Roman"/>
                <w:b/>
                <w:i/>
                <w:sz w:val="20"/>
                <w:lang w:val="en-NZ"/>
              </w:rPr>
            </w:pPr>
          </w:p>
        </w:tc>
        <w:tc>
          <w:tcPr>
            <w:tcW w:w="0" w:type="auto"/>
            <w:gridSpan w:val="2"/>
            <w:shd w:val="clear" w:color="auto" w:fill="auto"/>
          </w:tcPr>
          <w:p w:rsidR="00CA6BF3" w:rsidRPr="006719F2" w:rsidRDefault="00CA6BF3" w:rsidP="006C19A4">
            <w:pPr>
              <w:spacing w:after="0" w:line="240" w:lineRule="auto"/>
              <w:rPr>
                <w:rFonts w:ascii="Times New Roman" w:hAnsi="Times New Roman"/>
                <w:sz w:val="20"/>
                <w:lang w:val="en-NZ"/>
              </w:rPr>
            </w:pPr>
            <w:r w:rsidRPr="00283405">
              <w:rPr>
                <w:rFonts w:ascii="Times New Roman" w:hAnsi="Times New Roman"/>
                <w:sz w:val="20"/>
                <w:u w:val="single"/>
                <w:lang w:val="en-NZ"/>
              </w:rPr>
              <w:t>Recommendation</w:t>
            </w:r>
            <w:r>
              <w:rPr>
                <w:rFonts w:ascii="Times New Roman" w:hAnsi="Times New Roman"/>
                <w:sz w:val="20"/>
                <w:lang w:val="en-NZ"/>
              </w:rPr>
              <w:t>: not recommended</w:t>
            </w:r>
            <w:r w:rsidR="009A5482">
              <w:rPr>
                <w:rFonts w:ascii="Times New Roman" w:hAnsi="Times New Roman"/>
                <w:sz w:val="20"/>
                <w:lang w:val="en-NZ"/>
              </w:rPr>
              <w:t>.</w:t>
            </w:r>
          </w:p>
        </w:tc>
      </w:tr>
      <w:tr w:rsidR="00173EEB" w:rsidRPr="000E6CDD" w:rsidTr="00745324">
        <w:trPr>
          <w:trHeight w:val="175"/>
        </w:trPr>
        <w:tc>
          <w:tcPr>
            <w:tcW w:w="0" w:type="auto"/>
            <w:vMerge w:val="restart"/>
            <w:shd w:val="clear" w:color="auto" w:fill="auto"/>
            <w:vAlign w:val="center"/>
          </w:tcPr>
          <w:p w:rsidR="00CA6BF3" w:rsidRPr="000E6CDD" w:rsidRDefault="00173EEB">
            <w:pPr>
              <w:spacing w:after="0" w:line="240" w:lineRule="auto"/>
              <w:rPr>
                <w:rFonts w:ascii="Times New Roman" w:hAnsi="Times New Roman"/>
                <w:b/>
                <w:i/>
                <w:sz w:val="20"/>
                <w:lang w:val="en-NZ"/>
              </w:rPr>
            </w:pPr>
            <w:r>
              <w:rPr>
                <w:rFonts w:ascii="Times New Roman" w:hAnsi="Times New Roman"/>
                <w:b/>
                <w:i/>
                <w:sz w:val="20"/>
                <w:lang w:val="en-NZ"/>
              </w:rPr>
              <w:t>Withhold</w:t>
            </w:r>
            <w:r w:rsidR="003B7471">
              <w:rPr>
                <w:rFonts w:ascii="Times New Roman" w:hAnsi="Times New Roman"/>
                <w:b/>
                <w:i/>
                <w:sz w:val="20"/>
                <w:lang w:val="en-NZ"/>
              </w:rPr>
              <w:t>ing agent</w:t>
            </w:r>
            <w:r>
              <w:rPr>
                <w:rFonts w:ascii="Times New Roman" w:hAnsi="Times New Roman"/>
                <w:b/>
                <w:i/>
                <w:sz w:val="20"/>
                <w:lang w:val="en-NZ"/>
              </w:rPr>
              <w:t xml:space="preserve"> must be satisfied that person is not offshore, with clear guidance on who is offshore and what information is acceptable</w:t>
            </w:r>
          </w:p>
        </w:tc>
        <w:tc>
          <w:tcPr>
            <w:tcW w:w="0" w:type="auto"/>
            <w:shd w:val="clear" w:color="auto" w:fill="auto"/>
          </w:tcPr>
          <w:p w:rsidR="00CA6BF3" w:rsidRPr="009B05C8" w:rsidRDefault="000C3C89">
            <w:pPr>
              <w:spacing w:after="0" w:line="240" w:lineRule="auto"/>
              <w:rPr>
                <w:rFonts w:ascii="Times New Roman" w:hAnsi="Times New Roman"/>
                <w:sz w:val="20"/>
                <w:lang w:val="en-NZ"/>
              </w:rPr>
            </w:pPr>
            <w:r>
              <w:rPr>
                <w:rFonts w:ascii="Times New Roman" w:hAnsi="Times New Roman"/>
                <w:sz w:val="20"/>
                <w:lang w:val="en-NZ"/>
              </w:rPr>
              <w:t>Reduces compliance burden placed on withholding agents to determine whether a non-individual is an offshore person</w:t>
            </w:r>
            <w:r w:rsidR="005965C4">
              <w:rPr>
                <w:rFonts w:ascii="Times New Roman" w:hAnsi="Times New Roman"/>
                <w:sz w:val="20"/>
                <w:lang w:val="en-NZ"/>
              </w:rPr>
              <w:t xml:space="preserve">.  </w:t>
            </w:r>
            <w:r w:rsidR="00B6599B">
              <w:rPr>
                <w:rFonts w:ascii="Times New Roman" w:hAnsi="Times New Roman"/>
                <w:sz w:val="20"/>
                <w:lang w:val="en-NZ"/>
              </w:rPr>
              <w:t>The r</w:t>
            </w:r>
            <w:r>
              <w:rPr>
                <w:rFonts w:ascii="Times New Roman" w:hAnsi="Times New Roman"/>
                <w:sz w:val="20"/>
                <w:lang w:val="en-NZ"/>
              </w:rPr>
              <w:t xml:space="preserve">equirement that </w:t>
            </w:r>
            <w:r w:rsidR="00B6599B">
              <w:rPr>
                <w:rFonts w:ascii="Times New Roman" w:hAnsi="Times New Roman"/>
                <w:sz w:val="20"/>
                <w:lang w:val="en-NZ"/>
              </w:rPr>
              <w:t xml:space="preserve">the non-offshore person who controls the entity must </w:t>
            </w:r>
            <w:r>
              <w:rPr>
                <w:rFonts w:ascii="Times New Roman" w:hAnsi="Times New Roman"/>
                <w:sz w:val="20"/>
                <w:lang w:val="en-NZ"/>
              </w:rPr>
              <w:t xml:space="preserve">provide </w:t>
            </w:r>
            <w:r w:rsidR="00B6599B">
              <w:rPr>
                <w:rFonts w:ascii="Times New Roman" w:hAnsi="Times New Roman"/>
                <w:sz w:val="20"/>
                <w:lang w:val="en-NZ"/>
              </w:rPr>
              <w:t xml:space="preserve">a </w:t>
            </w:r>
            <w:r>
              <w:rPr>
                <w:rFonts w:ascii="Times New Roman" w:hAnsi="Times New Roman"/>
                <w:sz w:val="20"/>
                <w:lang w:val="en-NZ"/>
              </w:rPr>
              <w:t xml:space="preserve">statement </w:t>
            </w:r>
            <w:r w:rsidR="00B6599B">
              <w:rPr>
                <w:rFonts w:ascii="Times New Roman" w:hAnsi="Times New Roman"/>
                <w:sz w:val="20"/>
                <w:lang w:val="en-NZ"/>
              </w:rPr>
              <w:t xml:space="preserve">in relation to the offshore status of underlying owners </w:t>
            </w:r>
            <w:r>
              <w:rPr>
                <w:rFonts w:ascii="Times New Roman" w:hAnsi="Times New Roman"/>
                <w:sz w:val="20"/>
                <w:lang w:val="en-NZ"/>
              </w:rPr>
              <w:t xml:space="preserve">gives the Commissioner someone to impose penalties on if </w:t>
            </w:r>
            <w:r w:rsidR="009A5482">
              <w:rPr>
                <w:rFonts w:ascii="Times New Roman" w:hAnsi="Times New Roman"/>
                <w:sz w:val="20"/>
                <w:lang w:val="en-NZ"/>
              </w:rPr>
              <w:t xml:space="preserve">the </w:t>
            </w:r>
            <w:r>
              <w:rPr>
                <w:rFonts w:ascii="Times New Roman" w:hAnsi="Times New Roman"/>
                <w:sz w:val="20"/>
                <w:lang w:val="en-NZ"/>
              </w:rPr>
              <w:t xml:space="preserve">statement </w:t>
            </w:r>
            <w:r w:rsidR="009A5482">
              <w:rPr>
                <w:rFonts w:ascii="Times New Roman" w:hAnsi="Times New Roman"/>
                <w:sz w:val="20"/>
                <w:lang w:val="en-NZ"/>
              </w:rPr>
              <w:t xml:space="preserve">is </w:t>
            </w:r>
            <w:r>
              <w:rPr>
                <w:rFonts w:ascii="Times New Roman" w:hAnsi="Times New Roman"/>
                <w:sz w:val="20"/>
                <w:lang w:val="en-NZ"/>
              </w:rPr>
              <w:t>incorrect.</w:t>
            </w:r>
          </w:p>
        </w:tc>
        <w:tc>
          <w:tcPr>
            <w:tcW w:w="0" w:type="auto"/>
            <w:shd w:val="clear" w:color="auto" w:fill="auto"/>
          </w:tcPr>
          <w:p w:rsidR="00CA6BF3" w:rsidRPr="009B05C8" w:rsidRDefault="000C3C89">
            <w:pPr>
              <w:spacing w:after="0" w:line="240" w:lineRule="auto"/>
              <w:rPr>
                <w:rFonts w:ascii="Times New Roman" w:hAnsi="Times New Roman"/>
                <w:sz w:val="20"/>
                <w:lang w:val="en-NZ"/>
              </w:rPr>
            </w:pPr>
            <w:r>
              <w:rPr>
                <w:rFonts w:ascii="Times New Roman" w:hAnsi="Times New Roman"/>
                <w:sz w:val="20"/>
                <w:lang w:val="en-NZ"/>
              </w:rPr>
              <w:t>Would still impose compliance costs on non-individuals in order to be able to correctly state whether they are an offshore person.</w:t>
            </w:r>
          </w:p>
        </w:tc>
      </w:tr>
      <w:tr w:rsidR="00173EEB" w:rsidRPr="000E6CDD" w:rsidTr="00EB3175">
        <w:trPr>
          <w:trHeight w:val="277"/>
        </w:trPr>
        <w:tc>
          <w:tcPr>
            <w:tcW w:w="0" w:type="auto"/>
            <w:vMerge/>
            <w:shd w:val="clear" w:color="auto" w:fill="auto"/>
            <w:vAlign w:val="center"/>
          </w:tcPr>
          <w:p w:rsidR="00CA6BF3" w:rsidRDefault="00CA6BF3">
            <w:pPr>
              <w:spacing w:after="0" w:line="240" w:lineRule="auto"/>
              <w:rPr>
                <w:rFonts w:ascii="Times New Roman" w:hAnsi="Times New Roman"/>
                <w:b/>
                <w:i/>
                <w:sz w:val="20"/>
                <w:lang w:val="en-NZ"/>
              </w:rPr>
            </w:pPr>
          </w:p>
        </w:tc>
        <w:tc>
          <w:tcPr>
            <w:tcW w:w="0" w:type="auto"/>
            <w:gridSpan w:val="2"/>
            <w:shd w:val="clear" w:color="auto" w:fill="auto"/>
          </w:tcPr>
          <w:p w:rsidR="00CA6BF3" w:rsidRPr="006719F2" w:rsidRDefault="00CA6BF3" w:rsidP="006C19A4">
            <w:pPr>
              <w:spacing w:after="0" w:line="240" w:lineRule="auto"/>
              <w:rPr>
                <w:rFonts w:ascii="Times New Roman" w:hAnsi="Times New Roman"/>
                <w:sz w:val="20"/>
                <w:lang w:val="en-NZ"/>
              </w:rPr>
            </w:pPr>
            <w:r w:rsidRPr="00283405">
              <w:rPr>
                <w:rFonts w:ascii="Times New Roman" w:hAnsi="Times New Roman"/>
                <w:sz w:val="20"/>
                <w:u w:val="single"/>
                <w:lang w:val="en-NZ"/>
              </w:rPr>
              <w:t>Recommendation</w:t>
            </w:r>
            <w:r>
              <w:rPr>
                <w:rFonts w:ascii="Times New Roman" w:hAnsi="Times New Roman"/>
                <w:sz w:val="20"/>
                <w:lang w:val="en-NZ"/>
              </w:rPr>
              <w:t>: recommended</w:t>
            </w:r>
            <w:r w:rsidR="009A5482">
              <w:rPr>
                <w:rFonts w:ascii="Times New Roman" w:hAnsi="Times New Roman"/>
                <w:sz w:val="20"/>
                <w:lang w:val="en-NZ"/>
              </w:rPr>
              <w:t>.</w:t>
            </w:r>
          </w:p>
        </w:tc>
      </w:tr>
    </w:tbl>
    <w:p w:rsidR="00563F90" w:rsidRDefault="00563F90" w:rsidP="006C19A4">
      <w:pPr>
        <w:pStyle w:val="spacer"/>
        <w:jc w:val="both"/>
        <w:rPr>
          <w:rFonts w:ascii="Times New Roman" w:hAnsi="Times New Roman"/>
          <w:i/>
          <w:sz w:val="24"/>
          <w:szCs w:val="24"/>
          <w:highlight w:val="yellow"/>
          <w:lang w:val="en-AU"/>
        </w:rPr>
      </w:pPr>
      <w:bookmarkStart w:id="21" w:name="_Toc244580366"/>
      <w:bookmarkStart w:id="22" w:name="_Toc244587042"/>
      <w:bookmarkStart w:id="23" w:name="_Toc244857276"/>
      <w:bookmarkStart w:id="24" w:name="_Toc244912541"/>
      <w:bookmarkStart w:id="25" w:name="_Toc244916998"/>
    </w:p>
    <w:p w:rsidR="00D943DD" w:rsidRPr="006C19A4" w:rsidRDefault="001C13A9" w:rsidP="006C19A4">
      <w:pPr>
        <w:pStyle w:val="spacer"/>
        <w:jc w:val="both"/>
        <w:rPr>
          <w:rFonts w:ascii="Times New Roman" w:hAnsi="Times New Roman"/>
          <w:b/>
          <w:i/>
          <w:sz w:val="24"/>
          <w:szCs w:val="24"/>
          <w:lang w:val="en-AU"/>
        </w:rPr>
      </w:pPr>
      <w:r w:rsidRPr="006C19A4">
        <w:rPr>
          <w:rFonts w:ascii="Times New Roman" w:hAnsi="Times New Roman"/>
          <w:b/>
          <w:i/>
          <w:sz w:val="24"/>
          <w:szCs w:val="24"/>
          <w:lang w:val="en-AU"/>
        </w:rPr>
        <w:t>Penalties for failure to withhold</w:t>
      </w:r>
    </w:p>
    <w:p w:rsidR="001A57AD" w:rsidRDefault="001A57AD">
      <w:pPr>
        <w:pStyle w:val="ListParagraph"/>
        <w:ind w:left="0"/>
        <w:rPr>
          <w:rFonts w:ascii="Times New Roman" w:hAnsi="Times New Roman"/>
          <w:sz w:val="24"/>
          <w:szCs w:val="24"/>
          <w:lang w:val="en-AU"/>
        </w:rPr>
      </w:pPr>
    </w:p>
    <w:p w:rsidR="006A151C" w:rsidRDefault="001A57AD"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Penalties play an important role in ensuring that taxpayers, including withholding agents, do not have an incentive to not comply with their tax obligation</w:t>
      </w:r>
      <w:r w:rsidR="009A5482">
        <w:rPr>
          <w:rFonts w:ascii="Times New Roman" w:hAnsi="Times New Roman"/>
          <w:sz w:val="24"/>
          <w:szCs w:val="24"/>
        </w:rPr>
        <w:t>s</w:t>
      </w:r>
      <w:r w:rsidR="005965C4">
        <w:rPr>
          <w:rFonts w:ascii="Times New Roman" w:hAnsi="Times New Roman"/>
          <w:sz w:val="24"/>
          <w:szCs w:val="24"/>
        </w:rPr>
        <w:t xml:space="preserve">.  </w:t>
      </w:r>
      <w:r>
        <w:rPr>
          <w:rFonts w:ascii="Times New Roman" w:hAnsi="Times New Roman"/>
          <w:sz w:val="24"/>
          <w:szCs w:val="24"/>
        </w:rPr>
        <w:t>The Tax Administration Act 1994 provides for a number of monetary penalties</w:t>
      </w:r>
      <w:r w:rsidR="00A64907">
        <w:rPr>
          <w:rFonts w:ascii="Times New Roman" w:hAnsi="Times New Roman"/>
          <w:sz w:val="24"/>
          <w:szCs w:val="24"/>
        </w:rPr>
        <w:t>, for example, late payment penalties and shortfall penalties</w:t>
      </w:r>
      <w:r w:rsidR="005965C4">
        <w:rPr>
          <w:rFonts w:ascii="Times New Roman" w:hAnsi="Times New Roman"/>
          <w:sz w:val="24"/>
          <w:szCs w:val="24"/>
        </w:rPr>
        <w:t xml:space="preserve">.  </w:t>
      </w:r>
    </w:p>
    <w:p w:rsidR="006A151C" w:rsidRDefault="006A151C" w:rsidP="001C3580">
      <w:pPr>
        <w:pStyle w:val="Bullet-list"/>
        <w:spacing w:after="0" w:line="240" w:lineRule="auto"/>
        <w:ind w:left="0" w:firstLine="0"/>
        <w:jc w:val="both"/>
        <w:rPr>
          <w:rFonts w:ascii="Times New Roman" w:hAnsi="Times New Roman"/>
          <w:sz w:val="24"/>
          <w:szCs w:val="24"/>
        </w:rPr>
      </w:pPr>
    </w:p>
    <w:p w:rsidR="001A57AD" w:rsidRDefault="00A64907"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To maintain overall coherence of the penalties regime, we recommended as a starting point</w:t>
      </w:r>
      <w:r w:rsidR="009A5482">
        <w:rPr>
          <w:rFonts w:ascii="Times New Roman" w:hAnsi="Times New Roman"/>
          <w:sz w:val="24"/>
          <w:szCs w:val="24"/>
        </w:rPr>
        <w:t>,</w:t>
      </w:r>
      <w:r>
        <w:rPr>
          <w:rFonts w:ascii="Times New Roman" w:hAnsi="Times New Roman"/>
          <w:sz w:val="24"/>
          <w:szCs w:val="24"/>
        </w:rPr>
        <w:t xml:space="preserve"> the existing penalties that apply to withholding regimes should apply to withholding agents who have not complied with their withholding obligations.</w:t>
      </w:r>
    </w:p>
    <w:p w:rsidR="00E21AF8" w:rsidRPr="006C19A4" w:rsidRDefault="00E21AF8" w:rsidP="001C3580">
      <w:pPr>
        <w:pStyle w:val="Bullet-list"/>
        <w:spacing w:after="0" w:line="240" w:lineRule="auto"/>
        <w:ind w:left="0" w:firstLine="0"/>
        <w:jc w:val="both"/>
        <w:rPr>
          <w:rFonts w:ascii="Times New Roman" w:hAnsi="Times New Roman"/>
          <w:sz w:val="24"/>
          <w:szCs w:val="24"/>
        </w:rPr>
      </w:pPr>
    </w:p>
    <w:p w:rsidR="00A64907" w:rsidRPr="00E21AF8" w:rsidRDefault="00E21AF8"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E21AF8">
        <w:rPr>
          <w:rFonts w:ascii="Times New Roman" w:hAnsi="Times New Roman"/>
          <w:sz w:val="24"/>
          <w:szCs w:val="24"/>
        </w:rPr>
        <w:t>In some cases, it is possible for criminal penalties, including “absolute liability offences” to apply</w:t>
      </w:r>
      <w:r w:rsidR="005965C4">
        <w:rPr>
          <w:rFonts w:ascii="Times New Roman" w:hAnsi="Times New Roman"/>
          <w:sz w:val="24"/>
          <w:szCs w:val="24"/>
        </w:rPr>
        <w:t xml:space="preserve">.  </w:t>
      </w:r>
      <w:r w:rsidRPr="00E21AF8">
        <w:rPr>
          <w:rFonts w:ascii="Times New Roman" w:hAnsi="Times New Roman"/>
          <w:sz w:val="24"/>
          <w:szCs w:val="24"/>
        </w:rPr>
        <w:t>For example, failing to keep documents required to be kept by tax law is an offence punishable by a fine not exceeding $12,000</w:t>
      </w:r>
      <w:r w:rsidR="005965C4">
        <w:rPr>
          <w:rFonts w:ascii="Times New Roman" w:hAnsi="Times New Roman"/>
          <w:sz w:val="24"/>
          <w:szCs w:val="24"/>
        </w:rPr>
        <w:t xml:space="preserve">.  </w:t>
      </w:r>
      <w:r w:rsidRPr="00E21AF8">
        <w:rPr>
          <w:rFonts w:ascii="Times New Roman" w:hAnsi="Times New Roman"/>
          <w:sz w:val="24"/>
          <w:szCs w:val="24"/>
        </w:rPr>
        <w:t>During consultation, some submitters expressed concern in relation to the potential application of criminal penalties</w:t>
      </w:r>
      <w:r w:rsidR="005965C4">
        <w:rPr>
          <w:rFonts w:ascii="Times New Roman" w:hAnsi="Times New Roman"/>
          <w:sz w:val="24"/>
          <w:szCs w:val="24"/>
        </w:rPr>
        <w:t xml:space="preserve">.  </w:t>
      </w:r>
      <w:r w:rsidRPr="00E21AF8">
        <w:rPr>
          <w:rFonts w:ascii="Times New Roman" w:hAnsi="Times New Roman"/>
          <w:sz w:val="24"/>
          <w:szCs w:val="24"/>
        </w:rPr>
        <w:t>While they agreed that monetary penalties were appropriate, they were concerned that applying criminal penalties in relatively “low level” cases could have overly severe consequences for conveyancing agents</w:t>
      </w:r>
      <w:r w:rsidR="005965C4">
        <w:rPr>
          <w:rFonts w:ascii="Times New Roman" w:hAnsi="Times New Roman"/>
          <w:sz w:val="24"/>
          <w:szCs w:val="24"/>
        </w:rPr>
        <w:t xml:space="preserve">.  </w:t>
      </w:r>
      <w:r w:rsidRPr="00E21AF8">
        <w:rPr>
          <w:rFonts w:ascii="Times New Roman" w:hAnsi="Times New Roman"/>
          <w:sz w:val="24"/>
          <w:szCs w:val="24"/>
        </w:rPr>
        <w:t>We note that potential criminal penalties are relatively few in number, but are critical to the integrity of the tax system</w:t>
      </w:r>
      <w:r w:rsidR="005965C4">
        <w:rPr>
          <w:rFonts w:ascii="Times New Roman" w:hAnsi="Times New Roman"/>
          <w:sz w:val="24"/>
          <w:szCs w:val="24"/>
        </w:rPr>
        <w:t xml:space="preserve">.  </w:t>
      </w:r>
      <w:r w:rsidRPr="00E21AF8">
        <w:rPr>
          <w:rFonts w:ascii="Times New Roman" w:hAnsi="Times New Roman"/>
          <w:sz w:val="24"/>
          <w:szCs w:val="24"/>
        </w:rPr>
        <w:t>They apply to all persons with tax obligations</w:t>
      </w:r>
      <w:r w:rsidR="00882CD6">
        <w:rPr>
          <w:rFonts w:ascii="Times New Roman" w:hAnsi="Times New Roman"/>
          <w:sz w:val="24"/>
          <w:szCs w:val="24"/>
        </w:rPr>
        <w:t>.</w:t>
      </w:r>
      <w:r w:rsidR="005965C4">
        <w:rPr>
          <w:rFonts w:ascii="Times New Roman" w:hAnsi="Times New Roman"/>
          <w:sz w:val="24"/>
          <w:szCs w:val="24"/>
        </w:rPr>
        <w:t xml:space="preserve"> </w:t>
      </w:r>
    </w:p>
    <w:p w:rsidR="00E21AF8" w:rsidRDefault="00E21AF8" w:rsidP="001C3580">
      <w:pPr>
        <w:pStyle w:val="Bullet-list"/>
        <w:spacing w:after="0" w:line="240" w:lineRule="auto"/>
        <w:ind w:left="0" w:firstLine="0"/>
        <w:jc w:val="both"/>
        <w:rPr>
          <w:rFonts w:ascii="Times New Roman" w:hAnsi="Times New Roman"/>
          <w:sz w:val="24"/>
          <w:szCs w:val="24"/>
        </w:rPr>
      </w:pPr>
    </w:p>
    <w:p w:rsidR="00A64907" w:rsidRDefault="00A64907"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However, unlike other withholding regimes, we do not recommend </w:t>
      </w:r>
      <w:r w:rsidR="006A151C">
        <w:rPr>
          <w:rFonts w:ascii="Times New Roman" w:hAnsi="Times New Roman"/>
          <w:sz w:val="24"/>
          <w:szCs w:val="24"/>
        </w:rPr>
        <w:t xml:space="preserve">also </w:t>
      </w:r>
      <w:r>
        <w:rPr>
          <w:rFonts w:ascii="Times New Roman" w:hAnsi="Times New Roman"/>
          <w:sz w:val="24"/>
          <w:szCs w:val="24"/>
        </w:rPr>
        <w:t>making the conveyancing agent responsible for the underlying amount that should have been withheld</w:t>
      </w:r>
      <w:r w:rsidR="005965C4">
        <w:rPr>
          <w:rFonts w:ascii="Times New Roman" w:hAnsi="Times New Roman"/>
          <w:sz w:val="24"/>
          <w:szCs w:val="24"/>
        </w:rPr>
        <w:t xml:space="preserve">.  </w:t>
      </w:r>
      <w:r>
        <w:rPr>
          <w:rFonts w:ascii="Times New Roman" w:hAnsi="Times New Roman"/>
          <w:sz w:val="24"/>
          <w:szCs w:val="24"/>
        </w:rPr>
        <w:t>This is because they are an intermediary in the process and neither the purchase amount nor sales proceeds belongs them</w:t>
      </w:r>
      <w:r w:rsidR="005965C4">
        <w:rPr>
          <w:rFonts w:ascii="Times New Roman" w:hAnsi="Times New Roman"/>
          <w:sz w:val="24"/>
          <w:szCs w:val="24"/>
        </w:rPr>
        <w:t xml:space="preserve">.  </w:t>
      </w:r>
      <w:r>
        <w:rPr>
          <w:rFonts w:ascii="Times New Roman" w:hAnsi="Times New Roman"/>
          <w:sz w:val="24"/>
          <w:szCs w:val="24"/>
        </w:rPr>
        <w:t>To do so would likely increase the cost of professional indemnity insurance, potentially substantially</w:t>
      </w:r>
      <w:r w:rsidR="005965C4">
        <w:rPr>
          <w:rFonts w:ascii="Times New Roman" w:hAnsi="Times New Roman"/>
          <w:sz w:val="24"/>
          <w:szCs w:val="24"/>
        </w:rPr>
        <w:t xml:space="preserve">.  </w:t>
      </w:r>
    </w:p>
    <w:p w:rsidR="00A64907" w:rsidRPr="000047F2" w:rsidRDefault="00A64907" w:rsidP="001C3580">
      <w:pPr>
        <w:pStyle w:val="Bullet-list"/>
        <w:spacing w:after="0" w:line="240" w:lineRule="auto"/>
        <w:ind w:left="0" w:firstLine="0"/>
        <w:jc w:val="both"/>
        <w:rPr>
          <w:rFonts w:ascii="Times New Roman" w:hAnsi="Times New Roman"/>
          <w:sz w:val="24"/>
          <w:szCs w:val="24"/>
        </w:rPr>
      </w:pPr>
    </w:p>
    <w:p w:rsidR="00A64907" w:rsidRDefault="00A64907"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Other countries </w:t>
      </w:r>
      <w:r w:rsidR="00E21AF8">
        <w:rPr>
          <w:rFonts w:ascii="Times New Roman" w:hAnsi="Times New Roman"/>
          <w:sz w:val="24"/>
          <w:szCs w:val="24"/>
        </w:rPr>
        <w:t xml:space="preserve">which </w:t>
      </w:r>
      <w:r>
        <w:rPr>
          <w:rFonts w:ascii="Times New Roman" w:hAnsi="Times New Roman"/>
          <w:sz w:val="24"/>
          <w:szCs w:val="24"/>
        </w:rPr>
        <w:t>place the withholding obligation on the buyer are able to hold the buyer liable for the amount that should have been withheld</w:t>
      </w:r>
      <w:r w:rsidR="005965C4">
        <w:rPr>
          <w:rFonts w:ascii="Times New Roman" w:hAnsi="Times New Roman"/>
          <w:sz w:val="24"/>
          <w:szCs w:val="24"/>
        </w:rPr>
        <w:t xml:space="preserve">.  </w:t>
      </w:r>
      <w:r>
        <w:rPr>
          <w:rFonts w:ascii="Times New Roman" w:hAnsi="Times New Roman"/>
          <w:sz w:val="24"/>
          <w:szCs w:val="24"/>
        </w:rPr>
        <w:t>However, since we are recommending</w:t>
      </w:r>
      <w:r w:rsidR="00E21AF8">
        <w:rPr>
          <w:rFonts w:ascii="Times New Roman" w:hAnsi="Times New Roman"/>
          <w:sz w:val="24"/>
          <w:szCs w:val="24"/>
        </w:rPr>
        <w:t xml:space="preserve"> a</w:t>
      </w:r>
      <w:r>
        <w:rPr>
          <w:rFonts w:ascii="Times New Roman" w:hAnsi="Times New Roman"/>
          <w:sz w:val="24"/>
          <w:szCs w:val="24"/>
        </w:rPr>
        <w:t xml:space="preserve"> depart</w:t>
      </w:r>
      <w:r w:rsidR="006A151C">
        <w:rPr>
          <w:rFonts w:ascii="Times New Roman" w:hAnsi="Times New Roman"/>
          <w:sz w:val="24"/>
          <w:szCs w:val="24"/>
        </w:rPr>
        <w:t>ure</w:t>
      </w:r>
      <w:r>
        <w:rPr>
          <w:rFonts w:ascii="Times New Roman" w:hAnsi="Times New Roman"/>
          <w:sz w:val="24"/>
          <w:szCs w:val="24"/>
        </w:rPr>
        <w:t xml:space="preserve"> from that approach, we do not consider it appropriate to hold the buyer liable for the underlying amount of withholding tax that should have been withheld</w:t>
      </w:r>
      <w:r w:rsidR="005965C4">
        <w:rPr>
          <w:rFonts w:ascii="Times New Roman" w:hAnsi="Times New Roman"/>
          <w:sz w:val="24"/>
          <w:szCs w:val="24"/>
        </w:rPr>
        <w:t xml:space="preserve">.  </w:t>
      </w:r>
      <w:r>
        <w:rPr>
          <w:rFonts w:ascii="Times New Roman" w:hAnsi="Times New Roman"/>
          <w:sz w:val="24"/>
          <w:szCs w:val="24"/>
        </w:rPr>
        <w:t>A buyer would have limited ability to ensure that the seller’s conveyancing agent does the right thing.</w:t>
      </w:r>
    </w:p>
    <w:p w:rsidR="006A151C" w:rsidRPr="000047F2" w:rsidRDefault="006A151C" w:rsidP="001C3580">
      <w:pPr>
        <w:pStyle w:val="Bullet-list"/>
        <w:spacing w:after="0" w:line="240" w:lineRule="auto"/>
        <w:ind w:left="0" w:firstLine="0"/>
        <w:jc w:val="both"/>
        <w:rPr>
          <w:rFonts w:ascii="Times New Roman" w:hAnsi="Times New Roman"/>
          <w:sz w:val="24"/>
          <w:szCs w:val="24"/>
        </w:rPr>
      </w:pPr>
    </w:p>
    <w:p w:rsidR="006A151C" w:rsidRDefault="006A151C"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In addition, we consider that Inland Revenue should be able to inform the relevant professional body of the withholding agent about</w:t>
      </w:r>
      <w:r w:rsidR="00882CD6">
        <w:rPr>
          <w:rFonts w:ascii="Times New Roman" w:hAnsi="Times New Roman"/>
          <w:sz w:val="24"/>
          <w:szCs w:val="24"/>
        </w:rPr>
        <w:t xml:space="preserve"> a</w:t>
      </w:r>
      <w:r>
        <w:rPr>
          <w:rFonts w:ascii="Times New Roman" w:hAnsi="Times New Roman"/>
          <w:sz w:val="24"/>
          <w:szCs w:val="24"/>
        </w:rPr>
        <w:t xml:space="preserve"> failure to withhold where the failure appears to be negligent or fraudulent</w:t>
      </w:r>
      <w:r w:rsidR="005965C4">
        <w:rPr>
          <w:rFonts w:ascii="Times New Roman" w:hAnsi="Times New Roman"/>
          <w:sz w:val="24"/>
          <w:szCs w:val="24"/>
        </w:rPr>
        <w:t xml:space="preserve">.  </w:t>
      </w:r>
    </w:p>
    <w:p w:rsidR="00F02751" w:rsidRPr="001C3580" w:rsidRDefault="00F02751" w:rsidP="001C3580">
      <w:pPr>
        <w:pStyle w:val="Bullet-list"/>
        <w:spacing w:after="0" w:line="240" w:lineRule="auto"/>
        <w:ind w:left="0" w:firstLine="0"/>
        <w:jc w:val="both"/>
        <w:rPr>
          <w:rFonts w:ascii="Times New Roman" w:hAnsi="Times New Roman"/>
          <w:sz w:val="24"/>
          <w:szCs w:val="24"/>
        </w:rPr>
      </w:pPr>
    </w:p>
    <w:p w:rsidR="00F02751" w:rsidRDefault="00F02751"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We also consider that the buyer should be held liable for the amount of RLWT that should have been withheld, if the buyer and seller are associated persons.</w:t>
      </w:r>
    </w:p>
    <w:p w:rsidR="00A64907" w:rsidRPr="000047F2" w:rsidRDefault="00A64907">
      <w:pPr>
        <w:pStyle w:val="ListParagraph"/>
        <w:rPr>
          <w:rFonts w:ascii="Times New Roman" w:hAnsi="Times New Roman"/>
          <w:sz w:val="24"/>
          <w:szCs w:val="24"/>
          <w:lang w:val="en-AU"/>
        </w:rPr>
      </w:pPr>
    </w:p>
    <w:p w:rsidR="00164A65" w:rsidRDefault="00164A65" w:rsidP="006C19A4">
      <w:pPr>
        <w:spacing w:after="0" w:line="240" w:lineRule="auto"/>
        <w:jc w:val="both"/>
        <w:rPr>
          <w:rFonts w:ascii="Times New Roman" w:hAnsi="Times New Roman"/>
          <w:i/>
          <w:sz w:val="24"/>
          <w:szCs w:val="24"/>
          <w:lang w:val="en-A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3866"/>
        <w:gridCol w:w="3481"/>
      </w:tblGrid>
      <w:tr w:rsidR="00F02751" w:rsidRPr="000E6CDD" w:rsidTr="00745324">
        <w:trPr>
          <w:trHeight w:val="195"/>
        </w:trPr>
        <w:tc>
          <w:tcPr>
            <w:tcW w:w="0" w:type="auto"/>
            <w:shd w:val="clear" w:color="auto" w:fill="auto"/>
            <w:vAlign w:val="center"/>
          </w:tcPr>
          <w:p w:rsidR="00164A65" w:rsidRPr="000E6CDD" w:rsidRDefault="00164A65" w:rsidP="006C19A4">
            <w:pPr>
              <w:spacing w:after="0" w:line="240" w:lineRule="auto"/>
              <w:rPr>
                <w:rFonts w:ascii="Times New Roman" w:hAnsi="Times New Roman"/>
                <w:b/>
                <w:sz w:val="20"/>
                <w:lang w:val="en-NZ"/>
              </w:rPr>
            </w:pPr>
            <w:r w:rsidRPr="000E6CDD">
              <w:rPr>
                <w:rFonts w:ascii="Times New Roman" w:hAnsi="Times New Roman"/>
                <w:b/>
                <w:sz w:val="20"/>
                <w:lang w:val="en-NZ"/>
              </w:rPr>
              <w:t>Options</w:t>
            </w:r>
          </w:p>
        </w:tc>
        <w:tc>
          <w:tcPr>
            <w:tcW w:w="0" w:type="auto"/>
            <w:shd w:val="clear" w:color="auto" w:fill="auto"/>
            <w:vAlign w:val="center"/>
          </w:tcPr>
          <w:p w:rsidR="00164A65" w:rsidRPr="000E6CDD" w:rsidRDefault="00164A65" w:rsidP="006C19A4">
            <w:pPr>
              <w:spacing w:after="0" w:line="240" w:lineRule="auto"/>
              <w:rPr>
                <w:rFonts w:ascii="Times New Roman" w:hAnsi="Times New Roman"/>
                <w:b/>
                <w:sz w:val="20"/>
                <w:lang w:val="en-NZ"/>
              </w:rPr>
            </w:pPr>
            <w:r w:rsidRPr="000E6CDD">
              <w:rPr>
                <w:rFonts w:ascii="Times New Roman" w:hAnsi="Times New Roman"/>
                <w:b/>
                <w:sz w:val="20"/>
                <w:lang w:val="en-NZ"/>
              </w:rPr>
              <w:t>Advantages</w:t>
            </w:r>
          </w:p>
        </w:tc>
        <w:tc>
          <w:tcPr>
            <w:tcW w:w="0" w:type="auto"/>
            <w:shd w:val="clear" w:color="auto" w:fill="auto"/>
            <w:vAlign w:val="center"/>
          </w:tcPr>
          <w:p w:rsidR="00164A65" w:rsidRPr="000E6CDD" w:rsidRDefault="00164A65" w:rsidP="006C19A4">
            <w:pPr>
              <w:spacing w:after="0" w:line="240" w:lineRule="auto"/>
              <w:rPr>
                <w:rFonts w:ascii="Times New Roman" w:hAnsi="Times New Roman"/>
                <w:b/>
                <w:sz w:val="20"/>
                <w:lang w:val="en-NZ"/>
              </w:rPr>
            </w:pPr>
            <w:r w:rsidRPr="000E6CDD">
              <w:rPr>
                <w:rFonts w:ascii="Times New Roman" w:hAnsi="Times New Roman"/>
                <w:b/>
                <w:sz w:val="20"/>
                <w:lang w:val="en-NZ"/>
              </w:rPr>
              <w:t>Disadvantages</w:t>
            </w:r>
          </w:p>
        </w:tc>
      </w:tr>
      <w:tr w:rsidR="00F02751" w:rsidRPr="000E6CDD" w:rsidTr="00745324">
        <w:trPr>
          <w:trHeight w:val="142"/>
        </w:trPr>
        <w:tc>
          <w:tcPr>
            <w:tcW w:w="0" w:type="auto"/>
            <w:vMerge w:val="restart"/>
            <w:shd w:val="clear" w:color="auto" w:fill="auto"/>
            <w:vAlign w:val="center"/>
          </w:tcPr>
          <w:p w:rsidR="00164A65" w:rsidRPr="000E6CDD" w:rsidRDefault="00164A65">
            <w:pPr>
              <w:spacing w:after="0" w:line="240" w:lineRule="auto"/>
              <w:rPr>
                <w:rFonts w:ascii="Times New Roman" w:hAnsi="Times New Roman"/>
                <w:b/>
                <w:i/>
                <w:sz w:val="20"/>
                <w:lang w:val="en-NZ"/>
              </w:rPr>
            </w:pPr>
            <w:r>
              <w:rPr>
                <w:rFonts w:ascii="Times New Roman" w:hAnsi="Times New Roman"/>
                <w:b/>
                <w:i/>
                <w:sz w:val="20"/>
                <w:lang w:val="en-NZ"/>
              </w:rPr>
              <w:t>Withholding agent is liable for amount that should have been withheld</w:t>
            </w:r>
          </w:p>
        </w:tc>
        <w:tc>
          <w:tcPr>
            <w:tcW w:w="0" w:type="auto"/>
            <w:shd w:val="clear" w:color="auto" w:fill="auto"/>
          </w:tcPr>
          <w:p w:rsidR="00164A65" w:rsidRPr="009B05C8" w:rsidRDefault="00164A65" w:rsidP="00E222FF">
            <w:pPr>
              <w:spacing w:after="0" w:line="240" w:lineRule="auto"/>
              <w:rPr>
                <w:rFonts w:ascii="Times New Roman" w:hAnsi="Times New Roman"/>
                <w:sz w:val="20"/>
                <w:lang w:val="en-NZ"/>
              </w:rPr>
            </w:pPr>
            <w:r>
              <w:rPr>
                <w:rFonts w:ascii="Times New Roman" w:hAnsi="Times New Roman"/>
                <w:sz w:val="20"/>
                <w:lang w:val="en-NZ"/>
              </w:rPr>
              <w:t>There is someone in New Zealand from whom Inl</w:t>
            </w:r>
            <w:r w:rsidR="00801BCF">
              <w:rPr>
                <w:rFonts w:ascii="Times New Roman" w:hAnsi="Times New Roman"/>
                <w:sz w:val="20"/>
                <w:lang w:val="en-NZ"/>
              </w:rPr>
              <w:t xml:space="preserve">and Revenue can collect the amount that should have been </w:t>
            </w:r>
            <w:r w:rsidR="00882CD6">
              <w:rPr>
                <w:rFonts w:ascii="Times New Roman" w:hAnsi="Times New Roman"/>
                <w:sz w:val="20"/>
                <w:lang w:val="en-NZ"/>
              </w:rPr>
              <w:t xml:space="preserve">withheld and paid </w:t>
            </w:r>
            <w:r w:rsidR="00801BCF">
              <w:rPr>
                <w:rFonts w:ascii="Times New Roman" w:hAnsi="Times New Roman"/>
                <w:sz w:val="20"/>
                <w:lang w:val="en-NZ"/>
              </w:rPr>
              <w:t>to Inland Revenue</w:t>
            </w:r>
            <w:r w:rsidR="001A57AD">
              <w:rPr>
                <w:rFonts w:ascii="Times New Roman" w:hAnsi="Times New Roman"/>
                <w:sz w:val="20"/>
                <w:lang w:val="en-NZ"/>
              </w:rPr>
              <w:t>.</w:t>
            </w:r>
          </w:p>
        </w:tc>
        <w:tc>
          <w:tcPr>
            <w:tcW w:w="0" w:type="auto"/>
            <w:shd w:val="clear" w:color="auto" w:fill="auto"/>
          </w:tcPr>
          <w:p w:rsidR="00164A65" w:rsidRPr="00F35AE8" w:rsidRDefault="00EA7CBA">
            <w:pPr>
              <w:spacing w:after="0" w:line="240" w:lineRule="auto"/>
              <w:rPr>
                <w:rFonts w:ascii="Times New Roman" w:hAnsi="Times New Roman"/>
                <w:sz w:val="20"/>
                <w:lang w:val="en-NZ"/>
              </w:rPr>
            </w:pPr>
            <w:r>
              <w:rPr>
                <w:rFonts w:ascii="Times New Roman" w:hAnsi="Times New Roman"/>
                <w:sz w:val="20"/>
                <w:lang w:val="en-NZ"/>
              </w:rPr>
              <w:t>The funds never belonged to the withholding agent – they are simply an intermediary</w:t>
            </w:r>
            <w:r w:rsidR="005965C4">
              <w:rPr>
                <w:rFonts w:ascii="Times New Roman" w:hAnsi="Times New Roman"/>
                <w:sz w:val="20"/>
                <w:lang w:val="en-NZ"/>
              </w:rPr>
              <w:t xml:space="preserve">.  </w:t>
            </w:r>
            <w:r>
              <w:rPr>
                <w:rFonts w:ascii="Times New Roman" w:hAnsi="Times New Roman"/>
                <w:sz w:val="20"/>
                <w:lang w:val="en-NZ"/>
              </w:rPr>
              <w:t>This may lead to increases in the cost of professional indemnity insurance, which could substantially inc</w:t>
            </w:r>
            <w:r w:rsidR="001A57AD">
              <w:rPr>
                <w:rFonts w:ascii="Times New Roman" w:hAnsi="Times New Roman"/>
                <w:sz w:val="20"/>
                <w:lang w:val="en-NZ"/>
              </w:rPr>
              <w:t>rease the cost of conveyancing.</w:t>
            </w:r>
          </w:p>
        </w:tc>
      </w:tr>
      <w:tr w:rsidR="00F02751" w:rsidRPr="000E6CDD" w:rsidTr="00745324">
        <w:trPr>
          <w:trHeight w:val="142"/>
        </w:trPr>
        <w:tc>
          <w:tcPr>
            <w:tcW w:w="0" w:type="auto"/>
            <w:vMerge/>
            <w:shd w:val="clear" w:color="auto" w:fill="auto"/>
            <w:vAlign w:val="center"/>
          </w:tcPr>
          <w:p w:rsidR="00164A65" w:rsidRDefault="00164A65">
            <w:pPr>
              <w:spacing w:after="0" w:line="240" w:lineRule="auto"/>
              <w:rPr>
                <w:rFonts w:ascii="Times New Roman" w:hAnsi="Times New Roman"/>
                <w:b/>
                <w:i/>
                <w:sz w:val="20"/>
                <w:lang w:val="en-NZ"/>
              </w:rPr>
            </w:pPr>
          </w:p>
        </w:tc>
        <w:tc>
          <w:tcPr>
            <w:tcW w:w="0" w:type="auto"/>
            <w:gridSpan w:val="2"/>
            <w:shd w:val="clear" w:color="auto" w:fill="auto"/>
          </w:tcPr>
          <w:p w:rsidR="00164A65" w:rsidRPr="00F35AE8" w:rsidRDefault="00164A65" w:rsidP="006C19A4">
            <w:pPr>
              <w:spacing w:after="0" w:line="240" w:lineRule="auto"/>
              <w:rPr>
                <w:rFonts w:ascii="Times New Roman" w:hAnsi="Times New Roman"/>
                <w:sz w:val="20"/>
                <w:lang w:val="en-NZ"/>
              </w:rPr>
            </w:pPr>
            <w:r w:rsidRPr="00283405">
              <w:rPr>
                <w:rFonts w:ascii="Times New Roman" w:hAnsi="Times New Roman"/>
                <w:sz w:val="20"/>
                <w:u w:val="single"/>
                <w:lang w:val="en-NZ"/>
              </w:rPr>
              <w:t>Recommendation</w:t>
            </w:r>
            <w:r>
              <w:rPr>
                <w:rFonts w:ascii="Times New Roman" w:hAnsi="Times New Roman"/>
                <w:sz w:val="20"/>
                <w:lang w:val="en-NZ"/>
              </w:rPr>
              <w:t>: not recommended</w:t>
            </w:r>
            <w:r w:rsidR="00882CD6">
              <w:rPr>
                <w:rFonts w:ascii="Times New Roman" w:hAnsi="Times New Roman"/>
                <w:sz w:val="20"/>
                <w:lang w:val="en-NZ"/>
              </w:rPr>
              <w:t>.</w:t>
            </w:r>
          </w:p>
        </w:tc>
      </w:tr>
      <w:tr w:rsidR="00F02751" w:rsidRPr="000E6CDD" w:rsidTr="00E222FF">
        <w:trPr>
          <w:trHeight w:val="97"/>
        </w:trPr>
        <w:tc>
          <w:tcPr>
            <w:tcW w:w="0" w:type="auto"/>
            <w:vMerge w:val="restart"/>
            <w:shd w:val="clear" w:color="auto" w:fill="auto"/>
            <w:vAlign w:val="center"/>
          </w:tcPr>
          <w:p w:rsidR="00164A65" w:rsidRPr="000E6CDD" w:rsidRDefault="00164A65">
            <w:pPr>
              <w:spacing w:after="0" w:line="240" w:lineRule="auto"/>
              <w:rPr>
                <w:rFonts w:ascii="Times New Roman" w:hAnsi="Times New Roman"/>
                <w:b/>
                <w:i/>
                <w:sz w:val="20"/>
                <w:lang w:val="en-NZ"/>
              </w:rPr>
            </w:pPr>
            <w:r>
              <w:rPr>
                <w:rFonts w:ascii="Times New Roman" w:hAnsi="Times New Roman"/>
                <w:b/>
                <w:i/>
                <w:sz w:val="20"/>
                <w:lang w:val="en-NZ"/>
              </w:rPr>
              <w:t>No further action</w:t>
            </w:r>
          </w:p>
        </w:tc>
        <w:tc>
          <w:tcPr>
            <w:tcW w:w="0" w:type="auto"/>
            <w:shd w:val="clear" w:color="auto" w:fill="auto"/>
          </w:tcPr>
          <w:p w:rsidR="00164A65" w:rsidRPr="009B05C8" w:rsidRDefault="001A57AD">
            <w:pPr>
              <w:spacing w:after="0" w:line="240" w:lineRule="auto"/>
              <w:rPr>
                <w:rFonts w:ascii="Times New Roman" w:hAnsi="Times New Roman"/>
                <w:sz w:val="20"/>
                <w:lang w:val="en-NZ"/>
              </w:rPr>
            </w:pPr>
            <w:r>
              <w:rPr>
                <w:rFonts w:ascii="Times New Roman" w:hAnsi="Times New Roman"/>
                <w:sz w:val="20"/>
                <w:lang w:val="en-NZ"/>
              </w:rPr>
              <w:t>Simple to administer</w:t>
            </w:r>
            <w:r w:rsidR="005965C4">
              <w:rPr>
                <w:rFonts w:ascii="Times New Roman" w:hAnsi="Times New Roman"/>
                <w:sz w:val="20"/>
                <w:lang w:val="en-NZ"/>
              </w:rPr>
              <w:t xml:space="preserve">.  </w:t>
            </w:r>
            <w:r>
              <w:rPr>
                <w:rFonts w:ascii="Times New Roman" w:hAnsi="Times New Roman"/>
                <w:sz w:val="20"/>
                <w:lang w:val="en-NZ"/>
              </w:rPr>
              <w:t>Provides certainty to withholding agent that they would not be held liable for the amount that should have been withheld, if they had no reason to not believe the seller’s statement.</w:t>
            </w:r>
          </w:p>
        </w:tc>
        <w:tc>
          <w:tcPr>
            <w:tcW w:w="0" w:type="auto"/>
            <w:shd w:val="clear" w:color="auto" w:fill="auto"/>
          </w:tcPr>
          <w:p w:rsidR="00164A65" w:rsidRPr="00F35AE8" w:rsidRDefault="00EA7CBA">
            <w:pPr>
              <w:spacing w:after="0" w:line="240" w:lineRule="auto"/>
              <w:rPr>
                <w:rFonts w:ascii="Times New Roman" w:hAnsi="Times New Roman"/>
                <w:sz w:val="20"/>
                <w:lang w:val="en-NZ"/>
              </w:rPr>
            </w:pPr>
            <w:r>
              <w:rPr>
                <w:rFonts w:ascii="Times New Roman" w:hAnsi="Times New Roman"/>
                <w:sz w:val="20"/>
                <w:lang w:val="en-NZ"/>
              </w:rPr>
              <w:t>Aside from monetary penalties there will be no incentive for withholding agents to comply with withholding tax obligations</w:t>
            </w:r>
            <w:r w:rsidR="005965C4">
              <w:rPr>
                <w:rFonts w:ascii="Times New Roman" w:hAnsi="Times New Roman"/>
                <w:sz w:val="20"/>
                <w:lang w:val="en-NZ"/>
              </w:rPr>
              <w:t xml:space="preserve">.  </w:t>
            </w:r>
            <w:r>
              <w:rPr>
                <w:rFonts w:ascii="Times New Roman" w:hAnsi="Times New Roman"/>
                <w:sz w:val="20"/>
                <w:lang w:val="en-NZ"/>
              </w:rPr>
              <w:t>This would undermine the integrity of the withholding tax and the bright-line test, as well as the integrity of the tax system.</w:t>
            </w:r>
          </w:p>
        </w:tc>
      </w:tr>
      <w:tr w:rsidR="00F02751" w:rsidRPr="000E6CDD" w:rsidTr="00745324">
        <w:trPr>
          <w:trHeight w:val="97"/>
        </w:trPr>
        <w:tc>
          <w:tcPr>
            <w:tcW w:w="0" w:type="auto"/>
            <w:vMerge/>
            <w:shd w:val="clear" w:color="auto" w:fill="auto"/>
            <w:vAlign w:val="center"/>
          </w:tcPr>
          <w:p w:rsidR="00164A65" w:rsidRDefault="00164A65">
            <w:pPr>
              <w:spacing w:after="0" w:line="240" w:lineRule="auto"/>
              <w:rPr>
                <w:rFonts w:ascii="Times New Roman" w:hAnsi="Times New Roman"/>
                <w:b/>
                <w:i/>
                <w:sz w:val="20"/>
                <w:lang w:val="en-NZ"/>
              </w:rPr>
            </w:pPr>
          </w:p>
        </w:tc>
        <w:tc>
          <w:tcPr>
            <w:tcW w:w="0" w:type="auto"/>
            <w:gridSpan w:val="2"/>
            <w:shd w:val="clear" w:color="auto" w:fill="auto"/>
          </w:tcPr>
          <w:p w:rsidR="00164A65" w:rsidRPr="006719F2" w:rsidRDefault="00164A65" w:rsidP="006C19A4">
            <w:pPr>
              <w:spacing w:after="0" w:line="240" w:lineRule="auto"/>
              <w:rPr>
                <w:rFonts w:ascii="Times New Roman" w:hAnsi="Times New Roman"/>
                <w:sz w:val="20"/>
                <w:lang w:val="en-NZ"/>
              </w:rPr>
            </w:pPr>
            <w:r w:rsidRPr="00283405">
              <w:rPr>
                <w:rFonts w:ascii="Times New Roman" w:hAnsi="Times New Roman"/>
                <w:sz w:val="20"/>
                <w:u w:val="single"/>
                <w:lang w:val="en-NZ"/>
              </w:rPr>
              <w:t>Recommendation</w:t>
            </w:r>
            <w:r>
              <w:rPr>
                <w:rFonts w:ascii="Times New Roman" w:hAnsi="Times New Roman"/>
                <w:sz w:val="20"/>
                <w:lang w:val="en-NZ"/>
              </w:rPr>
              <w:t>: not recommended</w:t>
            </w:r>
            <w:r w:rsidR="00882CD6">
              <w:rPr>
                <w:rFonts w:ascii="Times New Roman" w:hAnsi="Times New Roman"/>
                <w:sz w:val="20"/>
                <w:lang w:val="en-NZ"/>
              </w:rPr>
              <w:t>.</w:t>
            </w:r>
          </w:p>
        </w:tc>
      </w:tr>
      <w:tr w:rsidR="00F02751" w:rsidRPr="000E6CDD" w:rsidTr="00745324">
        <w:trPr>
          <w:trHeight w:val="175"/>
        </w:trPr>
        <w:tc>
          <w:tcPr>
            <w:tcW w:w="0" w:type="auto"/>
            <w:vMerge w:val="restart"/>
            <w:shd w:val="clear" w:color="auto" w:fill="auto"/>
            <w:vAlign w:val="center"/>
          </w:tcPr>
          <w:p w:rsidR="00164A65" w:rsidRPr="000E6CDD" w:rsidRDefault="00164A65">
            <w:pPr>
              <w:spacing w:after="0" w:line="240" w:lineRule="auto"/>
              <w:rPr>
                <w:rFonts w:ascii="Times New Roman" w:hAnsi="Times New Roman"/>
                <w:b/>
                <w:i/>
                <w:sz w:val="20"/>
                <w:lang w:val="en-NZ"/>
              </w:rPr>
            </w:pPr>
            <w:r>
              <w:rPr>
                <w:rFonts w:ascii="Times New Roman" w:hAnsi="Times New Roman"/>
                <w:b/>
                <w:i/>
                <w:sz w:val="20"/>
                <w:lang w:val="en-NZ"/>
              </w:rPr>
              <w:t>Referral to relevant professional body after failure</w:t>
            </w:r>
            <w:r w:rsidR="006A151C">
              <w:rPr>
                <w:rFonts w:ascii="Times New Roman" w:hAnsi="Times New Roman"/>
                <w:b/>
                <w:i/>
                <w:sz w:val="20"/>
                <w:lang w:val="en-NZ"/>
              </w:rPr>
              <w:t xml:space="preserve"> to withhold </w:t>
            </w:r>
            <w:r w:rsidR="00F02751">
              <w:rPr>
                <w:rFonts w:ascii="Times New Roman" w:hAnsi="Times New Roman"/>
                <w:b/>
                <w:i/>
                <w:sz w:val="20"/>
                <w:lang w:val="en-NZ"/>
              </w:rPr>
              <w:t>due to</w:t>
            </w:r>
            <w:r w:rsidR="006A151C">
              <w:rPr>
                <w:rFonts w:ascii="Times New Roman" w:hAnsi="Times New Roman"/>
                <w:b/>
                <w:i/>
                <w:sz w:val="20"/>
                <w:lang w:val="en-NZ"/>
              </w:rPr>
              <w:t xml:space="preserve"> negligen</w:t>
            </w:r>
            <w:r w:rsidR="00F02751">
              <w:rPr>
                <w:rFonts w:ascii="Times New Roman" w:hAnsi="Times New Roman"/>
                <w:b/>
                <w:i/>
                <w:sz w:val="20"/>
                <w:lang w:val="en-NZ"/>
              </w:rPr>
              <w:t>ce</w:t>
            </w:r>
            <w:r w:rsidR="006A151C">
              <w:rPr>
                <w:rFonts w:ascii="Times New Roman" w:hAnsi="Times New Roman"/>
                <w:b/>
                <w:i/>
                <w:sz w:val="20"/>
                <w:lang w:val="en-NZ"/>
              </w:rPr>
              <w:t xml:space="preserve"> or fraudulen</w:t>
            </w:r>
            <w:r w:rsidR="00F02751">
              <w:rPr>
                <w:rFonts w:ascii="Times New Roman" w:hAnsi="Times New Roman"/>
                <w:b/>
                <w:i/>
                <w:sz w:val="20"/>
                <w:lang w:val="en-NZ"/>
              </w:rPr>
              <w:t>ce</w:t>
            </w:r>
          </w:p>
        </w:tc>
        <w:tc>
          <w:tcPr>
            <w:tcW w:w="0" w:type="auto"/>
            <w:shd w:val="clear" w:color="auto" w:fill="auto"/>
          </w:tcPr>
          <w:p w:rsidR="00164A65" w:rsidRPr="009B05C8" w:rsidRDefault="001A57AD">
            <w:pPr>
              <w:spacing w:after="0" w:line="240" w:lineRule="auto"/>
              <w:rPr>
                <w:rFonts w:ascii="Times New Roman" w:hAnsi="Times New Roman"/>
                <w:sz w:val="20"/>
                <w:lang w:val="en-NZ"/>
              </w:rPr>
            </w:pPr>
            <w:r>
              <w:rPr>
                <w:rFonts w:ascii="Times New Roman" w:hAnsi="Times New Roman"/>
                <w:sz w:val="20"/>
                <w:lang w:val="en-NZ"/>
              </w:rPr>
              <w:t>Similar to system in place for Landonline</w:t>
            </w:r>
            <w:r w:rsidR="005965C4">
              <w:rPr>
                <w:rFonts w:ascii="Times New Roman" w:hAnsi="Times New Roman"/>
                <w:sz w:val="20"/>
                <w:lang w:val="en-NZ"/>
              </w:rPr>
              <w:t xml:space="preserve">.  </w:t>
            </w:r>
            <w:r>
              <w:rPr>
                <w:rFonts w:ascii="Times New Roman" w:hAnsi="Times New Roman"/>
                <w:sz w:val="20"/>
                <w:lang w:val="en-NZ"/>
              </w:rPr>
              <w:t>Provides withholding agents with additional incentive to comply with withholding obligations, otherwise they could lose the ability to practise</w:t>
            </w:r>
            <w:r w:rsidR="005965C4">
              <w:rPr>
                <w:rFonts w:ascii="Times New Roman" w:hAnsi="Times New Roman"/>
                <w:sz w:val="20"/>
                <w:lang w:val="en-NZ"/>
              </w:rPr>
              <w:t xml:space="preserve">.  </w:t>
            </w:r>
            <w:r>
              <w:rPr>
                <w:rFonts w:ascii="Times New Roman" w:hAnsi="Times New Roman"/>
                <w:sz w:val="20"/>
                <w:lang w:val="en-NZ"/>
              </w:rPr>
              <w:t>Still provides withholding agents with certainty that th</w:t>
            </w:r>
            <w:r w:rsidR="00F02751">
              <w:rPr>
                <w:rFonts w:ascii="Times New Roman" w:hAnsi="Times New Roman"/>
                <w:sz w:val="20"/>
                <w:lang w:val="en-NZ"/>
              </w:rPr>
              <w:t>e</w:t>
            </w:r>
            <w:r>
              <w:rPr>
                <w:rFonts w:ascii="Times New Roman" w:hAnsi="Times New Roman"/>
                <w:sz w:val="20"/>
                <w:lang w:val="en-NZ"/>
              </w:rPr>
              <w:t xml:space="preserve">y would not be held liable </w:t>
            </w:r>
            <w:r w:rsidR="00F02751">
              <w:rPr>
                <w:rFonts w:ascii="Times New Roman" w:hAnsi="Times New Roman"/>
                <w:sz w:val="20"/>
                <w:lang w:val="en-NZ"/>
              </w:rPr>
              <w:t xml:space="preserve">for the amount that should have been withheld </w:t>
            </w:r>
            <w:r>
              <w:rPr>
                <w:rFonts w:ascii="Times New Roman" w:hAnsi="Times New Roman"/>
                <w:sz w:val="20"/>
                <w:lang w:val="en-NZ"/>
              </w:rPr>
              <w:t>if the seller misled them.</w:t>
            </w:r>
          </w:p>
        </w:tc>
        <w:tc>
          <w:tcPr>
            <w:tcW w:w="0" w:type="auto"/>
            <w:shd w:val="clear" w:color="auto" w:fill="auto"/>
          </w:tcPr>
          <w:p w:rsidR="00164A65" w:rsidRPr="009B05C8" w:rsidRDefault="00EA7CBA">
            <w:pPr>
              <w:spacing w:after="0" w:line="240" w:lineRule="auto"/>
              <w:rPr>
                <w:rFonts w:ascii="Times New Roman" w:hAnsi="Times New Roman"/>
                <w:sz w:val="20"/>
                <w:lang w:val="en-NZ"/>
              </w:rPr>
            </w:pPr>
            <w:r>
              <w:rPr>
                <w:rFonts w:ascii="Times New Roman" w:hAnsi="Times New Roman"/>
                <w:sz w:val="20"/>
                <w:lang w:val="en-NZ"/>
              </w:rPr>
              <w:t>Action taken by relevant professional may not deter repeat offenders and may not affect overseas solicitors</w:t>
            </w:r>
            <w:r w:rsidR="005965C4">
              <w:rPr>
                <w:rFonts w:ascii="Times New Roman" w:hAnsi="Times New Roman"/>
                <w:sz w:val="20"/>
                <w:lang w:val="en-NZ"/>
              </w:rPr>
              <w:t xml:space="preserve">.  </w:t>
            </w:r>
            <w:r>
              <w:rPr>
                <w:rFonts w:ascii="Times New Roman" w:hAnsi="Times New Roman"/>
                <w:sz w:val="20"/>
                <w:lang w:val="en-NZ"/>
              </w:rPr>
              <w:t>There may still be an incentive to not comply with withholding tax obligations – particularly if the withholding agent is not a New Zealand-registered solicitor.</w:t>
            </w:r>
          </w:p>
        </w:tc>
      </w:tr>
      <w:tr w:rsidR="00F02751" w:rsidRPr="000E6CDD" w:rsidTr="00EB3175">
        <w:trPr>
          <w:trHeight w:val="328"/>
        </w:trPr>
        <w:tc>
          <w:tcPr>
            <w:tcW w:w="0" w:type="auto"/>
            <w:vMerge/>
            <w:shd w:val="clear" w:color="auto" w:fill="auto"/>
            <w:vAlign w:val="center"/>
          </w:tcPr>
          <w:p w:rsidR="00164A65" w:rsidRDefault="00164A65">
            <w:pPr>
              <w:spacing w:after="0" w:line="240" w:lineRule="auto"/>
              <w:rPr>
                <w:rFonts w:ascii="Times New Roman" w:hAnsi="Times New Roman"/>
                <w:b/>
                <w:i/>
                <w:sz w:val="20"/>
                <w:lang w:val="en-NZ"/>
              </w:rPr>
            </w:pPr>
          </w:p>
        </w:tc>
        <w:tc>
          <w:tcPr>
            <w:tcW w:w="0" w:type="auto"/>
            <w:gridSpan w:val="2"/>
            <w:shd w:val="clear" w:color="auto" w:fill="auto"/>
          </w:tcPr>
          <w:p w:rsidR="00164A65" w:rsidRPr="006719F2" w:rsidRDefault="00164A65" w:rsidP="006C19A4">
            <w:pPr>
              <w:spacing w:after="0" w:line="240" w:lineRule="auto"/>
              <w:rPr>
                <w:rFonts w:ascii="Times New Roman" w:hAnsi="Times New Roman"/>
                <w:sz w:val="20"/>
                <w:lang w:val="en-NZ"/>
              </w:rPr>
            </w:pPr>
            <w:r w:rsidRPr="00283405">
              <w:rPr>
                <w:rFonts w:ascii="Times New Roman" w:hAnsi="Times New Roman"/>
                <w:sz w:val="20"/>
                <w:u w:val="single"/>
                <w:lang w:val="en-NZ"/>
              </w:rPr>
              <w:t>Recommendation</w:t>
            </w:r>
            <w:r>
              <w:rPr>
                <w:rFonts w:ascii="Times New Roman" w:hAnsi="Times New Roman"/>
                <w:sz w:val="20"/>
                <w:lang w:val="en-NZ"/>
              </w:rPr>
              <w:t>: recommended</w:t>
            </w:r>
            <w:r w:rsidR="00882CD6">
              <w:rPr>
                <w:rFonts w:ascii="Times New Roman" w:hAnsi="Times New Roman"/>
                <w:sz w:val="20"/>
                <w:lang w:val="en-NZ"/>
              </w:rPr>
              <w:t>.</w:t>
            </w:r>
          </w:p>
        </w:tc>
      </w:tr>
    </w:tbl>
    <w:p w:rsidR="00164A65" w:rsidRPr="000047F2" w:rsidRDefault="00164A65" w:rsidP="006C19A4">
      <w:pPr>
        <w:pStyle w:val="spacer"/>
        <w:jc w:val="both"/>
        <w:rPr>
          <w:rFonts w:ascii="Times New Roman" w:hAnsi="Times New Roman"/>
          <w:sz w:val="24"/>
          <w:szCs w:val="24"/>
          <w:highlight w:val="yellow"/>
          <w:lang w:val="en-AU"/>
        </w:rPr>
      </w:pPr>
    </w:p>
    <w:p w:rsidR="000545DC" w:rsidRPr="004342F0" w:rsidRDefault="00D943DD" w:rsidP="006C19A4">
      <w:pPr>
        <w:pStyle w:val="RISheading"/>
        <w:jc w:val="both"/>
        <w:rPr>
          <w:spacing w:val="0"/>
          <w:w w:val="100"/>
        </w:rPr>
      </w:pPr>
      <w:r w:rsidRPr="004342F0">
        <w:rPr>
          <w:spacing w:val="0"/>
          <w:w w:val="100"/>
        </w:rPr>
        <w:t>CONSULTATION</w:t>
      </w:r>
      <w:bookmarkEnd w:id="21"/>
      <w:bookmarkEnd w:id="22"/>
      <w:bookmarkEnd w:id="23"/>
      <w:bookmarkEnd w:id="24"/>
      <w:bookmarkEnd w:id="25"/>
    </w:p>
    <w:p w:rsidR="000545DC" w:rsidRPr="004342F0" w:rsidRDefault="00993DB6"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Treasury and Inland Revenue officials released an officials’ issues paper titled </w:t>
      </w:r>
      <w:r w:rsidRPr="001C3580">
        <w:rPr>
          <w:rFonts w:ascii="Times New Roman" w:hAnsi="Times New Roman"/>
          <w:i/>
          <w:sz w:val="24"/>
          <w:szCs w:val="24"/>
        </w:rPr>
        <w:t>Residential land withholding tax</w:t>
      </w:r>
      <w:r>
        <w:rPr>
          <w:rFonts w:ascii="Times New Roman" w:hAnsi="Times New Roman"/>
          <w:sz w:val="24"/>
          <w:szCs w:val="24"/>
        </w:rPr>
        <w:t xml:space="preserve"> on 31 August 2015</w:t>
      </w:r>
      <w:r w:rsidR="005965C4">
        <w:rPr>
          <w:rFonts w:ascii="Times New Roman" w:hAnsi="Times New Roman"/>
          <w:sz w:val="24"/>
          <w:szCs w:val="24"/>
        </w:rPr>
        <w:t xml:space="preserve">.  </w:t>
      </w:r>
      <w:r>
        <w:rPr>
          <w:rFonts w:ascii="Times New Roman" w:hAnsi="Times New Roman"/>
          <w:sz w:val="24"/>
          <w:szCs w:val="24"/>
        </w:rPr>
        <w:t xml:space="preserve">Submissions closed on 2 October 2015 and a total of </w:t>
      </w:r>
      <w:r w:rsidR="00216D4D">
        <w:rPr>
          <w:rFonts w:ascii="Times New Roman" w:hAnsi="Times New Roman"/>
          <w:sz w:val="24"/>
          <w:szCs w:val="24"/>
        </w:rPr>
        <w:t xml:space="preserve">16 </w:t>
      </w:r>
      <w:r>
        <w:rPr>
          <w:rFonts w:ascii="Times New Roman" w:hAnsi="Times New Roman"/>
          <w:sz w:val="24"/>
          <w:szCs w:val="24"/>
        </w:rPr>
        <w:t>submissions were receive</w:t>
      </w:r>
      <w:r w:rsidR="00216D4D">
        <w:rPr>
          <w:rFonts w:ascii="Times New Roman" w:hAnsi="Times New Roman"/>
          <w:sz w:val="24"/>
          <w:szCs w:val="24"/>
        </w:rPr>
        <w:t>d</w:t>
      </w:r>
      <w:r w:rsidR="009A5482">
        <w:rPr>
          <w:rFonts w:ascii="Times New Roman" w:hAnsi="Times New Roman"/>
          <w:sz w:val="24"/>
          <w:szCs w:val="24"/>
        </w:rPr>
        <w:t>,</w:t>
      </w:r>
      <w:r w:rsidR="00216D4D">
        <w:rPr>
          <w:rFonts w:ascii="Times New Roman" w:hAnsi="Times New Roman"/>
          <w:sz w:val="24"/>
          <w:szCs w:val="24"/>
        </w:rPr>
        <w:t xml:space="preserve"> including from those in the conveyancing industry.</w:t>
      </w:r>
    </w:p>
    <w:p w:rsidR="009E39BD" w:rsidRPr="004342F0" w:rsidRDefault="009E39BD" w:rsidP="00286880">
      <w:pPr>
        <w:pStyle w:val="Bullet-list"/>
        <w:spacing w:after="0" w:line="240" w:lineRule="auto"/>
        <w:ind w:left="0" w:hanging="720"/>
        <w:jc w:val="both"/>
        <w:rPr>
          <w:rFonts w:ascii="Times New Roman" w:hAnsi="Times New Roman"/>
          <w:sz w:val="24"/>
          <w:szCs w:val="24"/>
        </w:rPr>
      </w:pPr>
    </w:p>
    <w:p w:rsidR="000545DC" w:rsidRDefault="00993DB6"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In addition to this, </w:t>
      </w:r>
      <w:r w:rsidR="00937193">
        <w:rPr>
          <w:rFonts w:ascii="Times New Roman" w:hAnsi="Times New Roman"/>
          <w:sz w:val="24"/>
          <w:szCs w:val="24"/>
        </w:rPr>
        <w:t>a</w:t>
      </w:r>
      <w:r>
        <w:rPr>
          <w:rFonts w:ascii="Times New Roman" w:hAnsi="Times New Roman"/>
          <w:sz w:val="24"/>
          <w:szCs w:val="24"/>
        </w:rPr>
        <w:t xml:space="preserve"> workshop</w:t>
      </w:r>
      <w:r w:rsidR="00937193">
        <w:rPr>
          <w:rFonts w:ascii="Times New Roman" w:hAnsi="Times New Roman"/>
          <w:sz w:val="24"/>
          <w:szCs w:val="24"/>
        </w:rPr>
        <w:t xml:space="preserve"> was held</w:t>
      </w:r>
      <w:r>
        <w:rPr>
          <w:rFonts w:ascii="Times New Roman" w:hAnsi="Times New Roman"/>
          <w:sz w:val="24"/>
          <w:szCs w:val="24"/>
        </w:rPr>
        <w:t xml:space="preserve"> on 10 September 2015 with representatives</w:t>
      </w:r>
      <w:r w:rsidR="00937193">
        <w:rPr>
          <w:rFonts w:ascii="Times New Roman" w:hAnsi="Times New Roman"/>
          <w:sz w:val="24"/>
          <w:szCs w:val="24"/>
        </w:rPr>
        <w:t xml:space="preserve"> from the Auckland District Law Society, New Zealand Law Society, and the New Zealand Society of Conveyancers to discuss the proposals in the issues paper</w:t>
      </w:r>
      <w:r w:rsidR="005965C4">
        <w:rPr>
          <w:rFonts w:ascii="Times New Roman" w:hAnsi="Times New Roman"/>
          <w:sz w:val="24"/>
          <w:szCs w:val="24"/>
        </w:rPr>
        <w:t xml:space="preserve">.  </w:t>
      </w:r>
      <w:r w:rsidR="00937193">
        <w:rPr>
          <w:rFonts w:ascii="Times New Roman" w:hAnsi="Times New Roman"/>
          <w:sz w:val="24"/>
          <w:szCs w:val="24"/>
        </w:rPr>
        <w:t xml:space="preserve">The intent of the workshop was to inform </w:t>
      </w:r>
      <w:r w:rsidR="00CF191E">
        <w:rPr>
          <w:rFonts w:ascii="Times New Roman" w:hAnsi="Times New Roman"/>
          <w:sz w:val="24"/>
          <w:szCs w:val="24"/>
        </w:rPr>
        <w:t xml:space="preserve">submitters in compiling their written submissions and to provide officials with </w:t>
      </w:r>
      <w:r w:rsidR="00274676">
        <w:rPr>
          <w:rFonts w:ascii="Times New Roman" w:hAnsi="Times New Roman"/>
          <w:sz w:val="24"/>
          <w:szCs w:val="24"/>
        </w:rPr>
        <w:t>an indication of submitters’ views prior to the receipt of written submissions.</w:t>
      </w:r>
    </w:p>
    <w:p w:rsidR="00782D38" w:rsidRDefault="00782D38" w:rsidP="001C3580">
      <w:pPr>
        <w:pStyle w:val="Bullet-list"/>
        <w:spacing w:after="0" w:line="240" w:lineRule="auto"/>
        <w:ind w:left="0" w:firstLine="0"/>
        <w:jc w:val="both"/>
        <w:rPr>
          <w:rFonts w:ascii="Times New Roman" w:hAnsi="Times New Roman"/>
          <w:sz w:val="24"/>
          <w:szCs w:val="24"/>
        </w:rPr>
      </w:pPr>
    </w:p>
    <w:p w:rsidR="00782D38" w:rsidRDefault="00782D38"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Support for the proposal was mixed</w:t>
      </w:r>
      <w:r w:rsidR="005965C4">
        <w:rPr>
          <w:rFonts w:ascii="Times New Roman" w:hAnsi="Times New Roman"/>
          <w:sz w:val="24"/>
          <w:szCs w:val="24"/>
        </w:rPr>
        <w:t xml:space="preserve">.  </w:t>
      </w:r>
      <w:r>
        <w:rPr>
          <w:rFonts w:ascii="Times New Roman" w:hAnsi="Times New Roman"/>
          <w:sz w:val="24"/>
          <w:szCs w:val="24"/>
        </w:rPr>
        <w:t xml:space="preserve">While some submitters supported the proposal, other submitters submitted that the measure should not proceed if the revenue that would be directly </w:t>
      </w:r>
      <w:r w:rsidR="00CD7888">
        <w:rPr>
          <w:rFonts w:ascii="Times New Roman" w:hAnsi="Times New Roman"/>
          <w:sz w:val="24"/>
          <w:szCs w:val="24"/>
        </w:rPr>
        <w:t>collected by</w:t>
      </w:r>
      <w:r>
        <w:rPr>
          <w:rFonts w:ascii="Times New Roman" w:hAnsi="Times New Roman"/>
          <w:sz w:val="24"/>
          <w:szCs w:val="24"/>
        </w:rPr>
        <w:t xml:space="preserve"> the measure </w:t>
      </w:r>
      <w:r w:rsidR="00CD7888">
        <w:rPr>
          <w:rFonts w:ascii="Times New Roman" w:hAnsi="Times New Roman"/>
          <w:sz w:val="24"/>
          <w:szCs w:val="24"/>
        </w:rPr>
        <w:t xml:space="preserve">is </w:t>
      </w:r>
      <w:r w:rsidR="00882CD6">
        <w:rPr>
          <w:rFonts w:ascii="Times New Roman" w:hAnsi="Times New Roman"/>
          <w:sz w:val="24"/>
          <w:szCs w:val="24"/>
        </w:rPr>
        <w:t xml:space="preserve">less </w:t>
      </w:r>
      <w:r w:rsidR="00CD7888">
        <w:rPr>
          <w:rFonts w:ascii="Times New Roman" w:hAnsi="Times New Roman"/>
          <w:sz w:val="24"/>
          <w:szCs w:val="24"/>
        </w:rPr>
        <w:t>than the potential</w:t>
      </w:r>
      <w:r>
        <w:rPr>
          <w:rFonts w:ascii="Times New Roman" w:hAnsi="Times New Roman"/>
          <w:sz w:val="24"/>
          <w:szCs w:val="24"/>
        </w:rPr>
        <w:t xml:space="preserve"> compliance and administrative costs</w:t>
      </w:r>
      <w:r w:rsidR="005965C4">
        <w:rPr>
          <w:rFonts w:ascii="Times New Roman" w:hAnsi="Times New Roman"/>
          <w:sz w:val="24"/>
          <w:szCs w:val="24"/>
        </w:rPr>
        <w:t xml:space="preserve">.  </w:t>
      </w:r>
      <w:r>
        <w:rPr>
          <w:rFonts w:ascii="Times New Roman" w:hAnsi="Times New Roman"/>
          <w:sz w:val="24"/>
          <w:szCs w:val="24"/>
        </w:rPr>
        <w:t>Officials note that while revenue directly raised from the measure is important, a key objective of the proposed measure is to support the integrity of the bright</w:t>
      </w:r>
      <w:r w:rsidR="00F02751">
        <w:rPr>
          <w:rFonts w:ascii="Times New Roman" w:hAnsi="Times New Roman"/>
          <w:sz w:val="24"/>
          <w:szCs w:val="24"/>
        </w:rPr>
        <w:t>-</w:t>
      </w:r>
      <w:r>
        <w:rPr>
          <w:rFonts w:ascii="Times New Roman" w:hAnsi="Times New Roman"/>
          <w:sz w:val="24"/>
          <w:szCs w:val="24"/>
        </w:rPr>
        <w:t>line test as part of the wider tax system</w:t>
      </w:r>
      <w:r w:rsidR="005965C4">
        <w:rPr>
          <w:rFonts w:ascii="Times New Roman" w:hAnsi="Times New Roman"/>
          <w:sz w:val="24"/>
          <w:szCs w:val="24"/>
        </w:rPr>
        <w:t xml:space="preserve">.  </w:t>
      </w:r>
    </w:p>
    <w:p w:rsidR="00CF191E" w:rsidRDefault="00CF191E" w:rsidP="001C3580">
      <w:pPr>
        <w:pStyle w:val="Bullet-list"/>
        <w:spacing w:after="0" w:line="240" w:lineRule="auto"/>
        <w:ind w:left="0" w:firstLine="0"/>
        <w:jc w:val="both"/>
        <w:rPr>
          <w:rFonts w:ascii="Times New Roman" w:hAnsi="Times New Roman"/>
          <w:sz w:val="24"/>
          <w:szCs w:val="24"/>
        </w:rPr>
      </w:pPr>
    </w:p>
    <w:p w:rsidR="00F147C3" w:rsidRDefault="000C1F63"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0047F2">
        <w:rPr>
          <w:rFonts w:ascii="Times New Roman" w:hAnsi="Times New Roman"/>
          <w:sz w:val="24"/>
          <w:szCs w:val="24"/>
        </w:rPr>
        <w:t xml:space="preserve">Submissions generally focused on </w:t>
      </w:r>
      <w:r w:rsidR="00563F90" w:rsidRPr="000047F2">
        <w:rPr>
          <w:rFonts w:ascii="Times New Roman" w:hAnsi="Times New Roman"/>
          <w:sz w:val="24"/>
          <w:szCs w:val="24"/>
        </w:rPr>
        <w:t>whether the buyer’s conveyancing agent or seller’s conveyancing agent should be the withholding agent and the likely compliance impacts associated with both approaches</w:t>
      </w:r>
      <w:r w:rsidR="00782D38">
        <w:rPr>
          <w:rFonts w:ascii="Times New Roman" w:hAnsi="Times New Roman"/>
          <w:sz w:val="24"/>
          <w:szCs w:val="24"/>
        </w:rPr>
        <w:t>, as was requested in the issues paper</w:t>
      </w:r>
      <w:r w:rsidR="005965C4">
        <w:rPr>
          <w:rFonts w:ascii="Times New Roman" w:hAnsi="Times New Roman"/>
          <w:sz w:val="24"/>
          <w:szCs w:val="24"/>
        </w:rPr>
        <w:t xml:space="preserve">.  </w:t>
      </w:r>
      <w:r w:rsidR="00563F90" w:rsidRPr="000047F2">
        <w:rPr>
          <w:rFonts w:ascii="Times New Roman" w:hAnsi="Times New Roman"/>
          <w:sz w:val="24"/>
          <w:szCs w:val="24"/>
        </w:rPr>
        <w:t xml:space="preserve">The majority of submitters expressed their preference for the seller’s conveyancing agent to be the withholding </w:t>
      </w:r>
      <w:r w:rsidR="003C02D8" w:rsidRPr="00C045C5">
        <w:rPr>
          <w:rFonts w:ascii="Times New Roman" w:hAnsi="Times New Roman"/>
          <w:sz w:val="24"/>
          <w:szCs w:val="24"/>
        </w:rPr>
        <w:t>agent</w:t>
      </w:r>
      <w:r w:rsidR="005965C4">
        <w:rPr>
          <w:rFonts w:ascii="Times New Roman" w:hAnsi="Times New Roman"/>
          <w:sz w:val="24"/>
          <w:szCs w:val="24"/>
        </w:rPr>
        <w:t xml:space="preserve">.  </w:t>
      </w:r>
      <w:r w:rsidR="003C02D8">
        <w:rPr>
          <w:rFonts w:ascii="Times New Roman" w:hAnsi="Times New Roman"/>
          <w:sz w:val="24"/>
          <w:szCs w:val="24"/>
        </w:rPr>
        <w:t>This is due to a number of reasons, including the fact that the seller’s conveyancing agent is likely to have more detailed information about their client</w:t>
      </w:r>
      <w:r w:rsidR="00F147C3">
        <w:rPr>
          <w:rFonts w:ascii="Times New Roman" w:hAnsi="Times New Roman"/>
          <w:sz w:val="24"/>
          <w:szCs w:val="24"/>
        </w:rPr>
        <w:t xml:space="preserve"> and that the seller’s conveyancing agent deals with other disbursements at the time of settlement</w:t>
      </w:r>
      <w:r w:rsidR="005965C4">
        <w:rPr>
          <w:rFonts w:ascii="Times New Roman" w:hAnsi="Times New Roman"/>
          <w:sz w:val="24"/>
          <w:szCs w:val="24"/>
        </w:rPr>
        <w:t xml:space="preserve">.  </w:t>
      </w:r>
      <w:r w:rsidR="00F147C3">
        <w:rPr>
          <w:rFonts w:ascii="Times New Roman" w:hAnsi="Times New Roman"/>
          <w:sz w:val="24"/>
          <w:szCs w:val="24"/>
        </w:rPr>
        <w:t>Submitters raised a number of points as to why the withholding agent should not be the buyer’s conveyancing agent – in particular, it would not be fair to require buyers to bear the compliance cost of withholding when it is the seller who has the ultimate tax liabilit</w:t>
      </w:r>
      <w:r w:rsidR="00782D38">
        <w:rPr>
          <w:rFonts w:ascii="Times New Roman" w:hAnsi="Times New Roman"/>
          <w:sz w:val="24"/>
          <w:szCs w:val="24"/>
        </w:rPr>
        <w:t>y</w:t>
      </w:r>
      <w:r w:rsidR="00F147C3">
        <w:rPr>
          <w:rFonts w:ascii="Times New Roman" w:hAnsi="Times New Roman"/>
          <w:sz w:val="24"/>
          <w:szCs w:val="24"/>
        </w:rPr>
        <w:t xml:space="preserve"> and sellers may not want to disclose private information (for example, personal details about all beneficiaries </w:t>
      </w:r>
      <w:r w:rsidR="00882CD6">
        <w:rPr>
          <w:rFonts w:ascii="Times New Roman" w:hAnsi="Times New Roman"/>
          <w:sz w:val="24"/>
          <w:szCs w:val="24"/>
        </w:rPr>
        <w:t xml:space="preserve">of </w:t>
      </w:r>
      <w:r w:rsidR="00F147C3">
        <w:rPr>
          <w:rFonts w:ascii="Times New Roman" w:hAnsi="Times New Roman"/>
          <w:sz w:val="24"/>
          <w:szCs w:val="24"/>
        </w:rPr>
        <w:t>a family trust)</w:t>
      </w:r>
      <w:r w:rsidR="005965C4">
        <w:rPr>
          <w:rFonts w:ascii="Times New Roman" w:hAnsi="Times New Roman"/>
          <w:sz w:val="24"/>
          <w:szCs w:val="24"/>
        </w:rPr>
        <w:t xml:space="preserve">.  </w:t>
      </w:r>
      <w:r w:rsidR="00782D38">
        <w:rPr>
          <w:rFonts w:ascii="Times New Roman" w:hAnsi="Times New Roman"/>
          <w:sz w:val="24"/>
          <w:szCs w:val="24"/>
        </w:rPr>
        <w:t xml:space="preserve">While officials note that imposing the obligation on the </w:t>
      </w:r>
      <w:r w:rsidR="00486DD1">
        <w:rPr>
          <w:rFonts w:ascii="Times New Roman" w:hAnsi="Times New Roman"/>
          <w:sz w:val="24"/>
          <w:szCs w:val="24"/>
        </w:rPr>
        <w:t>buyer’s conveyancing agent</w:t>
      </w:r>
      <w:r w:rsidR="00782D38">
        <w:rPr>
          <w:rFonts w:ascii="Times New Roman" w:hAnsi="Times New Roman"/>
          <w:sz w:val="24"/>
          <w:szCs w:val="24"/>
        </w:rPr>
        <w:t xml:space="preserve"> w</w:t>
      </w:r>
      <w:r w:rsidR="00882CD6">
        <w:rPr>
          <w:rFonts w:ascii="Times New Roman" w:hAnsi="Times New Roman"/>
          <w:sz w:val="24"/>
          <w:szCs w:val="24"/>
        </w:rPr>
        <w:t>ould</w:t>
      </w:r>
      <w:r w:rsidR="00782D38">
        <w:rPr>
          <w:rFonts w:ascii="Times New Roman" w:hAnsi="Times New Roman"/>
          <w:sz w:val="24"/>
          <w:szCs w:val="24"/>
        </w:rPr>
        <w:t xml:space="preserve"> not necessarily mean that the compliance costs are borne by the buyer, the points raised in the submissions have</w:t>
      </w:r>
      <w:r w:rsidR="00A26872">
        <w:rPr>
          <w:rFonts w:ascii="Times New Roman" w:hAnsi="Times New Roman"/>
          <w:sz w:val="24"/>
          <w:szCs w:val="24"/>
        </w:rPr>
        <w:t xml:space="preserve"> informed our analysis on who should be the withholding agent under option 4.</w:t>
      </w:r>
    </w:p>
    <w:p w:rsidR="00A26872" w:rsidRDefault="00A26872" w:rsidP="001C3580">
      <w:pPr>
        <w:pStyle w:val="Bullet-list"/>
        <w:spacing w:after="0" w:line="240" w:lineRule="auto"/>
        <w:ind w:left="0" w:firstLine="0"/>
        <w:jc w:val="both"/>
        <w:rPr>
          <w:rFonts w:ascii="Times New Roman" w:hAnsi="Times New Roman"/>
          <w:sz w:val="24"/>
          <w:szCs w:val="24"/>
        </w:rPr>
      </w:pPr>
    </w:p>
    <w:p w:rsidR="004A0EC1" w:rsidRDefault="00FB1EC5"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The issues paper proposed</w:t>
      </w:r>
      <w:r w:rsidR="001C3580">
        <w:rPr>
          <w:rFonts w:ascii="Times New Roman" w:hAnsi="Times New Roman"/>
          <w:sz w:val="24"/>
          <w:szCs w:val="24"/>
        </w:rPr>
        <w:t xml:space="preserve"> to give</w:t>
      </w:r>
      <w:r>
        <w:rPr>
          <w:rFonts w:ascii="Times New Roman" w:hAnsi="Times New Roman"/>
          <w:sz w:val="24"/>
          <w:szCs w:val="24"/>
        </w:rPr>
        <w:t xml:space="preserve"> the Commissioner priority over other disbursements made at the time of settlement</w:t>
      </w:r>
      <w:r w:rsidR="001C3580">
        <w:rPr>
          <w:rFonts w:ascii="Times New Roman" w:hAnsi="Times New Roman"/>
          <w:sz w:val="24"/>
          <w:szCs w:val="24"/>
        </w:rPr>
        <w:t xml:space="preserve"> - that is, for RLWT to be paid before the seller’s other disbursements</w:t>
      </w:r>
      <w:r>
        <w:rPr>
          <w:rFonts w:ascii="Times New Roman" w:hAnsi="Times New Roman"/>
          <w:sz w:val="24"/>
          <w:szCs w:val="24"/>
        </w:rPr>
        <w:t xml:space="preserve">.  This is Inland Revenue’s preferred approach, as it is </w:t>
      </w:r>
      <w:r w:rsidR="007F70C4">
        <w:rPr>
          <w:rFonts w:ascii="Times New Roman" w:hAnsi="Times New Roman"/>
          <w:sz w:val="24"/>
          <w:szCs w:val="24"/>
        </w:rPr>
        <w:t xml:space="preserve">(in substance) </w:t>
      </w:r>
      <w:r>
        <w:rPr>
          <w:rFonts w:ascii="Times New Roman" w:hAnsi="Times New Roman"/>
          <w:sz w:val="24"/>
          <w:szCs w:val="24"/>
        </w:rPr>
        <w:t>consistent with other withholding taxes and it would be the most effective approach from an integrity perspective.  However, s</w:t>
      </w:r>
      <w:r w:rsidR="00A26872">
        <w:rPr>
          <w:rFonts w:ascii="Times New Roman" w:hAnsi="Times New Roman"/>
          <w:sz w:val="24"/>
          <w:szCs w:val="24"/>
        </w:rPr>
        <w:t xml:space="preserve">ubmitters did not believe that the Commissioner should be </w:t>
      </w:r>
      <w:r w:rsidR="001C3580">
        <w:rPr>
          <w:rFonts w:ascii="Times New Roman" w:hAnsi="Times New Roman"/>
          <w:sz w:val="24"/>
          <w:szCs w:val="24"/>
        </w:rPr>
        <w:t>paid before</w:t>
      </w:r>
      <w:r w:rsidR="00A26872">
        <w:rPr>
          <w:rFonts w:ascii="Times New Roman" w:hAnsi="Times New Roman"/>
          <w:sz w:val="24"/>
          <w:szCs w:val="24"/>
        </w:rPr>
        <w:t xml:space="preserve"> other disbursements</w:t>
      </w:r>
      <w:r w:rsidR="00967F0D">
        <w:rPr>
          <w:rFonts w:ascii="Times New Roman" w:hAnsi="Times New Roman"/>
          <w:sz w:val="24"/>
          <w:szCs w:val="24"/>
        </w:rPr>
        <w:t xml:space="preserve"> made at the time of settlement, </w:t>
      </w:r>
      <w:r w:rsidR="00A26872">
        <w:rPr>
          <w:rFonts w:ascii="Times New Roman" w:hAnsi="Times New Roman"/>
          <w:sz w:val="24"/>
          <w:szCs w:val="24"/>
        </w:rPr>
        <w:t>as it could prevent some sales from being completed</w:t>
      </w:r>
      <w:r w:rsidR="005965C4">
        <w:rPr>
          <w:rFonts w:ascii="Times New Roman" w:hAnsi="Times New Roman"/>
          <w:sz w:val="24"/>
          <w:szCs w:val="24"/>
        </w:rPr>
        <w:t xml:space="preserve">.  </w:t>
      </w:r>
    </w:p>
    <w:p w:rsidR="004A0EC1" w:rsidRDefault="004A0EC1" w:rsidP="00EB3175">
      <w:pPr>
        <w:pStyle w:val="Bullet-list"/>
        <w:spacing w:after="0" w:line="240" w:lineRule="auto"/>
        <w:ind w:left="0" w:firstLine="0"/>
        <w:jc w:val="both"/>
        <w:rPr>
          <w:rFonts w:ascii="Times New Roman" w:hAnsi="Times New Roman"/>
          <w:sz w:val="24"/>
          <w:szCs w:val="24"/>
        </w:rPr>
      </w:pPr>
    </w:p>
    <w:p w:rsidR="004A0EC1" w:rsidRPr="00EB3175" w:rsidRDefault="004A0EC1" w:rsidP="00EB3175">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To address the concerns raised by submitters</w:t>
      </w:r>
      <w:r w:rsidR="00FB1EC5">
        <w:rPr>
          <w:rFonts w:ascii="Times New Roman" w:hAnsi="Times New Roman"/>
          <w:sz w:val="24"/>
          <w:szCs w:val="24"/>
        </w:rPr>
        <w:t xml:space="preserve"> to an extent, it is proposed that the</w:t>
      </w:r>
      <w:r>
        <w:rPr>
          <w:rFonts w:ascii="Times New Roman" w:hAnsi="Times New Roman"/>
          <w:sz w:val="24"/>
          <w:szCs w:val="24"/>
        </w:rPr>
        <w:t xml:space="preserve"> Commissioner </w:t>
      </w:r>
      <w:r w:rsidR="00FB1EC5">
        <w:rPr>
          <w:rFonts w:ascii="Times New Roman" w:hAnsi="Times New Roman"/>
          <w:sz w:val="24"/>
          <w:szCs w:val="24"/>
        </w:rPr>
        <w:t xml:space="preserve">should </w:t>
      </w:r>
      <w:r w:rsidR="001C3580">
        <w:rPr>
          <w:rFonts w:ascii="Times New Roman" w:hAnsi="Times New Roman"/>
          <w:sz w:val="24"/>
          <w:szCs w:val="24"/>
        </w:rPr>
        <w:t>be paid before other disbursements</w:t>
      </w:r>
      <w:r>
        <w:rPr>
          <w:rFonts w:ascii="Times New Roman" w:hAnsi="Times New Roman"/>
          <w:sz w:val="24"/>
          <w:szCs w:val="24"/>
        </w:rPr>
        <w:t xml:space="preserve"> unless</w:t>
      </w:r>
      <w:r w:rsidR="00FB1EC5">
        <w:rPr>
          <w:rFonts w:ascii="Times New Roman" w:hAnsi="Times New Roman"/>
          <w:sz w:val="24"/>
          <w:szCs w:val="24"/>
        </w:rPr>
        <w:t xml:space="preserve"> the disbursement relates to a mortgage held by a New Zealand</w:t>
      </w:r>
      <w:r w:rsidR="001C3580">
        <w:rPr>
          <w:rFonts w:ascii="Times New Roman" w:hAnsi="Times New Roman"/>
          <w:sz w:val="24"/>
          <w:szCs w:val="24"/>
        </w:rPr>
        <w:t>-</w:t>
      </w:r>
      <w:r w:rsidR="00FB1EC5">
        <w:rPr>
          <w:rFonts w:ascii="Times New Roman" w:hAnsi="Times New Roman"/>
          <w:sz w:val="24"/>
          <w:szCs w:val="24"/>
        </w:rPr>
        <w:t>registered bank</w:t>
      </w:r>
      <w:r w:rsidR="001C3580">
        <w:rPr>
          <w:rFonts w:ascii="Times New Roman" w:hAnsi="Times New Roman"/>
          <w:sz w:val="24"/>
          <w:szCs w:val="24"/>
        </w:rPr>
        <w:t xml:space="preserve"> or non-bank deposit taker</w:t>
      </w:r>
      <w:r w:rsidR="00FB1EC5">
        <w:rPr>
          <w:rFonts w:ascii="Times New Roman" w:hAnsi="Times New Roman"/>
          <w:sz w:val="24"/>
          <w:szCs w:val="24"/>
        </w:rPr>
        <w:t xml:space="preserve">.  Officials consider that this rule </w:t>
      </w:r>
      <w:r w:rsidR="007F70C4">
        <w:rPr>
          <w:rFonts w:ascii="Times New Roman" w:hAnsi="Times New Roman"/>
          <w:sz w:val="24"/>
          <w:szCs w:val="24"/>
        </w:rPr>
        <w:t xml:space="preserve">is likely to </w:t>
      </w:r>
      <w:r w:rsidR="00FB1EC5">
        <w:rPr>
          <w:rFonts w:ascii="Times New Roman" w:hAnsi="Times New Roman"/>
          <w:sz w:val="24"/>
          <w:szCs w:val="24"/>
        </w:rPr>
        <w:t xml:space="preserve">prevent situations that are </w:t>
      </w:r>
      <w:r w:rsidR="001C3580">
        <w:rPr>
          <w:rFonts w:ascii="Times New Roman" w:hAnsi="Times New Roman"/>
          <w:sz w:val="24"/>
          <w:szCs w:val="24"/>
        </w:rPr>
        <w:t>particularly</w:t>
      </w:r>
      <w:r w:rsidR="00FB1EC5">
        <w:rPr>
          <w:rFonts w:ascii="Times New Roman" w:hAnsi="Times New Roman"/>
          <w:sz w:val="24"/>
          <w:szCs w:val="24"/>
        </w:rPr>
        <w:t xml:space="preserve"> problematic from an integrity perspective</w:t>
      </w:r>
      <w:r w:rsidR="007F70C4">
        <w:rPr>
          <w:rFonts w:ascii="Times New Roman" w:hAnsi="Times New Roman"/>
          <w:sz w:val="24"/>
          <w:szCs w:val="24"/>
        </w:rPr>
        <w:t xml:space="preserve">, and should be relatively straightforward </w:t>
      </w:r>
      <w:r w:rsidR="00652610">
        <w:rPr>
          <w:rFonts w:ascii="Times New Roman" w:hAnsi="Times New Roman"/>
          <w:sz w:val="24"/>
          <w:szCs w:val="24"/>
        </w:rPr>
        <w:t xml:space="preserve">for withholding agents </w:t>
      </w:r>
      <w:r w:rsidR="007F70C4">
        <w:rPr>
          <w:rFonts w:ascii="Times New Roman" w:hAnsi="Times New Roman"/>
          <w:sz w:val="24"/>
          <w:szCs w:val="24"/>
        </w:rPr>
        <w:t>to comply with</w:t>
      </w:r>
      <w:r w:rsidR="00FB1EC5">
        <w:rPr>
          <w:rFonts w:ascii="Times New Roman" w:hAnsi="Times New Roman"/>
          <w:sz w:val="24"/>
          <w:szCs w:val="24"/>
        </w:rPr>
        <w:t xml:space="preserve">.    </w:t>
      </w:r>
      <w:r>
        <w:rPr>
          <w:rFonts w:ascii="Times New Roman" w:hAnsi="Times New Roman"/>
          <w:sz w:val="24"/>
          <w:szCs w:val="24"/>
        </w:rPr>
        <w:t xml:space="preserve">    </w:t>
      </w:r>
    </w:p>
    <w:p w:rsidR="00F147C3" w:rsidRPr="000047F2" w:rsidRDefault="00F147C3" w:rsidP="001C3580">
      <w:pPr>
        <w:pStyle w:val="Bullet-list"/>
        <w:spacing w:after="0" w:line="240" w:lineRule="auto"/>
        <w:ind w:left="0" w:firstLine="0"/>
        <w:jc w:val="both"/>
        <w:rPr>
          <w:rFonts w:ascii="Times New Roman" w:hAnsi="Times New Roman"/>
          <w:sz w:val="24"/>
          <w:szCs w:val="24"/>
        </w:rPr>
      </w:pPr>
    </w:p>
    <w:p w:rsidR="003E3CA4" w:rsidRDefault="00967F0D"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Ma</w:t>
      </w:r>
      <w:r w:rsidR="00CC073A">
        <w:rPr>
          <w:rFonts w:ascii="Times New Roman" w:hAnsi="Times New Roman"/>
          <w:sz w:val="24"/>
          <w:szCs w:val="24"/>
        </w:rPr>
        <w:t>n</w:t>
      </w:r>
      <w:r>
        <w:rPr>
          <w:rFonts w:ascii="Times New Roman" w:hAnsi="Times New Roman"/>
          <w:sz w:val="24"/>
          <w:szCs w:val="24"/>
        </w:rPr>
        <w:t>y s</w:t>
      </w:r>
      <w:r w:rsidR="00F147C3">
        <w:rPr>
          <w:rFonts w:ascii="Times New Roman" w:hAnsi="Times New Roman"/>
          <w:sz w:val="24"/>
          <w:szCs w:val="24"/>
        </w:rPr>
        <w:t>ubmitters expressed concern about the difficulty of identifying who is an “offshore person”</w:t>
      </w:r>
      <w:r w:rsidR="00782D38">
        <w:rPr>
          <w:rFonts w:ascii="Times New Roman" w:hAnsi="Times New Roman"/>
          <w:sz w:val="24"/>
          <w:szCs w:val="24"/>
        </w:rPr>
        <w:t>, particularly</w:t>
      </w:r>
      <w:r w:rsidR="00F147C3">
        <w:rPr>
          <w:rFonts w:ascii="Times New Roman" w:hAnsi="Times New Roman"/>
          <w:sz w:val="24"/>
          <w:szCs w:val="24"/>
        </w:rPr>
        <w:t xml:space="preserve"> in the case of non-individuals</w:t>
      </w:r>
      <w:r w:rsidR="005965C4">
        <w:rPr>
          <w:rFonts w:ascii="Times New Roman" w:hAnsi="Times New Roman"/>
          <w:sz w:val="24"/>
          <w:szCs w:val="24"/>
        </w:rPr>
        <w:t xml:space="preserve">.  </w:t>
      </w:r>
      <w:r w:rsidR="003E3CA4">
        <w:rPr>
          <w:rFonts w:ascii="Times New Roman" w:hAnsi="Times New Roman"/>
          <w:sz w:val="24"/>
          <w:szCs w:val="24"/>
        </w:rPr>
        <w:t>This may be impractical and difficult when there are many levels in the structure of a company and it is not immediately clear who the underlying owner is</w:t>
      </w:r>
      <w:r w:rsidR="005965C4">
        <w:rPr>
          <w:rFonts w:ascii="Times New Roman" w:hAnsi="Times New Roman"/>
          <w:sz w:val="24"/>
          <w:szCs w:val="24"/>
        </w:rPr>
        <w:t xml:space="preserve">.  </w:t>
      </w:r>
      <w:r w:rsidR="003E3CA4">
        <w:rPr>
          <w:rFonts w:ascii="Times New Roman" w:hAnsi="Times New Roman"/>
          <w:sz w:val="24"/>
          <w:szCs w:val="24"/>
        </w:rPr>
        <w:t>This concern has been take</w:t>
      </w:r>
      <w:r w:rsidR="00782D38">
        <w:rPr>
          <w:rFonts w:ascii="Times New Roman" w:hAnsi="Times New Roman"/>
          <w:sz w:val="24"/>
          <w:szCs w:val="24"/>
        </w:rPr>
        <w:t>n</w:t>
      </w:r>
      <w:r w:rsidR="003E3CA4">
        <w:rPr>
          <w:rFonts w:ascii="Times New Roman" w:hAnsi="Times New Roman"/>
          <w:sz w:val="24"/>
          <w:szCs w:val="24"/>
        </w:rPr>
        <w:t xml:space="preserve"> into account in the design of the RLWT under option </w:t>
      </w:r>
      <w:r w:rsidR="003E3CA4" w:rsidRPr="00A26872">
        <w:rPr>
          <w:rFonts w:ascii="Times New Roman" w:hAnsi="Times New Roman"/>
          <w:sz w:val="24"/>
          <w:szCs w:val="24"/>
        </w:rPr>
        <w:t>4(a)</w:t>
      </w:r>
      <w:r w:rsidR="00760A98" w:rsidRPr="00A26872">
        <w:rPr>
          <w:rFonts w:ascii="Times New Roman" w:hAnsi="Times New Roman"/>
          <w:sz w:val="24"/>
          <w:szCs w:val="24"/>
        </w:rPr>
        <w:t>.</w:t>
      </w:r>
      <w:r w:rsidR="00747BB7">
        <w:rPr>
          <w:rFonts w:ascii="Times New Roman" w:hAnsi="Times New Roman"/>
          <w:sz w:val="24"/>
          <w:szCs w:val="24"/>
        </w:rPr>
        <w:t xml:space="preserve"> </w:t>
      </w:r>
      <w:r w:rsidR="00E65049">
        <w:rPr>
          <w:rFonts w:ascii="Times New Roman" w:hAnsi="Times New Roman"/>
          <w:sz w:val="24"/>
          <w:szCs w:val="24"/>
        </w:rPr>
        <w:t xml:space="preserve">In addition, </w:t>
      </w:r>
      <w:r w:rsidR="009F676B">
        <w:rPr>
          <w:rFonts w:ascii="Times New Roman" w:hAnsi="Times New Roman"/>
          <w:sz w:val="24"/>
          <w:szCs w:val="24"/>
        </w:rPr>
        <w:t>o</w:t>
      </w:r>
      <w:r w:rsidR="00747BB7">
        <w:rPr>
          <w:rFonts w:ascii="Times New Roman" w:hAnsi="Times New Roman"/>
          <w:sz w:val="24"/>
          <w:szCs w:val="24"/>
        </w:rPr>
        <w:t xml:space="preserve">ption </w:t>
      </w:r>
      <w:r w:rsidR="00E65049">
        <w:rPr>
          <w:rFonts w:ascii="Times New Roman" w:hAnsi="Times New Roman"/>
          <w:sz w:val="24"/>
          <w:szCs w:val="24"/>
        </w:rPr>
        <w:t>4(b) has also been identified and analysed as an alternative approach by subjecting all bright-line sales to the withholding tax.</w:t>
      </w:r>
    </w:p>
    <w:p w:rsidR="00A26872" w:rsidRPr="00A26872" w:rsidRDefault="00A26872" w:rsidP="001C3580">
      <w:pPr>
        <w:pStyle w:val="Bullet-list"/>
        <w:spacing w:after="0" w:line="240" w:lineRule="auto"/>
        <w:ind w:left="0" w:firstLine="0"/>
        <w:jc w:val="both"/>
        <w:rPr>
          <w:rFonts w:ascii="Times New Roman" w:hAnsi="Times New Roman"/>
          <w:sz w:val="24"/>
          <w:szCs w:val="24"/>
        </w:rPr>
      </w:pPr>
    </w:p>
    <w:p w:rsidR="00801BCF" w:rsidRDefault="00760A98"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745324">
        <w:rPr>
          <w:rFonts w:ascii="Times New Roman" w:hAnsi="Times New Roman"/>
          <w:sz w:val="24"/>
          <w:szCs w:val="24"/>
        </w:rPr>
        <w:t>A</w:t>
      </w:r>
      <w:r w:rsidRPr="00C95ACC">
        <w:rPr>
          <w:rFonts w:ascii="Times New Roman" w:hAnsi="Times New Roman"/>
          <w:sz w:val="24"/>
          <w:szCs w:val="24"/>
        </w:rPr>
        <w:t xml:space="preserve"> few submitters</w:t>
      </w:r>
      <w:r w:rsidRPr="000047F2">
        <w:rPr>
          <w:rFonts w:ascii="Times New Roman" w:hAnsi="Times New Roman"/>
          <w:sz w:val="24"/>
          <w:szCs w:val="24"/>
        </w:rPr>
        <w:t xml:space="preserve"> also raised concerns about whether Inland Revenue is able to implement a new withholding tax, given the age of Inland Revenue’s current computer system and the </w:t>
      </w:r>
      <w:r w:rsidR="00E65049">
        <w:rPr>
          <w:rFonts w:ascii="Times New Roman" w:hAnsi="Times New Roman"/>
          <w:sz w:val="24"/>
          <w:szCs w:val="24"/>
        </w:rPr>
        <w:t xml:space="preserve">limited </w:t>
      </w:r>
      <w:r w:rsidRPr="000047F2">
        <w:rPr>
          <w:rFonts w:ascii="Times New Roman" w:hAnsi="Times New Roman"/>
          <w:sz w:val="24"/>
          <w:szCs w:val="24"/>
        </w:rPr>
        <w:t xml:space="preserve">ability to make changes to it before </w:t>
      </w:r>
      <w:r w:rsidR="009F676B">
        <w:rPr>
          <w:rFonts w:ascii="Times New Roman" w:hAnsi="Times New Roman"/>
          <w:sz w:val="24"/>
          <w:szCs w:val="24"/>
        </w:rPr>
        <w:t xml:space="preserve">the completion of </w:t>
      </w:r>
      <w:r w:rsidRPr="000047F2">
        <w:rPr>
          <w:rFonts w:ascii="Times New Roman" w:hAnsi="Times New Roman"/>
          <w:sz w:val="24"/>
          <w:szCs w:val="24"/>
        </w:rPr>
        <w:t>Inland Revenue’s Business Transformation Programme</w:t>
      </w:r>
      <w:r w:rsidR="005965C4">
        <w:rPr>
          <w:rFonts w:ascii="Times New Roman" w:hAnsi="Times New Roman"/>
          <w:sz w:val="24"/>
          <w:szCs w:val="24"/>
        </w:rPr>
        <w:t xml:space="preserve">.  </w:t>
      </w:r>
      <w:r w:rsidRPr="000047F2">
        <w:rPr>
          <w:rFonts w:ascii="Times New Roman" w:hAnsi="Times New Roman"/>
          <w:sz w:val="24"/>
          <w:szCs w:val="24"/>
        </w:rPr>
        <w:t>Some submitters proposed that the implementation of a withholding tax should be delayed until the relevant part of the Business Transformation Programme has been completed and detailed data is available on compliance with the bright-line test</w:t>
      </w:r>
      <w:r w:rsidR="005965C4">
        <w:rPr>
          <w:rFonts w:ascii="Times New Roman" w:hAnsi="Times New Roman"/>
          <w:sz w:val="24"/>
          <w:szCs w:val="24"/>
        </w:rPr>
        <w:t xml:space="preserve">.  </w:t>
      </w:r>
      <w:r w:rsidRPr="000047F2">
        <w:rPr>
          <w:rFonts w:ascii="Times New Roman" w:hAnsi="Times New Roman"/>
          <w:sz w:val="24"/>
          <w:szCs w:val="24"/>
        </w:rPr>
        <w:t xml:space="preserve">Inland Revenue is able to make the appropriate systems changes to implement the withholding tax, but to address submitters’ other points, we have identified as a feasible option </w:t>
      </w:r>
      <w:r w:rsidR="00A26872">
        <w:rPr>
          <w:rFonts w:ascii="Times New Roman" w:hAnsi="Times New Roman"/>
          <w:sz w:val="24"/>
          <w:szCs w:val="24"/>
        </w:rPr>
        <w:t>and analysed</w:t>
      </w:r>
      <w:r w:rsidRPr="000047F2">
        <w:rPr>
          <w:rFonts w:ascii="Times New Roman" w:hAnsi="Times New Roman"/>
          <w:sz w:val="24"/>
          <w:szCs w:val="24"/>
        </w:rPr>
        <w:t xml:space="preserve"> whether a review in three</w:t>
      </w:r>
      <w:r w:rsidR="00882CD6">
        <w:rPr>
          <w:rFonts w:ascii="Times New Roman" w:hAnsi="Times New Roman"/>
          <w:sz w:val="24"/>
          <w:szCs w:val="24"/>
        </w:rPr>
        <w:t xml:space="preserve"> to four</w:t>
      </w:r>
      <w:r w:rsidRPr="000047F2">
        <w:rPr>
          <w:rFonts w:ascii="Times New Roman" w:hAnsi="Times New Roman"/>
          <w:sz w:val="24"/>
          <w:szCs w:val="24"/>
        </w:rPr>
        <w:t xml:space="preserve"> years would meet the objective of optimising </w:t>
      </w:r>
      <w:r w:rsidR="009F676B">
        <w:rPr>
          <w:rFonts w:ascii="Times New Roman" w:hAnsi="Times New Roman"/>
          <w:sz w:val="24"/>
          <w:szCs w:val="24"/>
        </w:rPr>
        <w:t>the effectiveness of</w:t>
      </w:r>
      <w:r w:rsidRPr="000047F2">
        <w:rPr>
          <w:rFonts w:ascii="Times New Roman" w:hAnsi="Times New Roman"/>
          <w:sz w:val="24"/>
          <w:szCs w:val="24"/>
        </w:rPr>
        <w:t xml:space="preserve"> the bright-line test</w:t>
      </w:r>
      <w:r w:rsidR="00A26872" w:rsidRPr="00745324">
        <w:rPr>
          <w:rFonts w:ascii="Times New Roman" w:hAnsi="Times New Roman"/>
          <w:sz w:val="24"/>
          <w:szCs w:val="24"/>
        </w:rPr>
        <w:t xml:space="preserve"> (option 3).</w:t>
      </w:r>
    </w:p>
    <w:p w:rsidR="00801BCF" w:rsidRDefault="00801BCF" w:rsidP="001C3580">
      <w:pPr>
        <w:pStyle w:val="Bullet-list"/>
        <w:spacing w:after="0" w:line="240" w:lineRule="auto"/>
        <w:ind w:left="0" w:firstLine="0"/>
        <w:jc w:val="both"/>
        <w:rPr>
          <w:rFonts w:ascii="Times New Roman" w:hAnsi="Times New Roman"/>
          <w:sz w:val="24"/>
          <w:szCs w:val="24"/>
        </w:rPr>
      </w:pPr>
    </w:p>
    <w:p w:rsidR="00D943DD" w:rsidRPr="00745324" w:rsidRDefault="00801BCF"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Submitters also made comments about detailed design features of a withholding tax under option 4</w:t>
      </w:r>
      <w:r w:rsidR="005965C4">
        <w:rPr>
          <w:rFonts w:ascii="Times New Roman" w:hAnsi="Times New Roman"/>
          <w:sz w:val="24"/>
          <w:szCs w:val="24"/>
        </w:rPr>
        <w:t xml:space="preserve">.  </w:t>
      </w:r>
      <w:r>
        <w:rPr>
          <w:rFonts w:ascii="Times New Roman" w:hAnsi="Times New Roman"/>
          <w:sz w:val="24"/>
          <w:szCs w:val="24"/>
        </w:rPr>
        <w:t>We have taken these comments into consideration in our design of the policy details.</w:t>
      </w:r>
      <w:bookmarkStart w:id="26" w:name="_Preferred_option_[optional]"/>
      <w:bookmarkStart w:id="27" w:name="_Toc244580367"/>
      <w:bookmarkStart w:id="28" w:name="_Toc244587043"/>
      <w:bookmarkStart w:id="29" w:name="_Toc244857277"/>
      <w:bookmarkStart w:id="30" w:name="_Toc244912542"/>
      <w:bookmarkStart w:id="31" w:name="_Toc244916999"/>
      <w:bookmarkEnd w:id="26"/>
    </w:p>
    <w:p w:rsidR="00A26872" w:rsidRDefault="00A26872" w:rsidP="006C19A4">
      <w:pPr>
        <w:pStyle w:val="Bullet-list"/>
        <w:spacing w:after="0" w:line="240" w:lineRule="auto"/>
        <w:ind w:left="0" w:firstLine="0"/>
        <w:jc w:val="both"/>
      </w:pPr>
    </w:p>
    <w:p w:rsidR="000545DC" w:rsidRPr="006C19A4" w:rsidRDefault="00D943DD" w:rsidP="006C19A4">
      <w:pPr>
        <w:pStyle w:val="Bullet-list"/>
        <w:spacing w:after="0" w:line="240" w:lineRule="auto"/>
        <w:ind w:left="0" w:firstLine="0"/>
        <w:jc w:val="both"/>
        <w:rPr>
          <w:b/>
        </w:rPr>
      </w:pPr>
      <w:r w:rsidRPr="006C19A4">
        <w:rPr>
          <w:rFonts w:ascii="Times New Roman" w:hAnsi="Times New Roman"/>
          <w:b/>
          <w:sz w:val="24"/>
          <w:szCs w:val="24"/>
        </w:rPr>
        <w:t>CONCLUSIONS AND RECOMMENDATIONS</w:t>
      </w:r>
      <w:bookmarkEnd w:id="27"/>
      <w:bookmarkEnd w:id="28"/>
      <w:bookmarkEnd w:id="29"/>
      <w:bookmarkEnd w:id="30"/>
      <w:bookmarkEnd w:id="31"/>
    </w:p>
    <w:p w:rsidR="00A26872" w:rsidRPr="00745324" w:rsidRDefault="00A26872" w:rsidP="006C19A4">
      <w:pPr>
        <w:pStyle w:val="Bullet-list"/>
        <w:spacing w:after="0" w:line="240" w:lineRule="auto"/>
        <w:ind w:left="0" w:firstLine="0"/>
        <w:jc w:val="both"/>
      </w:pPr>
    </w:p>
    <w:p w:rsidR="00EE746C" w:rsidRDefault="00B02211"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4E5138">
        <w:rPr>
          <w:rFonts w:ascii="Times New Roman" w:hAnsi="Times New Roman"/>
          <w:sz w:val="24"/>
          <w:szCs w:val="24"/>
        </w:rPr>
        <w:t xml:space="preserve">Inland Revenue supports </w:t>
      </w:r>
      <w:r w:rsidR="00D46A34" w:rsidRPr="004E5138">
        <w:rPr>
          <w:rFonts w:ascii="Times New Roman" w:hAnsi="Times New Roman"/>
          <w:sz w:val="24"/>
          <w:szCs w:val="24"/>
        </w:rPr>
        <w:t>option 4</w:t>
      </w:r>
      <w:r w:rsidR="003C02D8" w:rsidRPr="004E5138">
        <w:rPr>
          <w:rFonts w:ascii="Times New Roman" w:hAnsi="Times New Roman"/>
          <w:sz w:val="24"/>
          <w:szCs w:val="24"/>
        </w:rPr>
        <w:t>(a)</w:t>
      </w:r>
      <w:r w:rsidR="005965C4">
        <w:rPr>
          <w:rFonts w:ascii="Times New Roman" w:hAnsi="Times New Roman"/>
          <w:sz w:val="24"/>
          <w:szCs w:val="24"/>
        </w:rPr>
        <w:t xml:space="preserve">.  </w:t>
      </w:r>
      <w:r w:rsidRPr="004E5138">
        <w:rPr>
          <w:rFonts w:ascii="Times New Roman" w:hAnsi="Times New Roman"/>
          <w:sz w:val="24"/>
          <w:szCs w:val="24"/>
        </w:rPr>
        <w:t xml:space="preserve">We consider that </w:t>
      </w:r>
      <w:r w:rsidR="00D46A34" w:rsidRPr="004E5138">
        <w:rPr>
          <w:rFonts w:ascii="Times New Roman" w:hAnsi="Times New Roman"/>
          <w:sz w:val="24"/>
          <w:szCs w:val="24"/>
        </w:rPr>
        <w:t>option 4</w:t>
      </w:r>
      <w:r w:rsidR="003C02D8" w:rsidRPr="004E5138">
        <w:rPr>
          <w:rFonts w:ascii="Times New Roman" w:hAnsi="Times New Roman"/>
          <w:sz w:val="24"/>
          <w:szCs w:val="24"/>
        </w:rPr>
        <w:t>(a)</w:t>
      </w:r>
      <w:r w:rsidR="00115CE3" w:rsidRPr="004E5138">
        <w:rPr>
          <w:rFonts w:ascii="Times New Roman" w:hAnsi="Times New Roman"/>
          <w:sz w:val="24"/>
          <w:szCs w:val="24"/>
        </w:rPr>
        <w:t xml:space="preserve"> would optimise the effectiveness </w:t>
      </w:r>
      <w:r w:rsidR="00CD7888" w:rsidRPr="004E5138">
        <w:rPr>
          <w:rFonts w:ascii="Times New Roman" w:hAnsi="Times New Roman"/>
          <w:sz w:val="24"/>
          <w:szCs w:val="24"/>
        </w:rPr>
        <w:t xml:space="preserve">and support the integrity </w:t>
      </w:r>
      <w:r w:rsidR="00115CE3" w:rsidRPr="004E5138">
        <w:rPr>
          <w:rFonts w:ascii="Times New Roman" w:hAnsi="Times New Roman"/>
          <w:sz w:val="24"/>
          <w:szCs w:val="24"/>
        </w:rPr>
        <w:t xml:space="preserve">of </w:t>
      </w:r>
      <w:r w:rsidRPr="004E5138">
        <w:rPr>
          <w:rFonts w:ascii="Times New Roman" w:hAnsi="Times New Roman"/>
          <w:sz w:val="24"/>
          <w:szCs w:val="24"/>
        </w:rPr>
        <w:t>the bright-line test</w:t>
      </w:r>
      <w:r w:rsidR="005965C4">
        <w:rPr>
          <w:rFonts w:ascii="Times New Roman" w:hAnsi="Times New Roman"/>
          <w:sz w:val="24"/>
          <w:szCs w:val="24"/>
        </w:rPr>
        <w:t xml:space="preserve">.  </w:t>
      </w:r>
      <w:r w:rsidR="004E5138" w:rsidRPr="001C3580">
        <w:rPr>
          <w:rFonts w:ascii="Times New Roman" w:hAnsi="Times New Roman"/>
          <w:sz w:val="24"/>
          <w:szCs w:val="24"/>
        </w:rPr>
        <w:t xml:space="preserve">With the proposed introduction of the bright-line test, it highly likely that overseas </w:t>
      </w:r>
      <w:r w:rsidR="002D3278">
        <w:rPr>
          <w:rFonts w:ascii="Times New Roman" w:hAnsi="Times New Roman"/>
          <w:sz w:val="24"/>
          <w:szCs w:val="24"/>
        </w:rPr>
        <w:t>seller</w:t>
      </w:r>
      <w:r w:rsidR="002D3278" w:rsidRPr="001C3580">
        <w:rPr>
          <w:rFonts w:ascii="Times New Roman" w:hAnsi="Times New Roman"/>
          <w:sz w:val="24"/>
          <w:szCs w:val="24"/>
        </w:rPr>
        <w:t xml:space="preserve">s </w:t>
      </w:r>
      <w:r w:rsidR="004E5138" w:rsidRPr="001C3580">
        <w:rPr>
          <w:rFonts w:ascii="Times New Roman" w:hAnsi="Times New Roman"/>
          <w:sz w:val="24"/>
          <w:szCs w:val="24"/>
        </w:rPr>
        <w:t>who sell residential property within two years will have a tax liability in New Zealand in relation to income from that property</w:t>
      </w:r>
      <w:r w:rsidR="005965C4" w:rsidRPr="001C3580">
        <w:rPr>
          <w:rFonts w:ascii="Times New Roman" w:hAnsi="Times New Roman"/>
          <w:sz w:val="24"/>
          <w:szCs w:val="24"/>
        </w:rPr>
        <w:t xml:space="preserve">.  </w:t>
      </w:r>
      <w:r w:rsidR="004E5138" w:rsidRPr="001C3580">
        <w:rPr>
          <w:rFonts w:ascii="Times New Roman" w:hAnsi="Times New Roman"/>
          <w:sz w:val="24"/>
          <w:szCs w:val="24"/>
        </w:rPr>
        <w:t xml:space="preserve">It would </w:t>
      </w:r>
      <w:r w:rsidR="00F02751" w:rsidRPr="001C3580">
        <w:rPr>
          <w:rFonts w:ascii="Times New Roman" w:hAnsi="Times New Roman"/>
          <w:sz w:val="24"/>
          <w:szCs w:val="24"/>
        </w:rPr>
        <w:t>be consistent</w:t>
      </w:r>
      <w:r w:rsidR="004E5138" w:rsidRPr="001C3580">
        <w:rPr>
          <w:rFonts w:ascii="Times New Roman" w:hAnsi="Times New Roman"/>
          <w:sz w:val="24"/>
          <w:szCs w:val="24"/>
        </w:rPr>
        <w:t xml:space="preserve"> with New Zealand’s</w:t>
      </w:r>
      <w:r w:rsidR="00F02751" w:rsidRPr="001C3580">
        <w:rPr>
          <w:rFonts w:ascii="Times New Roman" w:hAnsi="Times New Roman"/>
          <w:sz w:val="24"/>
          <w:szCs w:val="24"/>
        </w:rPr>
        <w:t xml:space="preserve"> broader</w:t>
      </w:r>
      <w:r w:rsidR="004E5138" w:rsidRPr="001C3580">
        <w:rPr>
          <w:rFonts w:ascii="Times New Roman" w:hAnsi="Times New Roman"/>
          <w:sz w:val="24"/>
          <w:szCs w:val="24"/>
        </w:rPr>
        <w:t xml:space="preserve"> approach to withholding taxes to withhold tax on the </w:t>
      </w:r>
      <w:r w:rsidR="00F02751" w:rsidRPr="001C3580">
        <w:rPr>
          <w:rFonts w:ascii="Times New Roman" w:hAnsi="Times New Roman"/>
          <w:sz w:val="24"/>
          <w:szCs w:val="24"/>
        </w:rPr>
        <w:t>payment received by the seller</w:t>
      </w:r>
      <w:r w:rsidR="00E65049" w:rsidRPr="001C3580">
        <w:rPr>
          <w:rFonts w:ascii="Times New Roman" w:hAnsi="Times New Roman"/>
          <w:sz w:val="24"/>
          <w:szCs w:val="24"/>
        </w:rPr>
        <w:t>.</w:t>
      </w:r>
    </w:p>
    <w:p w:rsidR="004E5138" w:rsidRPr="004E5138" w:rsidRDefault="004E5138" w:rsidP="001C3580">
      <w:pPr>
        <w:pStyle w:val="Bullet-list"/>
        <w:spacing w:after="0" w:line="240" w:lineRule="auto"/>
        <w:ind w:left="0" w:firstLine="0"/>
        <w:jc w:val="both"/>
        <w:rPr>
          <w:rFonts w:ascii="Times New Roman" w:hAnsi="Times New Roman"/>
          <w:sz w:val="24"/>
          <w:szCs w:val="24"/>
        </w:rPr>
      </w:pPr>
    </w:p>
    <w:p w:rsidR="00801BCF" w:rsidRDefault="00EE746C"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1501E3">
        <w:rPr>
          <w:rFonts w:ascii="Times New Roman" w:hAnsi="Times New Roman"/>
          <w:sz w:val="24"/>
          <w:szCs w:val="24"/>
        </w:rPr>
        <w:t>Given the general difficulty faced in collecting tax from foreign investors with no physical presence in New Zealand, we</w:t>
      </w:r>
      <w:r>
        <w:rPr>
          <w:rFonts w:ascii="Times New Roman" w:hAnsi="Times New Roman"/>
          <w:sz w:val="24"/>
          <w:szCs w:val="24"/>
        </w:rPr>
        <w:t xml:space="preserve"> consider that option</w:t>
      </w:r>
      <w:r w:rsidR="00216D4D">
        <w:rPr>
          <w:rFonts w:ascii="Times New Roman" w:hAnsi="Times New Roman"/>
          <w:sz w:val="24"/>
          <w:szCs w:val="24"/>
        </w:rPr>
        <w:t>s</w:t>
      </w:r>
      <w:r>
        <w:rPr>
          <w:rFonts w:ascii="Times New Roman" w:hAnsi="Times New Roman"/>
          <w:sz w:val="24"/>
          <w:szCs w:val="24"/>
        </w:rPr>
        <w:t xml:space="preserve"> 1</w:t>
      </w:r>
      <w:r w:rsidR="00216D4D">
        <w:rPr>
          <w:rFonts w:ascii="Times New Roman" w:hAnsi="Times New Roman"/>
          <w:sz w:val="24"/>
          <w:szCs w:val="24"/>
        </w:rPr>
        <w:t xml:space="preserve">–3 </w:t>
      </w:r>
      <w:r>
        <w:rPr>
          <w:rFonts w:ascii="Times New Roman" w:hAnsi="Times New Roman"/>
          <w:sz w:val="24"/>
          <w:szCs w:val="24"/>
        </w:rPr>
        <w:t xml:space="preserve">would not </w:t>
      </w:r>
      <w:r w:rsidR="00216D4D">
        <w:rPr>
          <w:rFonts w:ascii="Times New Roman" w:hAnsi="Times New Roman"/>
          <w:sz w:val="24"/>
          <w:szCs w:val="24"/>
        </w:rPr>
        <w:t>improve</w:t>
      </w:r>
      <w:r>
        <w:rPr>
          <w:rFonts w:ascii="Times New Roman" w:hAnsi="Times New Roman"/>
          <w:sz w:val="24"/>
          <w:szCs w:val="24"/>
        </w:rPr>
        <w:t xml:space="preserve"> compliance</w:t>
      </w:r>
      <w:r w:rsidR="00115CE3">
        <w:rPr>
          <w:rFonts w:ascii="Times New Roman" w:hAnsi="Times New Roman"/>
          <w:sz w:val="24"/>
          <w:szCs w:val="24"/>
        </w:rPr>
        <w:t xml:space="preserve"> with the bright-line test</w:t>
      </w:r>
      <w:r w:rsidR="00216D4D">
        <w:rPr>
          <w:rFonts w:ascii="Times New Roman" w:hAnsi="Times New Roman"/>
          <w:sz w:val="24"/>
          <w:szCs w:val="24"/>
        </w:rPr>
        <w:t xml:space="preserve"> and could undermine the integrity of the tax system if there is a perception that foreign investors, particularly in the area of residential property, are not paying their “fair share of tax” in New Zealand</w:t>
      </w:r>
      <w:r w:rsidR="005965C4">
        <w:rPr>
          <w:rFonts w:ascii="Times New Roman" w:hAnsi="Times New Roman"/>
          <w:sz w:val="24"/>
          <w:szCs w:val="24"/>
        </w:rPr>
        <w:t xml:space="preserve">.  </w:t>
      </w:r>
      <w:r w:rsidR="00801BCF">
        <w:rPr>
          <w:rFonts w:ascii="Times New Roman" w:hAnsi="Times New Roman"/>
          <w:sz w:val="24"/>
          <w:szCs w:val="24"/>
        </w:rPr>
        <w:t>Option 4(b) would not optimise the effectiveness of the bright-line test due to the significant additional compliance and administrative costs relative to option 4(a).</w:t>
      </w:r>
    </w:p>
    <w:p w:rsidR="00216D4D" w:rsidRDefault="00216D4D" w:rsidP="001C3580">
      <w:pPr>
        <w:pStyle w:val="Bullet-list"/>
        <w:spacing w:after="0" w:line="240" w:lineRule="auto"/>
        <w:ind w:left="0" w:firstLine="0"/>
        <w:jc w:val="both"/>
        <w:rPr>
          <w:rFonts w:ascii="Times New Roman" w:hAnsi="Times New Roman"/>
          <w:sz w:val="24"/>
          <w:szCs w:val="24"/>
        </w:rPr>
      </w:pPr>
    </w:p>
    <w:p w:rsidR="00EE746C" w:rsidRPr="004342F0" w:rsidRDefault="00216D4D"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While option 4</w:t>
      </w:r>
      <w:r w:rsidR="00801BCF">
        <w:rPr>
          <w:rFonts w:ascii="Times New Roman" w:hAnsi="Times New Roman"/>
          <w:sz w:val="24"/>
          <w:szCs w:val="24"/>
        </w:rPr>
        <w:t>(a)</w:t>
      </w:r>
      <w:r>
        <w:rPr>
          <w:rFonts w:ascii="Times New Roman" w:hAnsi="Times New Roman"/>
          <w:sz w:val="24"/>
          <w:szCs w:val="24"/>
        </w:rPr>
        <w:t xml:space="preserve"> involves greater</w:t>
      </w:r>
      <w:r w:rsidR="000C1F63">
        <w:rPr>
          <w:rFonts w:ascii="Times New Roman" w:hAnsi="Times New Roman"/>
          <w:sz w:val="24"/>
          <w:szCs w:val="24"/>
        </w:rPr>
        <w:t xml:space="preserve"> up-front</w:t>
      </w:r>
      <w:r>
        <w:rPr>
          <w:rFonts w:ascii="Times New Roman" w:hAnsi="Times New Roman"/>
          <w:sz w:val="24"/>
          <w:szCs w:val="24"/>
        </w:rPr>
        <w:t xml:space="preserve"> administration costs, compliance costs and is not expected to raise Crown Revenue (as it is simply a collection mechanism), </w:t>
      </w:r>
      <w:r w:rsidR="00476585">
        <w:rPr>
          <w:rFonts w:ascii="Times New Roman" w:hAnsi="Times New Roman"/>
          <w:sz w:val="24"/>
          <w:szCs w:val="24"/>
        </w:rPr>
        <w:t>we consider th</w:t>
      </w:r>
      <w:r w:rsidR="00801BCF">
        <w:rPr>
          <w:rFonts w:ascii="Times New Roman" w:hAnsi="Times New Roman"/>
          <w:sz w:val="24"/>
          <w:szCs w:val="24"/>
        </w:rPr>
        <w:t>at it would meet the objective</w:t>
      </w:r>
      <w:r w:rsidR="00476585">
        <w:rPr>
          <w:rFonts w:ascii="Times New Roman" w:hAnsi="Times New Roman"/>
          <w:sz w:val="24"/>
          <w:szCs w:val="24"/>
        </w:rPr>
        <w:t xml:space="preserve"> of optimising the effec</w:t>
      </w:r>
      <w:r w:rsidR="00801BCF">
        <w:rPr>
          <w:rFonts w:ascii="Times New Roman" w:hAnsi="Times New Roman"/>
          <w:sz w:val="24"/>
          <w:szCs w:val="24"/>
        </w:rPr>
        <w:t>tiveness</w:t>
      </w:r>
      <w:r w:rsidR="00E65049">
        <w:rPr>
          <w:rFonts w:ascii="Times New Roman" w:hAnsi="Times New Roman"/>
          <w:sz w:val="24"/>
          <w:szCs w:val="24"/>
        </w:rPr>
        <w:t>,</w:t>
      </w:r>
      <w:r w:rsidR="00CD7888">
        <w:rPr>
          <w:rFonts w:ascii="Times New Roman" w:hAnsi="Times New Roman"/>
          <w:sz w:val="24"/>
          <w:szCs w:val="24"/>
        </w:rPr>
        <w:t xml:space="preserve"> and supporting the integrity</w:t>
      </w:r>
      <w:r w:rsidR="00801BCF">
        <w:rPr>
          <w:rFonts w:ascii="Times New Roman" w:hAnsi="Times New Roman"/>
          <w:sz w:val="24"/>
          <w:szCs w:val="24"/>
        </w:rPr>
        <w:t xml:space="preserve"> of</w:t>
      </w:r>
      <w:r w:rsidR="00CD7888">
        <w:rPr>
          <w:rFonts w:ascii="Times New Roman" w:hAnsi="Times New Roman"/>
          <w:sz w:val="24"/>
          <w:szCs w:val="24"/>
        </w:rPr>
        <w:t>,</w:t>
      </w:r>
      <w:r w:rsidR="00801BCF">
        <w:rPr>
          <w:rFonts w:ascii="Times New Roman" w:hAnsi="Times New Roman"/>
          <w:sz w:val="24"/>
          <w:szCs w:val="24"/>
        </w:rPr>
        <w:t xml:space="preserve"> the bright-line test</w:t>
      </w:r>
      <w:r w:rsidR="005965C4">
        <w:rPr>
          <w:rFonts w:ascii="Times New Roman" w:hAnsi="Times New Roman"/>
          <w:sz w:val="24"/>
          <w:szCs w:val="24"/>
        </w:rPr>
        <w:t xml:space="preserve">.  </w:t>
      </w:r>
      <w:r w:rsidR="00801BCF">
        <w:rPr>
          <w:rFonts w:ascii="Times New Roman" w:hAnsi="Times New Roman"/>
          <w:sz w:val="24"/>
          <w:szCs w:val="24"/>
        </w:rPr>
        <w:t>However, the extent to which a withholding tax would meet the objective</w:t>
      </w:r>
      <w:r w:rsidR="00CD7888">
        <w:rPr>
          <w:rFonts w:ascii="Times New Roman" w:hAnsi="Times New Roman"/>
          <w:sz w:val="24"/>
          <w:szCs w:val="24"/>
        </w:rPr>
        <w:t>s</w:t>
      </w:r>
      <w:r w:rsidR="00801BCF">
        <w:rPr>
          <w:rFonts w:ascii="Times New Roman" w:hAnsi="Times New Roman"/>
          <w:sz w:val="24"/>
          <w:szCs w:val="24"/>
        </w:rPr>
        <w:t xml:space="preserve"> is dependent on the key design features we have outlined in this regulatory impact statement.</w:t>
      </w:r>
    </w:p>
    <w:p w:rsidR="00D943DD" w:rsidRPr="004342F0" w:rsidRDefault="00D943DD" w:rsidP="00286880">
      <w:pPr>
        <w:pStyle w:val="Bullet-list"/>
        <w:spacing w:after="0" w:line="240" w:lineRule="auto"/>
        <w:ind w:left="0" w:hanging="720"/>
        <w:jc w:val="both"/>
        <w:rPr>
          <w:rFonts w:ascii="Times New Roman" w:hAnsi="Times New Roman"/>
          <w:sz w:val="24"/>
          <w:szCs w:val="24"/>
        </w:rPr>
      </w:pPr>
      <w:bookmarkStart w:id="32" w:name="_Toc244580368"/>
      <w:bookmarkStart w:id="33" w:name="_Toc244587044"/>
      <w:bookmarkStart w:id="34" w:name="_Toc244857278"/>
      <w:bookmarkStart w:id="35" w:name="_Toc244912543"/>
      <w:bookmarkStart w:id="36" w:name="_Toc244917000"/>
    </w:p>
    <w:p w:rsidR="000545DC" w:rsidRPr="004342F0" w:rsidRDefault="00D943DD" w:rsidP="006C19A4">
      <w:pPr>
        <w:pStyle w:val="RISheading"/>
        <w:jc w:val="both"/>
        <w:rPr>
          <w:spacing w:val="0"/>
          <w:w w:val="100"/>
        </w:rPr>
      </w:pPr>
      <w:r w:rsidRPr="004342F0">
        <w:rPr>
          <w:spacing w:val="0"/>
          <w:w w:val="100"/>
        </w:rPr>
        <w:t>IMPLEMENTATION</w:t>
      </w:r>
      <w:bookmarkEnd w:id="32"/>
      <w:bookmarkEnd w:id="33"/>
      <w:bookmarkEnd w:id="34"/>
      <w:bookmarkEnd w:id="35"/>
      <w:bookmarkEnd w:id="36"/>
      <w:r w:rsidRPr="004342F0">
        <w:rPr>
          <w:spacing w:val="0"/>
          <w:w w:val="100"/>
        </w:rPr>
        <w:t xml:space="preserve"> </w:t>
      </w:r>
    </w:p>
    <w:p w:rsidR="000545DC" w:rsidRPr="004342F0" w:rsidRDefault="00B02211"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Legislative change to the Income Tax Act 2007 and Tax Administration Act 1994 would be required to implement </w:t>
      </w:r>
      <w:r w:rsidR="00D46A34">
        <w:rPr>
          <w:rFonts w:ascii="Times New Roman" w:hAnsi="Times New Roman"/>
          <w:sz w:val="24"/>
          <w:szCs w:val="24"/>
        </w:rPr>
        <w:t>option 4</w:t>
      </w:r>
      <w:r w:rsidR="005965C4">
        <w:rPr>
          <w:rFonts w:ascii="Times New Roman" w:hAnsi="Times New Roman"/>
          <w:sz w:val="24"/>
          <w:szCs w:val="24"/>
        </w:rPr>
        <w:t xml:space="preserve">.  </w:t>
      </w:r>
      <w:r>
        <w:rPr>
          <w:rFonts w:ascii="Times New Roman" w:hAnsi="Times New Roman"/>
          <w:sz w:val="24"/>
          <w:szCs w:val="24"/>
        </w:rPr>
        <w:t xml:space="preserve">Any legislative amendments required to implement </w:t>
      </w:r>
      <w:r w:rsidR="00D46A34">
        <w:rPr>
          <w:rFonts w:ascii="Times New Roman" w:hAnsi="Times New Roman"/>
          <w:sz w:val="24"/>
          <w:szCs w:val="24"/>
        </w:rPr>
        <w:t>option 4</w:t>
      </w:r>
      <w:r>
        <w:rPr>
          <w:rFonts w:ascii="Times New Roman" w:hAnsi="Times New Roman"/>
          <w:sz w:val="24"/>
          <w:szCs w:val="24"/>
        </w:rPr>
        <w:t xml:space="preserve"> could be included in a bill introduced before the end of 2015.</w:t>
      </w:r>
    </w:p>
    <w:p w:rsidR="009E39BD" w:rsidRPr="004342F0" w:rsidRDefault="009E39BD" w:rsidP="001C3580">
      <w:pPr>
        <w:pStyle w:val="Bullet-list"/>
        <w:spacing w:after="0" w:line="240" w:lineRule="auto"/>
        <w:ind w:left="0" w:firstLine="0"/>
        <w:jc w:val="both"/>
        <w:rPr>
          <w:rFonts w:ascii="Times New Roman" w:hAnsi="Times New Roman"/>
          <w:sz w:val="24"/>
          <w:szCs w:val="24"/>
        </w:rPr>
      </w:pPr>
    </w:p>
    <w:p w:rsidR="000545DC" w:rsidRDefault="0035257F"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The Government has indicated that a withholding tax under </w:t>
      </w:r>
      <w:r w:rsidR="00D46A34">
        <w:rPr>
          <w:rFonts w:ascii="Times New Roman" w:hAnsi="Times New Roman"/>
          <w:sz w:val="24"/>
          <w:szCs w:val="24"/>
        </w:rPr>
        <w:t>option 4</w:t>
      </w:r>
      <w:r>
        <w:rPr>
          <w:rFonts w:ascii="Times New Roman" w:hAnsi="Times New Roman"/>
          <w:sz w:val="24"/>
          <w:szCs w:val="24"/>
        </w:rPr>
        <w:t xml:space="preserve"> should be </w:t>
      </w:r>
      <w:r w:rsidR="00151716">
        <w:rPr>
          <w:rFonts w:ascii="Times New Roman" w:hAnsi="Times New Roman"/>
          <w:sz w:val="24"/>
          <w:szCs w:val="24"/>
        </w:rPr>
        <w:t>effective from 1 July 2016</w:t>
      </w:r>
      <w:r w:rsidR="005965C4">
        <w:rPr>
          <w:rFonts w:ascii="Times New Roman" w:hAnsi="Times New Roman"/>
          <w:sz w:val="24"/>
          <w:szCs w:val="24"/>
        </w:rPr>
        <w:t xml:space="preserve">.  </w:t>
      </w:r>
      <w:r w:rsidR="00151716">
        <w:rPr>
          <w:rFonts w:ascii="Times New Roman" w:hAnsi="Times New Roman"/>
          <w:sz w:val="24"/>
          <w:szCs w:val="24"/>
        </w:rPr>
        <w:t>To ensure that Inland Revenue ha</w:t>
      </w:r>
      <w:r w:rsidR="00317341">
        <w:rPr>
          <w:rFonts w:ascii="Times New Roman" w:hAnsi="Times New Roman"/>
          <w:sz w:val="24"/>
          <w:szCs w:val="24"/>
        </w:rPr>
        <w:t>s</w:t>
      </w:r>
      <w:r w:rsidR="00151716">
        <w:rPr>
          <w:rFonts w:ascii="Times New Roman" w:hAnsi="Times New Roman"/>
          <w:sz w:val="24"/>
          <w:szCs w:val="24"/>
        </w:rPr>
        <w:t xml:space="preserve"> the appropriat</w:t>
      </w:r>
      <w:r w:rsidR="00D95E10">
        <w:rPr>
          <w:rFonts w:ascii="Times New Roman" w:hAnsi="Times New Roman"/>
          <w:sz w:val="24"/>
          <w:szCs w:val="24"/>
        </w:rPr>
        <w:t>e systems changes in place and</w:t>
      </w:r>
      <w:r w:rsidR="009F676B">
        <w:rPr>
          <w:rFonts w:ascii="Times New Roman" w:hAnsi="Times New Roman"/>
          <w:sz w:val="24"/>
          <w:szCs w:val="24"/>
        </w:rPr>
        <w:t xml:space="preserve"> that</w:t>
      </w:r>
      <w:r w:rsidR="00D95E10">
        <w:rPr>
          <w:rFonts w:ascii="Times New Roman" w:hAnsi="Times New Roman"/>
          <w:sz w:val="24"/>
          <w:szCs w:val="24"/>
        </w:rPr>
        <w:t xml:space="preserve"> practitioners involved in the withholding process are well informed of their obligations, any legislative amendments should be enacted by the end of March 2016</w:t>
      </w:r>
      <w:r w:rsidR="005965C4">
        <w:rPr>
          <w:rFonts w:ascii="Times New Roman" w:hAnsi="Times New Roman"/>
          <w:sz w:val="24"/>
          <w:szCs w:val="24"/>
        </w:rPr>
        <w:t xml:space="preserve">.  </w:t>
      </w:r>
    </w:p>
    <w:p w:rsidR="002165CB" w:rsidRDefault="002165CB" w:rsidP="001C3580">
      <w:pPr>
        <w:pStyle w:val="Bullet-list"/>
        <w:spacing w:after="0" w:line="240" w:lineRule="auto"/>
        <w:ind w:left="0" w:firstLine="0"/>
        <w:jc w:val="both"/>
        <w:rPr>
          <w:rFonts w:ascii="Times New Roman" w:hAnsi="Times New Roman"/>
          <w:sz w:val="24"/>
          <w:szCs w:val="24"/>
        </w:rPr>
      </w:pPr>
    </w:p>
    <w:p w:rsidR="002165CB" w:rsidRDefault="00C22C69"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In addition, </w:t>
      </w:r>
      <w:r w:rsidR="002165CB">
        <w:rPr>
          <w:rFonts w:ascii="Times New Roman" w:hAnsi="Times New Roman"/>
          <w:sz w:val="24"/>
          <w:szCs w:val="24"/>
        </w:rPr>
        <w:t>Inland Revenue would be required to update forms and communication material</w:t>
      </w:r>
      <w:r>
        <w:rPr>
          <w:rFonts w:ascii="Times New Roman" w:hAnsi="Times New Roman"/>
          <w:sz w:val="24"/>
          <w:szCs w:val="24"/>
        </w:rPr>
        <w:t xml:space="preserve"> that can be distributed to withholding agents and other parties potentially impacted by the withholding tax</w:t>
      </w:r>
      <w:r w:rsidR="005965C4">
        <w:rPr>
          <w:rFonts w:ascii="Times New Roman" w:hAnsi="Times New Roman"/>
          <w:sz w:val="24"/>
          <w:szCs w:val="24"/>
        </w:rPr>
        <w:t xml:space="preserve">.  </w:t>
      </w:r>
      <w:r>
        <w:rPr>
          <w:rFonts w:ascii="Times New Roman" w:hAnsi="Times New Roman"/>
          <w:sz w:val="24"/>
          <w:szCs w:val="24"/>
        </w:rPr>
        <w:t>One possibility would be to distribute information forms to real estate agents to distribute to their clients.</w:t>
      </w:r>
    </w:p>
    <w:p w:rsidR="00D95E10" w:rsidRDefault="00D95E10" w:rsidP="001C3580">
      <w:pPr>
        <w:pStyle w:val="Bullet-list"/>
        <w:spacing w:after="0" w:line="240" w:lineRule="auto"/>
        <w:ind w:left="0" w:firstLine="0"/>
        <w:jc w:val="both"/>
        <w:rPr>
          <w:rFonts w:ascii="Times New Roman" w:hAnsi="Times New Roman"/>
          <w:sz w:val="24"/>
          <w:szCs w:val="24"/>
        </w:rPr>
      </w:pPr>
    </w:p>
    <w:p w:rsidR="00317341" w:rsidRDefault="00D95E10"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The withholding tax under </w:t>
      </w:r>
      <w:r w:rsidR="00D46A34">
        <w:rPr>
          <w:rFonts w:ascii="Times New Roman" w:hAnsi="Times New Roman"/>
          <w:sz w:val="24"/>
          <w:szCs w:val="24"/>
        </w:rPr>
        <w:t>option 4</w:t>
      </w:r>
      <w:r>
        <w:rPr>
          <w:rFonts w:ascii="Times New Roman" w:hAnsi="Times New Roman"/>
          <w:sz w:val="24"/>
          <w:szCs w:val="24"/>
        </w:rPr>
        <w:t xml:space="preserve"> would be administered by Inland Revenue</w:t>
      </w:r>
      <w:r w:rsidR="005965C4">
        <w:rPr>
          <w:rFonts w:ascii="Times New Roman" w:hAnsi="Times New Roman"/>
          <w:sz w:val="24"/>
          <w:szCs w:val="24"/>
        </w:rPr>
        <w:t xml:space="preserve">.  </w:t>
      </w:r>
    </w:p>
    <w:p w:rsidR="00317341" w:rsidRDefault="00317341" w:rsidP="001C3580">
      <w:pPr>
        <w:pStyle w:val="Bullet-list"/>
        <w:spacing w:after="0" w:line="240" w:lineRule="auto"/>
        <w:ind w:left="0" w:firstLine="0"/>
        <w:jc w:val="both"/>
        <w:rPr>
          <w:rFonts w:ascii="Times New Roman" w:hAnsi="Times New Roman"/>
          <w:sz w:val="24"/>
          <w:szCs w:val="24"/>
        </w:rPr>
      </w:pPr>
    </w:p>
    <w:p w:rsidR="00317341" w:rsidRDefault="00317341"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317341">
        <w:rPr>
          <w:rFonts w:ascii="Times New Roman" w:hAnsi="Times New Roman"/>
          <w:sz w:val="24"/>
          <w:szCs w:val="24"/>
        </w:rPr>
        <w:t>Whilst Inland Revenue has mechanisms</w:t>
      </w:r>
      <w:r w:rsidR="009F676B">
        <w:rPr>
          <w:rFonts w:ascii="Times New Roman" w:hAnsi="Times New Roman"/>
          <w:sz w:val="24"/>
          <w:szCs w:val="24"/>
        </w:rPr>
        <w:t xml:space="preserve"> in place</w:t>
      </w:r>
      <w:r w:rsidRPr="00317341">
        <w:rPr>
          <w:rFonts w:ascii="Times New Roman" w:hAnsi="Times New Roman"/>
          <w:sz w:val="24"/>
          <w:szCs w:val="24"/>
        </w:rPr>
        <w:t xml:space="preserve"> to collect various taxes, it does not have existing administrative arrangements to collect the proposed RLWT</w:t>
      </w:r>
      <w:r w:rsidR="005965C4">
        <w:rPr>
          <w:rFonts w:ascii="Times New Roman" w:hAnsi="Times New Roman"/>
          <w:sz w:val="24"/>
          <w:szCs w:val="24"/>
        </w:rPr>
        <w:t xml:space="preserve">.  </w:t>
      </w:r>
    </w:p>
    <w:p w:rsidR="00317341" w:rsidRDefault="00317341" w:rsidP="001C3580">
      <w:pPr>
        <w:pStyle w:val="Bullet-list"/>
        <w:spacing w:after="0" w:line="240" w:lineRule="auto"/>
        <w:ind w:left="0" w:firstLine="0"/>
        <w:jc w:val="both"/>
        <w:rPr>
          <w:rFonts w:ascii="Times New Roman" w:hAnsi="Times New Roman"/>
          <w:sz w:val="24"/>
          <w:szCs w:val="24"/>
        </w:rPr>
      </w:pPr>
    </w:p>
    <w:p w:rsidR="00D95E10" w:rsidRPr="00317341" w:rsidRDefault="00D95E10"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317341">
        <w:rPr>
          <w:rFonts w:ascii="Times New Roman" w:hAnsi="Times New Roman"/>
          <w:sz w:val="24"/>
          <w:szCs w:val="24"/>
        </w:rPr>
        <w:t xml:space="preserve">Where a withholding agent has failed to withhold when required, penalties would apply and where there has been a </w:t>
      </w:r>
      <w:r w:rsidR="00317341">
        <w:rPr>
          <w:rFonts w:ascii="Times New Roman" w:hAnsi="Times New Roman"/>
          <w:sz w:val="24"/>
          <w:szCs w:val="24"/>
        </w:rPr>
        <w:t>negligent or fraudulent</w:t>
      </w:r>
      <w:r w:rsidR="00317341" w:rsidRPr="00317341">
        <w:rPr>
          <w:rFonts w:ascii="Times New Roman" w:hAnsi="Times New Roman"/>
          <w:sz w:val="24"/>
          <w:szCs w:val="24"/>
        </w:rPr>
        <w:t xml:space="preserve"> </w:t>
      </w:r>
      <w:r w:rsidRPr="00317341">
        <w:rPr>
          <w:rFonts w:ascii="Times New Roman" w:hAnsi="Times New Roman"/>
          <w:sz w:val="24"/>
          <w:szCs w:val="24"/>
        </w:rPr>
        <w:t xml:space="preserve">failure to withhold, Inland Revenue would work closely </w:t>
      </w:r>
      <w:r w:rsidR="002165CB" w:rsidRPr="00317341">
        <w:rPr>
          <w:rFonts w:ascii="Times New Roman" w:hAnsi="Times New Roman"/>
          <w:sz w:val="24"/>
          <w:szCs w:val="24"/>
        </w:rPr>
        <w:t>with the relevant professional body to ensure that appropriate action is taken.</w:t>
      </w:r>
    </w:p>
    <w:p w:rsidR="002165CB" w:rsidRDefault="002165CB" w:rsidP="001C3580">
      <w:pPr>
        <w:pStyle w:val="Bullet-list"/>
        <w:spacing w:after="0" w:line="240" w:lineRule="auto"/>
        <w:ind w:left="0" w:firstLine="0"/>
        <w:jc w:val="both"/>
        <w:rPr>
          <w:rFonts w:ascii="Times New Roman" w:hAnsi="Times New Roman"/>
          <w:sz w:val="24"/>
          <w:szCs w:val="24"/>
        </w:rPr>
      </w:pPr>
    </w:p>
    <w:p w:rsidR="0035257F" w:rsidRPr="00C22C69" w:rsidRDefault="002165CB"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In designing </w:t>
      </w:r>
      <w:r w:rsidR="00D46A34">
        <w:rPr>
          <w:rFonts w:ascii="Times New Roman" w:hAnsi="Times New Roman"/>
          <w:sz w:val="24"/>
          <w:szCs w:val="24"/>
        </w:rPr>
        <w:t>option 4</w:t>
      </w:r>
      <w:r>
        <w:rPr>
          <w:rFonts w:ascii="Times New Roman" w:hAnsi="Times New Roman"/>
          <w:sz w:val="24"/>
          <w:szCs w:val="24"/>
        </w:rPr>
        <w:t>, officials sought</w:t>
      </w:r>
      <w:r w:rsidR="00C22C69">
        <w:rPr>
          <w:rFonts w:ascii="Times New Roman" w:hAnsi="Times New Roman"/>
          <w:sz w:val="24"/>
          <w:szCs w:val="24"/>
        </w:rPr>
        <w:t xml:space="preserve"> feedback from representatives </w:t>
      </w:r>
      <w:r>
        <w:rPr>
          <w:rFonts w:ascii="Times New Roman" w:hAnsi="Times New Roman"/>
          <w:sz w:val="24"/>
          <w:szCs w:val="24"/>
        </w:rPr>
        <w:t xml:space="preserve">on the compliance </w:t>
      </w:r>
      <w:r w:rsidR="00C22C69">
        <w:rPr>
          <w:rFonts w:ascii="Times New Roman" w:hAnsi="Times New Roman"/>
          <w:sz w:val="24"/>
          <w:szCs w:val="24"/>
        </w:rPr>
        <w:t>costs</w:t>
      </w:r>
      <w:r>
        <w:rPr>
          <w:rFonts w:ascii="Times New Roman" w:hAnsi="Times New Roman"/>
          <w:sz w:val="24"/>
          <w:szCs w:val="24"/>
        </w:rPr>
        <w:t xml:space="preserve"> associated with</w:t>
      </w:r>
      <w:r w:rsidR="00403183">
        <w:rPr>
          <w:rFonts w:ascii="Times New Roman" w:hAnsi="Times New Roman"/>
          <w:sz w:val="24"/>
          <w:szCs w:val="24"/>
        </w:rPr>
        <w:t xml:space="preserve"> administering </w:t>
      </w:r>
      <w:r w:rsidR="00C22C69">
        <w:rPr>
          <w:rFonts w:ascii="Times New Roman" w:hAnsi="Times New Roman"/>
          <w:sz w:val="24"/>
          <w:szCs w:val="24"/>
        </w:rPr>
        <w:t>a</w:t>
      </w:r>
      <w:r>
        <w:rPr>
          <w:rFonts w:ascii="Times New Roman" w:hAnsi="Times New Roman"/>
          <w:sz w:val="24"/>
          <w:szCs w:val="24"/>
        </w:rPr>
        <w:t xml:space="preserve"> withholding</w:t>
      </w:r>
      <w:r w:rsidR="00C22C69">
        <w:rPr>
          <w:rFonts w:ascii="Times New Roman" w:hAnsi="Times New Roman"/>
          <w:sz w:val="24"/>
          <w:szCs w:val="24"/>
        </w:rPr>
        <w:t xml:space="preserve"> tax</w:t>
      </w:r>
      <w:r w:rsidR="005965C4">
        <w:rPr>
          <w:rFonts w:ascii="Times New Roman" w:hAnsi="Times New Roman"/>
          <w:sz w:val="24"/>
          <w:szCs w:val="24"/>
        </w:rPr>
        <w:t xml:space="preserve">.  </w:t>
      </w:r>
      <w:r w:rsidR="00C22C69">
        <w:rPr>
          <w:rFonts w:ascii="Times New Roman" w:hAnsi="Times New Roman"/>
          <w:sz w:val="24"/>
          <w:szCs w:val="24"/>
        </w:rPr>
        <w:t>This feedback informed the key design features preferred by officials as set out in the reg</w:t>
      </w:r>
      <w:r w:rsidR="00C735FB">
        <w:rPr>
          <w:rFonts w:ascii="Times New Roman" w:hAnsi="Times New Roman"/>
          <w:sz w:val="24"/>
          <w:szCs w:val="24"/>
        </w:rPr>
        <w:t>ulatory impact analysis section of this statement.</w:t>
      </w:r>
    </w:p>
    <w:p w:rsidR="00D943DD" w:rsidRPr="000047F2" w:rsidRDefault="00D943DD" w:rsidP="00286880">
      <w:pPr>
        <w:pStyle w:val="Bullet-list"/>
        <w:spacing w:after="0" w:line="240" w:lineRule="auto"/>
        <w:ind w:left="0" w:hanging="720"/>
        <w:jc w:val="both"/>
        <w:rPr>
          <w:rFonts w:ascii="Times New Roman" w:hAnsi="Times New Roman"/>
          <w:b/>
          <w:sz w:val="24"/>
          <w:szCs w:val="24"/>
        </w:rPr>
      </w:pPr>
      <w:bookmarkStart w:id="37" w:name="_Toc244580369"/>
      <w:bookmarkStart w:id="38" w:name="_Toc244587045"/>
      <w:bookmarkStart w:id="39" w:name="_Toc244857279"/>
      <w:bookmarkStart w:id="40" w:name="_Toc244912544"/>
      <w:bookmarkStart w:id="41" w:name="_Toc244917001"/>
    </w:p>
    <w:p w:rsidR="000545DC" w:rsidRPr="00C045C5" w:rsidRDefault="00D943DD" w:rsidP="006C19A4">
      <w:pPr>
        <w:pStyle w:val="Bullet-list"/>
        <w:spacing w:after="0" w:line="240" w:lineRule="auto"/>
        <w:ind w:left="0" w:firstLine="0"/>
        <w:jc w:val="both"/>
      </w:pPr>
      <w:r w:rsidRPr="000047F2">
        <w:rPr>
          <w:rFonts w:ascii="Times New Roman" w:hAnsi="Times New Roman"/>
          <w:b/>
          <w:sz w:val="24"/>
          <w:szCs w:val="24"/>
        </w:rPr>
        <w:t>MONITORING, EVALUATION AND REVIEW</w:t>
      </w:r>
      <w:bookmarkEnd w:id="37"/>
      <w:bookmarkEnd w:id="38"/>
      <w:bookmarkEnd w:id="39"/>
      <w:bookmarkEnd w:id="40"/>
      <w:bookmarkEnd w:id="41"/>
    </w:p>
    <w:p w:rsidR="003C02D8" w:rsidRPr="00745324" w:rsidRDefault="003C02D8" w:rsidP="006C19A4">
      <w:pPr>
        <w:pStyle w:val="Bullet-list"/>
        <w:spacing w:after="0" w:line="240" w:lineRule="auto"/>
        <w:ind w:left="0" w:firstLine="0"/>
        <w:jc w:val="both"/>
      </w:pPr>
    </w:p>
    <w:p w:rsidR="0035257F" w:rsidRPr="000047F2" w:rsidRDefault="0035257F"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0047F2">
        <w:rPr>
          <w:rFonts w:ascii="Times New Roman" w:hAnsi="Times New Roman"/>
          <w:sz w:val="24"/>
          <w:szCs w:val="24"/>
        </w:rPr>
        <w:t>Inland Revenue is putting in place new systems for administering the bright-line test including a new form to monitor property sales subject to the bright-line test</w:t>
      </w:r>
      <w:r w:rsidR="005965C4">
        <w:rPr>
          <w:rFonts w:ascii="Times New Roman" w:hAnsi="Times New Roman"/>
          <w:sz w:val="24"/>
          <w:szCs w:val="24"/>
        </w:rPr>
        <w:t xml:space="preserve">.  </w:t>
      </w:r>
      <w:r w:rsidRPr="000047F2">
        <w:rPr>
          <w:rFonts w:ascii="Times New Roman" w:hAnsi="Times New Roman"/>
          <w:sz w:val="24"/>
          <w:szCs w:val="24"/>
        </w:rPr>
        <w:t>In addition,</w:t>
      </w:r>
      <w:r w:rsidR="00D95E10" w:rsidRPr="000047F2">
        <w:rPr>
          <w:rFonts w:ascii="Times New Roman" w:hAnsi="Times New Roman"/>
          <w:sz w:val="24"/>
          <w:szCs w:val="24"/>
        </w:rPr>
        <w:t xml:space="preserve"> further measures have been</w:t>
      </w:r>
      <w:r w:rsidRPr="000047F2">
        <w:rPr>
          <w:rFonts w:ascii="Times New Roman" w:hAnsi="Times New Roman"/>
          <w:sz w:val="24"/>
          <w:szCs w:val="24"/>
        </w:rPr>
        <w:t xml:space="preserve"> introduced to provide more useful information to Inland Revenue about land sales</w:t>
      </w:r>
      <w:r w:rsidR="005965C4">
        <w:rPr>
          <w:rFonts w:ascii="Times New Roman" w:hAnsi="Times New Roman"/>
          <w:sz w:val="24"/>
          <w:szCs w:val="24"/>
        </w:rPr>
        <w:t xml:space="preserve">.  </w:t>
      </w:r>
      <w:r w:rsidRPr="000047F2">
        <w:rPr>
          <w:rFonts w:ascii="Times New Roman" w:hAnsi="Times New Roman"/>
          <w:sz w:val="24"/>
          <w:szCs w:val="24"/>
        </w:rPr>
        <w:t>These measures will enable Inland Revenue to h</w:t>
      </w:r>
      <w:r w:rsidR="00C22C69" w:rsidRPr="000047F2">
        <w:rPr>
          <w:rFonts w:ascii="Times New Roman" w:hAnsi="Times New Roman"/>
          <w:sz w:val="24"/>
          <w:szCs w:val="24"/>
        </w:rPr>
        <w:t>ave better information about cases where withholding tax should be withheld</w:t>
      </w:r>
      <w:r w:rsidR="00403183" w:rsidRPr="000047F2">
        <w:rPr>
          <w:rFonts w:ascii="Times New Roman" w:hAnsi="Times New Roman"/>
          <w:sz w:val="24"/>
          <w:szCs w:val="24"/>
        </w:rPr>
        <w:t xml:space="preserve"> and whether or not it has actually been withheld</w:t>
      </w:r>
      <w:r w:rsidR="00C22C69" w:rsidRPr="000047F2">
        <w:rPr>
          <w:rFonts w:ascii="Times New Roman" w:hAnsi="Times New Roman"/>
          <w:sz w:val="24"/>
          <w:szCs w:val="24"/>
        </w:rPr>
        <w:t>.</w:t>
      </w:r>
    </w:p>
    <w:p w:rsidR="0035257F" w:rsidRPr="000047F2" w:rsidRDefault="0035257F" w:rsidP="001C3580">
      <w:pPr>
        <w:pStyle w:val="Bullet-list"/>
        <w:spacing w:after="0" w:line="240" w:lineRule="auto"/>
        <w:ind w:left="0" w:firstLine="0"/>
        <w:jc w:val="both"/>
        <w:rPr>
          <w:rFonts w:ascii="Times New Roman" w:hAnsi="Times New Roman"/>
          <w:sz w:val="24"/>
          <w:szCs w:val="24"/>
        </w:rPr>
      </w:pPr>
    </w:p>
    <w:p w:rsidR="0035257F" w:rsidRPr="000047F2" w:rsidRDefault="0035257F"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0047F2">
        <w:rPr>
          <w:rFonts w:ascii="Times New Roman" w:hAnsi="Times New Roman"/>
          <w:sz w:val="24"/>
          <w:szCs w:val="24"/>
        </w:rPr>
        <w:t>If any detailed concerns are raised in relation to these changes, Inland Revenue will determine whether there are substantive grounds for review under the Generic Tax Policy Process</w:t>
      </w:r>
      <w:r w:rsidR="00C735FB" w:rsidRPr="000047F2">
        <w:rPr>
          <w:rFonts w:ascii="Times New Roman" w:hAnsi="Times New Roman"/>
          <w:sz w:val="24"/>
          <w:szCs w:val="24"/>
        </w:rPr>
        <w:t xml:space="preserve"> (GTTP)</w:t>
      </w:r>
      <w:r w:rsidRPr="000047F2">
        <w:rPr>
          <w:rFonts w:ascii="Times New Roman" w:hAnsi="Times New Roman"/>
          <w:sz w:val="24"/>
          <w:szCs w:val="24"/>
        </w:rPr>
        <w:t>.</w:t>
      </w:r>
    </w:p>
    <w:p w:rsidR="00C735FB" w:rsidRDefault="00C735FB" w:rsidP="001C3580">
      <w:pPr>
        <w:pStyle w:val="Bullet-list"/>
        <w:spacing w:after="0" w:line="240" w:lineRule="auto"/>
        <w:ind w:left="0" w:firstLine="0"/>
        <w:jc w:val="both"/>
        <w:rPr>
          <w:rFonts w:ascii="Times New Roman" w:hAnsi="Times New Roman"/>
          <w:sz w:val="24"/>
          <w:szCs w:val="24"/>
        </w:rPr>
      </w:pPr>
    </w:p>
    <w:p w:rsidR="00C735FB" w:rsidRPr="000047F2" w:rsidRDefault="00C735FB"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0047F2">
        <w:rPr>
          <w:rFonts w:ascii="Times New Roman" w:hAnsi="Times New Roman"/>
          <w:sz w:val="24"/>
          <w:szCs w:val="24"/>
        </w:rPr>
        <w:t>Inland Revenue monitors, evaluates and reviews new legislation under the GTTP</w:t>
      </w:r>
      <w:r w:rsidR="005965C4">
        <w:rPr>
          <w:rFonts w:ascii="Times New Roman" w:hAnsi="Times New Roman"/>
          <w:sz w:val="24"/>
          <w:szCs w:val="24"/>
        </w:rPr>
        <w:t xml:space="preserve">.  </w:t>
      </w:r>
      <w:r w:rsidRPr="000047F2">
        <w:rPr>
          <w:rFonts w:ascii="Times New Roman" w:hAnsi="Times New Roman"/>
          <w:sz w:val="24"/>
          <w:szCs w:val="24"/>
        </w:rPr>
        <w:t>The GTTP is a multi-stage tax policy process that has been used for tax policy in New Zealand since 1995</w:t>
      </w:r>
      <w:r w:rsidR="005965C4">
        <w:rPr>
          <w:rFonts w:ascii="Times New Roman" w:hAnsi="Times New Roman"/>
          <w:sz w:val="24"/>
          <w:szCs w:val="24"/>
        </w:rPr>
        <w:t xml:space="preserve">.  </w:t>
      </w:r>
      <w:r w:rsidRPr="000047F2">
        <w:rPr>
          <w:rFonts w:ascii="Times New Roman" w:hAnsi="Times New Roman"/>
          <w:sz w:val="24"/>
          <w:szCs w:val="24"/>
        </w:rPr>
        <w:t>The implementation and review stage of the GTTP involves reviewing the legislation after implementation and identifying any issues.</w:t>
      </w:r>
    </w:p>
    <w:p w:rsidR="00C735FB" w:rsidRDefault="00C735FB" w:rsidP="001C3580">
      <w:pPr>
        <w:pStyle w:val="Bullet-list"/>
        <w:spacing w:after="0" w:line="240" w:lineRule="auto"/>
        <w:ind w:left="0" w:firstLine="0"/>
        <w:jc w:val="both"/>
        <w:rPr>
          <w:rFonts w:ascii="Times New Roman" w:hAnsi="Times New Roman"/>
          <w:sz w:val="24"/>
          <w:szCs w:val="24"/>
        </w:rPr>
      </w:pPr>
    </w:p>
    <w:p w:rsidR="00C735FB" w:rsidRPr="000047F2" w:rsidRDefault="00C735FB" w:rsidP="001C3580">
      <w:pPr>
        <w:pStyle w:val="Bullet-list"/>
        <w:numPr>
          <w:ilvl w:val="0"/>
          <w:numId w:val="3"/>
        </w:numPr>
        <w:tabs>
          <w:tab w:val="clear" w:pos="720"/>
          <w:tab w:val="num" w:pos="0"/>
        </w:tabs>
        <w:spacing w:after="0" w:line="240" w:lineRule="auto"/>
        <w:ind w:left="0" w:hanging="11"/>
        <w:jc w:val="both"/>
        <w:rPr>
          <w:rFonts w:ascii="Times New Roman" w:hAnsi="Times New Roman"/>
          <w:sz w:val="24"/>
          <w:szCs w:val="24"/>
        </w:rPr>
      </w:pPr>
      <w:r w:rsidRPr="000047F2">
        <w:rPr>
          <w:rFonts w:ascii="Times New Roman" w:hAnsi="Times New Roman"/>
          <w:sz w:val="24"/>
          <w:szCs w:val="24"/>
        </w:rPr>
        <w:t>Inland Revenue officials will continue to make themselves available for discussion with affected parties in the design of a RLWT under option 4</w:t>
      </w:r>
      <w:r w:rsidR="003C02D8">
        <w:rPr>
          <w:rFonts w:ascii="Times New Roman" w:hAnsi="Times New Roman"/>
          <w:sz w:val="24"/>
          <w:szCs w:val="24"/>
        </w:rPr>
        <w:t>(a).</w:t>
      </w:r>
    </w:p>
    <w:p w:rsidR="00594805" w:rsidRPr="00594805" w:rsidRDefault="00594805" w:rsidP="006C19A4">
      <w:pPr>
        <w:spacing w:after="0" w:line="240" w:lineRule="auto"/>
        <w:jc w:val="both"/>
        <w:rPr>
          <w:rFonts w:ascii="Times New Roman" w:hAnsi="Times New Roman"/>
          <w:sz w:val="24"/>
          <w:szCs w:val="24"/>
          <w:lang w:val="en-NZ" w:eastAsia="en-AU"/>
        </w:rPr>
      </w:pPr>
    </w:p>
    <w:sectPr w:rsidR="00594805" w:rsidRPr="00594805" w:rsidSect="00403183">
      <w:pgSz w:w="11907" w:h="16840"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84" w:rsidRDefault="00FC1284" w:rsidP="00F72085">
      <w:r>
        <w:separator/>
      </w:r>
    </w:p>
  </w:endnote>
  <w:endnote w:type="continuationSeparator" w:id="0">
    <w:p w:rsidR="00FC1284" w:rsidRDefault="00FC1284"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84" w:rsidRDefault="00FC1284"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C1284" w:rsidRPr="00281580" w:rsidRDefault="00FC1284"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84" w:rsidRPr="00594805" w:rsidRDefault="00FC1284"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985A17">
      <w:rPr>
        <w:rStyle w:val="PageNumber"/>
        <w:rFonts w:ascii="Times New Roman" w:hAnsi="Times New Roman"/>
        <w:color w:val="auto"/>
        <w:sz w:val="20"/>
        <w:szCs w:val="20"/>
      </w:rPr>
      <w:t>27</w:t>
    </w:r>
    <w:r w:rsidRPr="00594805">
      <w:rPr>
        <w:rStyle w:val="PageNumber"/>
        <w:rFonts w:ascii="Times New Roman" w:hAnsi="Times New Roman"/>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84" w:rsidRDefault="00FC1284" w:rsidP="00F72085">
      <w:r>
        <w:separator/>
      </w:r>
    </w:p>
  </w:footnote>
  <w:footnote w:type="continuationSeparator" w:id="0">
    <w:p w:rsidR="00FC1284" w:rsidRDefault="00FC1284" w:rsidP="00F72085">
      <w:r>
        <w:continuationSeparator/>
      </w:r>
    </w:p>
  </w:footnote>
  <w:footnote w:id="1">
    <w:p w:rsidR="00FC1284" w:rsidRPr="00A07E05" w:rsidRDefault="00FC1284" w:rsidP="00A07E05">
      <w:pPr>
        <w:pStyle w:val="FootnoteText"/>
        <w:rPr>
          <w:rFonts w:ascii="Times New Roman" w:hAnsi="Times New Roman"/>
        </w:rPr>
      </w:pPr>
      <w:r w:rsidRPr="006C19A4">
        <w:rPr>
          <w:rStyle w:val="FootnoteReference"/>
          <w:rFonts w:ascii="Times New Roman" w:hAnsi="Times New Roman"/>
        </w:rPr>
        <w:footnoteRef/>
      </w:r>
      <w:r w:rsidRPr="006C19A4">
        <w:rPr>
          <w:rFonts w:ascii="Times New Roman" w:hAnsi="Times New Roman"/>
        </w:rPr>
        <w:t xml:space="preserve"> </w:t>
      </w:r>
      <w:r>
        <w:rPr>
          <w:rFonts w:ascii="Times New Roman" w:hAnsi="Times New Roman"/>
        </w:rPr>
        <w:tab/>
      </w:r>
      <w:r w:rsidRPr="00A07E05">
        <w:rPr>
          <w:rFonts w:ascii="Times New Roman" w:hAnsi="Times New Roman"/>
        </w:rPr>
        <w:t>The Commissioner may impose a number of monetary penalties, including, for example, late filing, shortfall, and late payment penalties</w:t>
      </w:r>
      <w:r>
        <w:rPr>
          <w:rFonts w:ascii="Times New Roman" w:hAnsi="Times New Roman"/>
        </w:rPr>
        <w:t xml:space="preserve">.  </w:t>
      </w:r>
      <w:r w:rsidRPr="00A07E05">
        <w:rPr>
          <w:rFonts w:ascii="Times New Roman" w:hAnsi="Times New Roman"/>
        </w:rPr>
        <w:t>The Tax Administration Act 1994 sets out when and at what rates such penalties may be charged</w:t>
      </w:r>
      <w:r>
        <w:rPr>
          <w:rFonts w:ascii="Times New Roman" w:hAnsi="Times New Roman"/>
        </w:rPr>
        <w:t xml:space="preserve">.  </w:t>
      </w:r>
      <w:r w:rsidRPr="00A07E05">
        <w:rPr>
          <w:rFonts w:ascii="Times New Roman" w:hAnsi="Times New Roman"/>
        </w:rPr>
        <w:t>This ensures that penalties for breaches of tax obligations are imposed impartially and consistently, at a level that is proportionate to the seriousness of the breach.</w:t>
      </w:r>
    </w:p>
    <w:p w:rsidR="00FC1284" w:rsidRPr="00A07E05" w:rsidRDefault="00FC1284" w:rsidP="00A07E05">
      <w:pPr>
        <w:pStyle w:val="FootnoteText"/>
        <w:rPr>
          <w:rFonts w:ascii="Times New Roman" w:hAnsi="Times New Roman"/>
          <w:lang w:val="en-NZ"/>
        </w:rPr>
      </w:pPr>
      <w:r>
        <w:rPr>
          <w:rFonts w:ascii="Times New Roman" w:hAnsi="Times New Roman"/>
        </w:rPr>
        <w:tab/>
      </w:r>
      <w:r w:rsidRPr="00A07E05">
        <w:rPr>
          <w:rFonts w:ascii="Times New Roman" w:hAnsi="Times New Roman"/>
        </w:rPr>
        <w:t>In addition, the Commissioner has powers available to recover amounts of unpaid tax</w:t>
      </w:r>
      <w:r>
        <w:rPr>
          <w:rFonts w:ascii="Times New Roman" w:hAnsi="Times New Roman"/>
        </w:rPr>
        <w:t xml:space="preserve">.  </w:t>
      </w:r>
      <w:r w:rsidRPr="00A07E05">
        <w:rPr>
          <w:rFonts w:ascii="Times New Roman" w:hAnsi="Times New Roman"/>
        </w:rPr>
        <w:t>These powers include requiring deductions from payments made to the defaulter by any other person, and court action.</w:t>
      </w:r>
    </w:p>
  </w:footnote>
  <w:footnote w:id="2">
    <w:p w:rsidR="00FC1284" w:rsidRPr="00476B63" w:rsidRDefault="00FC1284">
      <w:pPr>
        <w:pStyle w:val="FootnoteText"/>
        <w:rPr>
          <w:lang w:val="en-NZ"/>
        </w:rPr>
      </w:pPr>
      <w:r w:rsidRPr="00EB3175">
        <w:rPr>
          <w:rStyle w:val="FootnoteReference"/>
          <w:rFonts w:ascii="Times New Roman" w:hAnsi="Times New Roman"/>
        </w:rPr>
        <w:footnoteRef/>
      </w:r>
      <w:r>
        <w:t xml:space="preserve"> </w:t>
      </w:r>
      <w:r w:rsidRPr="00E222FF">
        <w:rPr>
          <w:rFonts w:ascii="Times New Roman" w:hAnsi="Times New Roman"/>
          <w:lang w:val="en-NZ"/>
        </w:rPr>
        <w:t>As discussed in option 1, there are likely to be limits to the effectiveness of the Commissioner’s abilities to collect these tax debts when the taxpayer has no or very limited presence in New Zealand.</w:t>
      </w:r>
    </w:p>
  </w:footnote>
  <w:footnote w:id="3">
    <w:p w:rsidR="00FC1284" w:rsidRPr="000047F2" w:rsidRDefault="00FC1284" w:rsidP="00E222FF">
      <w:pPr>
        <w:pStyle w:val="FootnoteText"/>
        <w:tabs>
          <w:tab w:val="clear" w:pos="425"/>
          <w:tab w:val="left" w:pos="142"/>
        </w:tabs>
        <w:ind w:left="142" w:hanging="142"/>
        <w:rPr>
          <w:lang w:val="en-NZ"/>
        </w:rPr>
      </w:pPr>
      <w:r w:rsidRPr="00EB3175">
        <w:rPr>
          <w:rStyle w:val="FootnoteReference"/>
          <w:rFonts w:ascii="Times New Roman" w:hAnsi="Times New Roman"/>
        </w:rPr>
        <w:footnoteRef/>
      </w:r>
      <w:r>
        <w:t xml:space="preserve"> </w:t>
      </w:r>
      <w:r>
        <w:rPr>
          <w:rFonts w:ascii="Times New Roman" w:hAnsi="Times New Roman"/>
          <w:szCs w:val="18"/>
        </w:rPr>
        <w:t xml:space="preserve">However, </w:t>
      </w:r>
      <w:r w:rsidRPr="00E222FF">
        <w:rPr>
          <w:rFonts w:ascii="Times New Roman" w:hAnsi="Times New Roman"/>
          <w:szCs w:val="18"/>
        </w:rPr>
        <w:t>many other countries place the withholding obligation on the buyer, but they expect the buyer to use the services of a solicitor to discharge their withholding obligations.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9291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03DCE"/>
    <w:multiLevelType w:val="hybridMultilevel"/>
    <w:tmpl w:val="A8BA806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2983233"/>
    <w:multiLevelType w:val="hybridMultilevel"/>
    <w:tmpl w:val="4552D788"/>
    <w:lvl w:ilvl="0" w:tplc="D996EBEC">
      <w:start w:val="1"/>
      <w:numFmt w:val="bullet"/>
      <w:lvlText w:val="-"/>
      <w:lvlJc w:val="left"/>
      <w:pPr>
        <w:ind w:left="8942" w:hanging="360"/>
      </w:pPr>
      <w:rPr>
        <w:rFonts w:ascii="Times New Roman" w:eastAsia="Times New Roman" w:hAnsi="Times New Roman" w:cs="Times New Roman" w:hint="default"/>
      </w:rPr>
    </w:lvl>
    <w:lvl w:ilvl="1" w:tplc="14090003">
      <w:start w:val="1"/>
      <w:numFmt w:val="bullet"/>
      <w:lvlText w:val="o"/>
      <w:lvlJc w:val="left"/>
      <w:pPr>
        <w:ind w:left="9662" w:hanging="360"/>
      </w:pPr>
      <w:rPr>
        <w:rFonts w:ascii="Courier New" w:hAnsi="Courier New" w:cs="Courier New" w:hint="default"/>
      </w:rPr>
    </w:lvl>
    <w:lvl w:ilvl="2" w:tplc="14090005">
      <w:start w:val="1"/>
      <w:numFmt w:val="bullet"/>
      <w:lvlText w:val=""/>
      <w:lvlJc w:val="left"/>
      <w:pPr>
        <w:ind w:left="10382" w:hanging="360"/>
      </w:pPr>
      <w:rPr>
        <w:rFonts w:ascii="Wingdings" w:hAnsi="Wingdings" w:hint="default"/>
      </w:rPr>
    </w:lvl>
    <w:lvl w:ilvl="3" w:tplc="14090001" w:tentative="1">
      <w:start w:val="1"/>
      <w:numFmt w:val="bullet"/>
      <w:lvlText w:val=""/>
      <w:lvlJc w:val="left"/>
      <w:pPr>
        <w:ind w:left="11102" w:hanging="360"/>
      </w:pPr>
      <w:rPr>
        <w:rFonts w:ascii="Symbol" w:hAnsi="Symbol" w:hint="default"/>
      </w:rPr>
    </w:lvl>
    <w:lvl w:ilvl="4" w:tplc="14090003" w:tentative="1">
      <w:start w:val="1"/>
      <w:numFmt w:val="bullet"/>
      <w:lvlText w:val="o"/>
      <w:lvlJc w:val="left"/>
      <w:pPr>
        <w:ind w:left="11822" w:hanging="360"/>
      </w:pPr>
      <w:rPr>
        <w:rFonts w:ascii="Courier New" w:hAnsi="Courier New" w:cs="Courier New" w:hint="default"/>
      </w:rPr>
    </w:lvl>
    <w:lvl w:ilvl="5" w:tplc="14090005" w:tentative="1">
      <w:start w:val="1"/>
      <w:numFmt w:val="bullet"/>
      <w:lvlText w:val=""/>
      <w:lvlJc w:val="left"/>
      <w:pPr>
        <w:ind w:left="12542" w:hanging="360"/>
      </w:pPr>
      <w:rPr>
        <w:rFonts w:ascii="Wingdings" w:hAnsi="Wingdings" w:hint="default"/>
      </w:rPr>
    </w:lvl>
    <w:lvl w:ilvl="6" w:tplc="14090001" w:tentative="1">
      <w:start w:val="1"/>
      <w:numFmt w:val="bullet"/>
      <w:lvlText w:val=""/>
      <w:lvlJc w:val="left"/>
      <w:pPr>
        <w:ind w:left="13262" w:hanging="360"/>
      </w:pPr>
      <w:rPr>
        <w:rFonts w:ascii="Symbol" w:hAnsi="Symbol" w:hint="default"/>
      </w:rPr>
    </w:lvl>
    <w:lvl w:ilvl="7" w:tplc="14090003" w:tentative="1">
      <w:start w:val="1"/>
      <w:numFmt w:val="bullet"/>
      <w:lvlText w:val="o"/>
      <w:lvlJc w:val="left"/>
      <w:pPr>
        <w:ind w:left="13982" w:hanging="360"/>
      </w:pPr>
      <w:rPr>
        <w:rFonts w:ascii="Courier New" w:hAnsi="Courier New" w:cs="Courier New" w:hint="default"/>
      </w:rPr>
    </w:lvl>
    <w:lvl w:ilvl="8" w:tplc="14090005" w:tentative="1">
      <w:start w:val="1"/>
      <w:numFmt w:val="bullet"/>
      <w:lvlText w:val=""/>
      <w:lvlJc w:val="left"/>
      <w:pPr>
        <w:ind w:left="14702" w:hanging="360"/>
      </w:pPr>
      <w:rPr>
        <w:rFonts w:ascii="Wingdings" w:hAnsi="Wingdings" w:hint="default"/>
      </w:rPr>
    </w:lvl>
  </w:abstractNum>
  <w:abstractNum w:abstractNumId="3">
    <w:nsid w:val="070037B7"/>
    <w:multiLevelType w:val="hybridMultilevel"/>
    <w:tmpl w:val="CA665B50"/>
    <w:lvl w:ilvl="0" w:tplc="1B24840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670033C"/>
    <w:multiLevelType w:val="hybridMultilevel"/>
    <w:tmpl w:val="61AA1394"/>
    <w:lvl w:ilvl="0" w:tplc="96DCDC9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7">
    <w:nsid w:val="263B5D79"/>
    <w:multiLevelType w:val="hybridMultilevel"/>
    <w:tmpl w:val="4B183C74"/>
    <w:lvl w:ilvl="0" w:tplc="96DCDC9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D8165AE"/>
    <w:multiLevelType w:val="hybridMultilevel"/>
    <w:tmpl w:val="1E50510C"/>
    <w:lvl w:ilvl="0" w:tplc="14090019">
      <w:start w:val="1"/>
      <w:numFmt w:val="lowerLetter"/>
      <w:lvlText w:val="%1."/>
      <w:lvlJc w:val="left"/>
      <w:pPr>
        <w:tabs>
          <w:tab w:val="num" w:pos="720"/>
        </w:tabs>
        <w:ind w:left="720" w:hanging="360"/>
      </w:pPr>
      <w:rPr>
        <w:rFonts w:hint="default"/>
        <w:b w:val="0"/>
        <w:sz w:val="24"/>
        <w:szCs w:val="24"/>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E506E2C"/>
    <w:multiLevelType w:val="hybridMultilevel"/>
    <w:tmpl w:val="D46A814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1">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8DE5A8D"/>
    <w:multiLevelType w:val="hybridMultilevel"/>
    <w:tmpl w:val="5AE68BE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86E5D40"/>
    <w:multiLevelType w:val="multilevel"/>
    <w:tmpl w:val="A380FA9A"/>
    <w:lvl w:ilvl="0">
      <w:start w:val="1"/>
      <w:numFmt w:val="decimal"/>
      <w:lvlText w:val="%1."/>
      <w:lvlJc w:val="left"/>
      <w:pPr>
        <w:ind w:left="720" w:hanging="360"/>
      </w:pPr>
    </w:lvl>
    <w:lvl w:ilvl="1">
      <w:start w:val="10"/>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F9C4DBF"/>
    <w:multiLevelType w:val="hybridMultilevel"/>
    <w:tmpl w:val="8F5E7816"/>
    <w:lvl w:ilvl="0" w:tplc="1409000F">
      <w:start w:val="1"/>
      <w:numFmt w:val="decimal"/>
      <w:lvlText w:val="%1."/>
      <w:lvlJc w:val="left"/>
      <w:pPr>
        <w:ind w:left="1353" w:hanging="360"/>
      </w:pPr>
    </w:lvl>
    <w:lvl w:ilvl="1" w:tplc="14090019">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16">
    <w:nsid w:val="539B2862"/>
    <w:multiLevelType w:val="hybridMultilevel"/>
    <w:tmpl w:val="52620D8E"/>
    <w:lvl w:ilvl="0" w:tplc="17B60A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3FB08E9"/>
    <w:multiLevelType w:val="hybridMultilevel"/>
    <w:tmpl w:val="1BA03100"/>
    <w:lvl w:ilvl="0" w:tplc="D996EBEC">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4E11300"/>
    <w:multiLevelType w:val="hybridMultilevel"/>
    <w:tmpl w:val="4B183C74"/>
    <w:lvl w:ilvl="0" w:tplc="96DCDC9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67050A2"/>
    <w:multiLevelType w:val="hybridMultilevel"/>
    <w:tmpl w:val="4ECEA64A"/>
    <w:lvl w:ilvl="0" w:tplc="F5F07C98">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20">
    <w:nsid w:val="576E5CAC"/>
    <w:multiLevelType w:val="hybridMultilevel"/>
    <w:tmpl w:val="16ECC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7971048"/>
    <w:multiLevelType w:val="hybridMultilevel"/>
    <w:tmpl w:val="7D56AA14"/>
    <w:lvl w:ilvl="0" w:tplc="14090001">
      <w:start w:val="1"/>
      <w:numFmt w:val="bullet"/>
      <w:lvlText w:val=""/>
      <w:lvlJc w:val="left"/>
      <w:pPr>
        <w:tabs>
          <w:tab w:val="num" w:pos="720"/>
        </w:tabs>
        <w:ind w:left="720" w:hanging="360"/>
      </w:pPr>
      <w:rPr>
        <w:rFonts w:ascii="Symbol" w:hAnsi="Symbol" w:hint="default"/>
        <w:b w:val="0"/>
        <w:sz w:val="24"/>
        <w:szCs w:val="24"/>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C475E9C"/>
    <w:multiLevelType w:val="hybridMultilevel"/>
    <w:tmpl w:val="24F09902"/>
    <w:lvl w:ilvl="0" w:tplc="09CE8B9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21B6F9E"/>
    <w:multiLevelType w:val="hybridMultilevel"/>
    <w:tmpl w:val="CE94B156"/>
    <w:lvl w:ilvl="0" w:tplc="CD3277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25">
    <w:nsid w:val="6A4C325A"/>
    <w:multiLevelType w:val="hybridMultilevel"/>
    <w:tmpl w:val="8BC0DD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D801C16"/>
    <w:multiLevelType w:val="hybridMultilevel"/>
    <w:tmpl w:val="54246D2E"/>
    <w:lvl w:ilvl="0" w:tplc="14090001">
      <w:start w:val="1"/>
      <w:numFmt w:val="bullet"/>
      <w:lvlText w:val=""/>
      <w:lvlJc w:val="left"/>
      <w:pPr>
        <w:tabs>
          <w:tab w:val="num" w:pos="720"/>
        </w:tabs>
        <w:ind w:left="720" w:hanging="360"/>
      </w:pPr>
      <w:rPr>
        <w:rFonts w:ascii="Symbol" w:hAnsi="Symbol" w:hint="default"/>
        <w:b w:val="0"/>
        <w:sz w:val="24"/>
        <w:szCs w:val="24"/>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71301715"/>
    <w:multiLevelType w:val="hybridMultilevel"/>
    <w:tmpl w:val="12964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2FC702C"/>
    <w:multiLevelType w:val="hybridMultilevel"/>
    <w:tmpl w:val="EBA24C8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9">
    <w:nsid w:val="77AF5083"/>
    <w:multiLevelType w:val="hybridMultilevel"/>
    <w:tmpl w:val="902E99BE"/>
    <w:lvl w:ilvl="0" w:tplc="D996EBEC">
      <w:start w:val="1"/>
      <w:numFmt w:val="bullet"/>
      <w:lvlText w:val="-"/>
      <w:lvlJc w:val="left"/>
      <w:pPr>
        <w:ind w:left="1289" w:hanging="360"/>
      </w:pPr>
      <w:rPr>
        <w:rFonts w:ascii="Times New Roman" w:eastAsia="Times New Roman" w:hAnsi="Times New Roman" w:cs="Times New Roman" w:hint="default"/>
      </w:rPr>
    </w:lvl>
    <w:lvl w:ilvl="1" w:tplc="14090003" w:tentative="1">
      <w:start w:val="1"/>
      <w:numFmt w:val="bullet"/>
      <w:lvlText w:val="o"/>
      <w:lvlJc w:val="left"/>
      <w:pPr>
        <w:ind w:left="2009" w:hanging="360"/>
      </w:pPr>
      <w:rPr>
        <w:rFonts w:ascii="Courier New" w:hAnsi="Courier New" w:cs="Courier New" w:hint="default"/>
      </w:rPr>
    </w:lvl>
    <w:lvl w:ilvl="2" w:tplc="14090005" w:tentative="1">
      <w:start w:val="1"/>
      <w:numFmt w:val="bullet"/>
      <w:lvlText w:val=""/>
      <w:lvlJc w:val="left"/>
      <w:pPr>
        <w:ind w:left="2729" w:hanging="360"/>
      </w:pPr>
      <w:rPr>
        <w:rFonts w:ascii="Wingdings" w:hAnsi="Wingdings" w:hint="default"/>
      </w:rPr>
    </w:lvl>
    <w:lvl w:ilvl="3" w:tplc="14090001" w:tentative="1">
      <w:start w:val="1"/>
      <w:numFmt w:val="bullet"/>
      <w:lvlText w:val=""/>
      <w:lvlJc w:val="left"/>
      <w:pPr>
        <w:ind w:left="3449" w:hanging="360"/>
      </w:pPr>
      <w:rPr>
        <w:rFonts w:ascii="Symbol" w:hAnsi="Symbol" w:hint="default"/>
      </w:rPr>
    </w:lvl>
    <w:lvl w:ilvl="4" w:tplc="14090003" w:tentative="1">
      <w:start w:val="1"/>
      <w:numFmt w:val="bullet"/>
      <w:lvlText w:val="o"/>
      <w:lvlJc w:val="left"/>
      <w:pPr>
        <w:ind w:left="4169" w:hanging="360"/>
      </w:pPr>
      <w:rPr>
        <w:rFonts w:ascii="Courier New" w:hAnsi="Courier New" w:cs="Courier New" w:hint="default"/>
      </w:rPr>
    </w:lvl>
    <w:lvl w:ilvl="5" w:tplc="14090005" w:tentative="1">
      <w:start w:val="1"/>
      <w:numFmt w:val="bullet"/>
      <w:lvlText w:val=""/>
      <w:lvlJc w:val="left"/>
      <w:pPr>
        <w:ind w:left="4889" w:hanging="360"/>
      </w:pPr>
      <w:rPr>
        <w:rFonts w:ascii="Wingdings" w:hAnsi="Wingdings" w:hint="default"/>
      </w:rPr>
    </w:lvl>
    <w:lvl w:ilvl="6" w:tplc="14090001" w:tentative="1">
      <w:start w:val="1"/>
      <w:numFmt w:val="bullet"/>
      <w:lvlText w:val=""/>
      <w:lvlJc w:val="left"/>
      <w:pPr>
        <w:ind w:left="5609" w:hanging="360"/>
      </w:pPr>
      <w:rPr>
        <w:rFonts w:ascii="Symbol" w:hAnsi="Symbol" w:hint="default"/>
      </w:rPr>
    </w:lvl>
    <w:lvl w:ilvl="7" w:tplc="14090003" w:tentative="1">
      <w:start w:val="1"/>
      <w:numFmt w:val="bullet"/>
      <w:lvlText w:val="o"/>
      <w:lvlJc w:val="left"/>
      <w:pPr>
        <w:ind w:left="6329" w:hanging="360"/>
      </w:pPr>
      <w:rPr>
        <w:rFonts w:ascii="Courier New" w:hAnsi="Courier New" w:cs="Courier New" w:hint="default"/>
      </w:rPr>
    </w:lvl>
    <w:lvl w:ilvl="8" w:tplc="14090005" w:tentative="1">
      <w:start w:val="1"/>
      <w:numFmt w:val="bullet"/>
      <w:lvlText w:val=""/>
      <w:lvlJc w:val="left"/>
      <w:pPr>
        <w:ind w:left="7049" w:hanging="360"/>
      </w:pPr>
      <w:rPr>
        <w:rFonts w:ascii="Wingdings" w:hAnsi="Wingdings" w:hint="default"/>
      </w:rPr>
    </w:lvl>
  </w:abstractNum>
  <w:abstractNum w:abstractNumId="30">
    <w:nsid w:val="7BD037D4"/>
    <w:multiLevelType w:val="hybridMultilevel"/>
    <w:tmpl w:val="F4DEAD12"/>
    <w:lvl w:ilvl="0" w:tplc="14090001">
      <w:start w:val="1"/>
      <w:numFmt w:val="bullet"/>
      <w:lvlText w:val=""/>
      <w:lvlJc w:val="left"/>
      <w:pPr>
        <w:tabs>
          <w:tab w:val="num" w:pos="720"/>
        </w:tabs>
        <w:ind w:left="720" w:hanging="360"/>
      </w:pPr>
      <w:rPr>
        <w:rFonts w:ascii="Symbol" w:hAnsi="Symbol" w:hint="default"/>
        <w:b w:val="0"/>
        <w:sz w:val="24"/>
        <w:szCs w:val="24"/>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FE67E21"/>
    <w:multiLevelType w:val="hybridMultilevel"/>
    <w:tmpl w:val="4B183C74"/>
    <w:lvl w:ilvl="0" w:tplc="96DCDC9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5"/>
  </w:num>
  <w:num w:numId="4">
    <w:abstractNumId w:val="4"/>
  </w:num>
  <w:num w:numId="5">
    <w:abstractNumId w:val="25"/>
  </w:num>
  <w:num w:numId="6">
    <w:abstractNumId w:val="14"/>
  </w:num>
  <w:num w:numId="7">
    <w:abstractNumId w:val="6"/>
  </w:num>
  <w:num w:numId="8">
    <w:abstractNumId w:val="13"/>
  </w:num>
  <w:num w:numId="9">
    <w:abstractNumId w:val="24"/>
  </w:num>
  <w:num w:numId="10">
    <w:abstractNumId w:val="11"/>
  </w:num>
  <w:num w:numId="11">
    <w:abstractNumId w:val="19"/>
  </w:num>
  <w:num w:numId="12">
    <w:abstractNumId w:val="23"/>
  </w:num>
  <w:num w:numId="13">
    <w:abstractNumId w:val="16"/>
  </w:num>
  <w:num w:numId="14">
    <w:abstractNumId w:val="22"/>
  </w:num>
  <w:num w:numId="15">
    <w:abstractNumId w:val="3"/>
  </w:num>
  <w:num w:numId="16">
    <w:abstractNumId w:val="15"/>
  </w:num>
  <w:num w:numId="17">
    <w:abstractNumId w:val="2"/>
  </w:num>
  <w:num w:numId="18">
    <w:abstractNumId w:val="17"/>
  </w:num>
  <w:num w:numId="19">
    <w:abstractNumId w:val="29"/>
  </w:num>
  <w:num w:numId="20">
    <w:abstractNumId w:val="30"/>
  </w:num>
  <w:num w:numId="21">
    <w:abstractNumId w:val="18"/>
  </w:num>
  <w:num w:numId="22">
    <w:abstractNumId w:val="0"/>
  </w:num>
  <w:num w:numId="23">
    <w:abstractNumId w:val="1"/>
  </w:num>
  <w:num w:numId="24">
    <w:abstractNumId w:val="9"/>
  </w:num>
  <w:num w:numId="25">
    <w:abstractNumId w:val="27"/>
  </w:num>
  <w:num w:numId="26">
    <w:abstractNumId w:val="8"/>
  </w:num>
  <w:num w:numId="27">
    <w:abstractNumId w:val="26"/>
  </w:num>
  <w:num w:numId="28">
    <w:abstractNumId w:val="20"/>
  </w:num>
  <w:num w:numId="29">
    <w:abstractNumId w:val="2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Siegel">
    <w15:presenceInfo w15:providerId="Windows Live" w15:userId="be094468f44f89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81"/>
    <w:rsid w:val="00000B95"/>
    <w:rsid w:val="00001539"/>
    <w:rsid w:val="00002433"/>
    <w:rsid w:val="000037F4"/>
    <w:rsid w:val="000047F2"/>
    <w:rsid w:val="00004A8A"/>
    <w:rsid w:val="00005DC9"/>
    <w:rsid w:val="00007519"/>
    <w:rsid w:val="00010986"/>
    <w:rsid w:val="00010F7D"/>
    <w:rsid w:val="00012338"/>
    <w:rsid w:val="00013A18"/>
    <w:rsid w:val="00014196"/>
    <w:rsid w:val="000147DC"/>
    <w:rsid w:val="0001501F"/>
    <w:rsid w:val="00015072"/>
    <w:rsid w:val="00016722"/>
    <w:rsid w:val="0002068B"/>
    <w:rsid w:val="000232EB"/>
    <w:rsid w:val="00023BAB"/>
    <w:rsid w:val="00023EA6"/>
    <w:rsid w:val="00024B22"/>
    <w:rsid w:val="0002568E"/>
    <w:rsid w:val="00025954"/>
    <w:rsid w:val="00025C74"/>
    <w:rsid w:val="000279AD"/>
    <w:rsid w:val="00030555"/>
    <w:rsid w:val="00030890"/>
    <w:rsid w:val="00030DEA"/>
    <w:rsid w:val="00033950"/>
    <w:rsid w:val="000343E7"/>
    <w:rsid w:val="00035185"/>
    <w:rsid w:val="00036A3D"/>
    <w:rsid w:val="00036EE4"/>
    <w:rsid w:val="00041469"/>
    <w:rsid w:val="00041CD1"/>
    <w:rsid w:val="0004221C"/>
    <w:rsid w:val="000431FE"/>
    <w:rsid w:val="00043526"/>
    <w:rsid w:val="000435AD"/>
    <w:rsid w:val="00045AFC"/>
    <w:rsid w:val="00046F46"/>
    <w:rsid w:val="00047559"/>
    <w:rsid w:val="00050815"/>
    <w:rsid w:val="000523FC"/>
    <w:rsid w:val="000526E4"/>
    <w:rsid w:val="0005434D"/>
    <w:rsid w:val="000545DC"/>
    <w:rsid w:val="0005503E"/>
    <w:rsid w:val="00055373"/>
    <w:rsid w:val="00055D70"/>
    <w:rsid w:val="00056263"/>
    <w:rsid w:val="0005661F"/>
    <w:rsid w:val="00056CD8"/>
    <w:rsid w:val="00056E3D"/>
    <w:rsid w:val="00056F77"/>
    <w:rsid w:val="0005761E"/>
    <w:rsid w:val="00057AC4"/>
    <w:rsid w:val="000606D4"/>
    <w:rsid w:val="00060712"/>
    <w:rsid w:val="00060AAB"/>
    <w:rsid w:val="00060CD3"/>
    <w:rsid w:val="00062476"/>
    <w:rsid w:val="00065152"/>
    <w:rsid w:val="000655B2"/>
    <w:rsid w:val="00070193"/>
    <w:rsid w:val="00073A19"/>
    <w:rsid w:val="00073F31"/>
    <w:rsid w:val="000745D3"/>
    <w:rsid w:val="00074B13"/>
    <w:rsid w:val="00074D02"/>
    <w:rsid w:val="0007562B"/>
    <w:rsid w:val="00080CE0"/>
    <w:rsid w:val="00080DE3"/>
    <w:rsid w:val="00082653"/>
    <w:rsid w:val="00082ABC"/>
    <w:rsid w:val="00083ADB"/>
    <w:rsid w:val="00083BAB"/>
    <w:rsid w:val="00085660"/>
    <w:rsid w:val="00085B7B"/>
    <w:rsid w:val="00086007"/>
    <w:rsid w:val="000863E2"/>
    <w:rsid w:val="00086898"/>
    <w:rsid w:val="0008712F"/>
    <w:rsid w:val="00087C41"/>
    <w:rsid w:val="000912A0"/>
    <w:rsid w:val="00095446"/>
    <w:rsid w:val="00096BFA"/>
    <w:rsid w:val="000A073E"/>
    <w:rsid w:val="000A1BB1"/>
    <w:rsid w:val="000A20D1"/>
    <w:rsid w:val="000A39F4"/>
    <w:rsid w:val="000A43F8"/>
    <w:rsid w:val="000A4419"/>
    <w:rsid w:val="000B005C"/>
    <w:rsid w:val="000B01CC"/>
    <w:rsid w:val="000B0480"/>
    <w:rsid w:val="000B0615"/>
    <w:rsid w:val="000B0C12"/>
    <w:rsid w:val="000B0D42"/>
    <w:rsid w:val="000B16BF"/>
    <w:rsid w:val="000B2052"/>
    <w:rsid w:val="000B5B1E"/>
    <w:rsid w:val="000B6B09"/>
    <w:rsid w:val="000C0912"/>
    <w:rsid w:val="000C1F63"/>
    <w:rsid w:val="000C2669"/>
    <w:rsid w:val="000C26E9"/>
    <w:rsid w:val="000C3C89"/>
    <w:rsid w:val="000C3EB5"/>
    <w:rsid w:val="000C43B6"/>
    <w:rsid w:val="000C684B"/>
    <w:rsid w:val="000C6EED"/>
    <w:rsid w:val="000C79FD"/>
    <w:rsid w:val="000D012A"/>
    <w:rsid w:val="000D0FA0"/>
    <w:rsid w:val="000D2A6B"/>
    <w:rsid w:val="000D31FE"/>
    <w:rsid w:val="000D48F4"/>
    <w:rsid w:val="000D5E01"/>
    <w:rsid w:val="000D6393"/>
    <w:rsid w:val="000D670A"/>
    <w:rsid w:val="000D77C0"/>
    <w:rsid w:val="000D7C12"/>
    <w:rsid w:val="000E0036"/>
    <w:rsid w:val="000E16BE"/>
    <w:rsid w:val="000E310A"/>
    <w:rsid w:val="000E3979"/>
    <w:rsid w:val="000E3CE1"/>
    <w:rsid w:val="000E73FF"/>
    <w:rsid w:val="000E7C1C"/>
    <w:rsid w:val="000F03B0"/>
    <w:rsid w:val="000F162C"/>
    <w:rsid w:val="000F3333"/>
    <w:rsid w:val="000F5290"/>
    <w:rsid w:val="000F6F99"/>
    <w:rsid w:val="000F7020"/>
    <w:rsid w:val="00101A24"/>
    <w:rsid w:val="00113146"/>
    <w:rsid w:val="00114F56"/>
    <w:rsid w:val="001158BA"/>
    <w:rsid w:val="00115CE3"/>
    <w:rsid w:val="00116006"/>
    <w:rsid w:val="00116B51"/>
    <w:rsid w:val="0012410B"/>
    <w:rsid w:val="00125812"/>
    <w:rsid w:val="001258B0"/>
    <w:rsid w:val="00125ADD"/>
    <w:rsid w:val="00126CD1"/>
    <w:rsid w:val="00127757"/>
    <w:rsid w:val="00130E8F"/>
    <w:rsid w:val="00131302"/>
    <w:rsid w:val="001336E3"/>
    <w:rsid w:val="001339BB"/>
    <w:rsid w:val="00136EED"/>
    <w:rsid w:val="001372A4"/>
    <w:rsid w:val="00141B20"/>
    <w:rsid w:val="00141D39"/>
    <w:rsid w:val="00142051"/>
    <w:rsid w:val="00142ACF"/>
    <w:rsid w:val="00143437"/>
    <w:rsid w:val="00143465"/>
    <w:rsid w:val="00144369"/>
    <w:rsid w:val="00144AAF"/>
    <w:rsid w:val="00144ADC"/>
    <w:rsid w:val="00144BBB"/>
    <w:rsid w:val="001467A9"/>
    <w:rsid w:val="001468DD"/>
    <w:rsid w:val="00146FC1"/>
    <w:rsid w:val="00147A49"/>
    <w:rsid w:val="001501E3"/>
    <w:rsid w:val="00150932"/>
    <w:rsid w:val="00151368"/>
    <w:rsid w:val="00151716"/>
    <w:rsid w:val="00152D49"/>
    <w:rsid w:val="00154B13"/>
    <w:rsid w:val="00155210"/>
    <w:rsid w:val="00157E18"/>
    <w:rsid w:val="00160987"/>
    <w:rsid w:val="00161022"/>
    <w:rsid w:val="00161358"/>
    <w:rsid w:val="001620EB"/>
    <w:rsid w:val="001624FE"/>
    <w:rsid w:val="00164A65"/>
    <w:rsid w:val="0016538E"/>
    <w:rsid w:val="0016652E"/>
    <w:rsid w:val="00166A7A"/>
    <w:rsid w:val="00166C49"/>
    <w:rsid w:val="00166E66"/>
    <w:rsid w:val="001674EB"/>
    <w:rsid w:val="00167EE1"/>
    <w:rsid w:val="001705C4"/>
    <w:rsid w:val="00171281"/>
    <w:rsid w:val="001712D6"/>
    <w:rsid w:val="001726B0"/>
    <w:rsid w:val="00172738"/>
    <w:rsid w:val="00173EEB"/>
    <w:rsid w:val="00175644"/>
    <w:rsid w:val="001767C7"/>
    <w:rsid w:val="001800AF"/>
    <w:rsid w:val="00180A3B"/>
    <w:rsid w:val="00180BD5"/>
    <w:rsid w:val="00180C9C"/>
    <w:rsid w:val="00180D17"/>
    <w:rsid w:val="00182888"/>
    <w:rsid w:val="00183D99"/>
    <w:rsid w:val="00183EB1"/>
    <w:rsid w:val="00184219"/>
    <w:rsid w:val="00185884"/>
    <w:rsid w:val="001901C1"/>
    <w:rsid w:val="00190331"/>
    <w:rsid w:val="0019141D"/>
    <w:rsid w:val="00191B67"/>
    <w:rsid w:val="00191EEC"/>
    <w:rsid w:val="00194873"/>
    <w:rsid w:val="00194B8A"/>
    <w:rsid w:val="00194CF9"/>
    <w:rsid w:val="001966BE"/>
    <w:rsid w:val="00197273"/>
    <w:rsid w:val="001979D3"/>
    <w:rsid w:val="001A13C8"/>
    <w:rsid w:val="001A1C61"/>
    <w:rsid w:val="001A1DFB"/>
    <w:rsid w:val="001A5694"/>
    <w:rsid w:val="001A57AD"/>
    <w:rsid w:val="001A5BEE"/>
    <w:rsid w:val="001A79D9"/>
    <w:rsid w:val="001B0726"/>
    <w:rsid w:val="001B0A7A"/>
    <w:rsid w:val="001B0DF0"/>
    <w:rsid w:val="001B114A"/>
    <w:rsid w:val="001B1953"/>
    <w:rsid w:val="001B1A87"/>
    <w:rsid w:val="001B1BDF"/>
    <w:rsid w:val="001B24D5"/>
    <w:rsid w:val="001B2869"/>
    <w:rsid w:val="001B3F6D"/>
    <w:rsid w:val="001B3F81"/>
    <w:rsid w:val="001B4E6C"/>
    <w:rsid w:val="001B54FC"/>
    <w:rsid w:val="001B7122"/>
    <w:rsid w:val="001C0CF6"/>
    <w:rsid w:val="001C13A9"/>
    <w:rsid w:val="001C15BF"/>
    <w:rsid w:val="001C2214"/>
    <w:rsid w:val="001C2524"/>
    <w:rsid w:val="001C2C79"/>
    <w:rsid w:val="001C30F1"/>
    <w:rsid w:val="001C3580"/>
    <w:rsid w:val="001C41C2"/>
    <w:rsid w:val="001C53D8"/>
    <w:rsid w:val="001C6912"/>
    <w:rsid w:val="001D009B"/>
    <w:rsid w:val="001D0A46"/>
    <w:rsid w:val="001D22ED"/>
    <w:rsid w:val="001D3440"/>
    <w:rsid w:val="001D37FB"/>
    <w:rsid w:val="001D3C5A"/>
    <w:rsid w:val="001D4D62"/>
    <w:rsid w:val="001D53A8"/>
    <w:rsid w:val="001D5FBC"/>
    <w:rsid w:val="001D6F98"/>
    <w:rsid w:val="001D7325"/>
    <w:rsid w:val="001E12C8"/>
    <w:rsid w:val="001E1A8F"/>
    <w:rsid w:val="001E6AFE"/>
    <w:rsid w:val="001F02F3"/>
    <w:rsid w:val="001F0773"/>
    <w:rsid w:val="001F0DD3"/>
    <w:rsid w:val="001F1711"/>
    <w:rsid w:val="001F1A2D"/>
    <w:rsid w:val="001F21CB"/>
    <w:rsid w:val="001F6750"/>
    <w:rsid w:val="00200311"/>
    <w:rsid w:val="002008D1"/>
    <w:rsid w:val="0020264B"/>
    <w:rsid w:val="00202E20"/>
    <w:rsid w:val="002036AA"/>
    <w:rsid w:val="00203789"/>
    <w:rsid w:val="002039AB"/>
    <w:rsid w:val="00203D27"/>
    <w:rsid w:val="002047E0"/>
    <w:rsid w:val="00204A66"/>
    <w:rsid w:val="00205334"/>
    <w:rsid w:val="00211CB5"/>
    <w:rsid w:val="00213B41"/>
    <w:rsid w:val="002165CB"/>
    <w:rsid w:val="00216D4D"/>
    <w:rsid w:val="00216DB5"/>
    <w:rsid w:val="00216F08"/>
    <w:rsid w:val="00217A19"/>
    <w:rsid w:val="002216A0"/>
    <w:rsid w:val="00222159"/>
    <w:rsid w:val="00222CA5"/>
    <w:rsid w:val="00223298"/>
    <w:rsid w:val="00224A1F"/>
    <w:rsid w:val="00224BD6"/>
    <w:rsid w:val="002253E9"/>
    <w:rsid w:val="002258FC"/>
    <w:rsid w:val="00226226"/>
    <w:rsid w:val="00227D78"/>
    <w:rsid w:val="00227FE4"/>
    <w:rsid w:val="002317B4"/>
    <w:rsid w:val="00231AEE"/>
    <w:rsid w:val="002331A0"/>
    <w:rsid w:val="00233DC9"/>
    <w:rsid w:val="0023447D"/>
    <w:rsid w:val="0023708B"/>
    <w:rsid w:val="00237318"/>
    <w:rsid w:val="00237FE9"/>
    <w:rsid w:val="002405D4"/>
    <w:rsid w:val="0024128C"/>
    <w:rsid w:val="00245DA0"/>
    <w:rsid w:val="00247ADA"/>
    <w:rsid w:val="00251406"/>
    <w:rsid w:val="002546F2"/>
    <w:rsid w:val="00257836"/>
    <w:rsid w:val="00264EEE"/>
    <w:rsid w:val="0026530E"/>
    <w:rsid w:val="00265DED"/>
    <w:rsid w:val="00265E6C"/>
    <w:rsid w:val="00266A30"/>
    <w:rsid w:val="0026794D"/>
    <w:rsid w:val="00267FAB"/>
    <w:rsid w:val="00270CAF"/>
    <w:rsid w:val="002712C8"/>
    <w:rsid w:val="002719ED"/>
    <w:rsid w:val="00271EB7"/>
    <w:rsid w:val="00272222"/>
    <w:rsid w:val="0027239E"/>
    <w:rsid w:val="00272E82"/>
    <w:rsid w:val="00273D5C"/>
    <w:rsid w:val="00273ECF"/>
    <w:rsid w:val="00274676"/>
    <w:rsid w:val="00275209"/>
    <w:rsid w:val="0027527B"/>
    <w:rsid w:val="00275B26"/>
    <w:rsid w:val="0027706F"/>
    <w:rsid w:val="002812DA"/>
    <w:rsid w:val="00281580"/>
    <w:rsid w:val="00282DD1"/>
    <w:rsid w:val="00283259"/>
    <w:rsid w:val="00283405"/>
    <w:rsid w:val="00283AFA"/>
    <w:rsid w:val="00283D22"/>
    <w:rsid w:val="00286880"/>
    <w:rsid w:val="00287942"/>
    <w:rsid w:val="00292783"/>
    <w:rsid w:val="00293684"/>
    <w:rsid w:val="0029399F"/>
    <w:rsid w:val="00293E21"/>
    <w:rsid w:val="00294A81"/>
    <w:rsid w:val="00295264"/>
    <w:rsid w:val="00295DFA"/>
    <w:rsid w:val="00296404"/>
    <w:rsid w:val="0029649F"/>
    <w:rsid w:val="002A05D3"/>
    <w:rsid w:val="002A06C6"/>
    <w:rsid w:val="002A0C11"/>
    <w:rsid w:val="002A107A"/>
    <w:rsid w:val="002A535E"/>
    <w:rsid w:val="002A5881"/>
    <w:rsid w:val="002A5E7A"/>
    <w:rsid w:val="002B0025"/>
    <w:rsid w:val="002B0801"/>
    <w:rsid w:val="002B0A3F"/>
    <w:rsid w:val="002B1BD9"/>
    <w:rsid w:val="002B5324"/>
    <w:rsid w:val="002B56E7"/>
    <w:rsid w:val="002B5823"/>
    <w:rsid w:val="002B6908"/>
    <w:rsid w:val="002B733A"/>
    <w:rsid w:val="002B7F4A"/>
    <w:rsid w:val="002C0074"/>
    <w:rsid w:val="002C097E"/>
    <w:rsid w:val="002C2315"/>
    <w:rsid w:val="002C301D"/>
    <w:rsid w:val="002C4A38"/>
    <w:rsid w:val="002C65B8"/>
    <w:rsid w:val="002C734D"/>
    <w:rsid w:val="002C744C"/>
    <w:rsid w:val="002D01BF"/>
    <w:rsid w:val="002D0FAA"/>
    <w:rsid w:val="002D3278"/>
    <w:rsid w:val="002D3E81"/>
    <w:rsid w:val="002D4AC3"/>
    <w:rsid w:val="002D52A0"/>
    <w:rsid w:val="002D6128"/>
    <w:rsid w:val="002D6691"/>
    <w:rsid w:val="002E0169"/>
    <w:rsid w:val="002E062E"/>
    <w:rsid w:val="002E1226"/>
    <w:rsid w:val="002E1D30"/>
    <w:rsid w:val="002E2678"/>
    <w:rsid w:val="002E28C6"/>
    <w:rsid w:val="002E4DB3"/>
    <w:rsid w:val="002E6730"/>
    <w:rsid w:val="002E67EB"/>
    <w:rsid w:val="002E6D37"/>
    <w:rsid w:val="002E79A6"/>
    <w:rsid w:val="002F10BF"/>
    <w:rsid w:val="002F110D"/>
    <w:rsid w:val="002F32BD"/>
    <w:rsid w:val="002F4407"/>
    <w:rsid w:val="002F5A1A"/>
    <w:rsid w:val="002F66AD"/>
    <w:rsid w:val="002F6E67"/>
    <w:rsid w:val="002F71F1"/>
    <w:rsid w:val="002F7C03"/>
    <w:rsid w:val="0030111A"/>
    <w:rsid w:val="003020F3"/>
    <w:rsid w:val="003022D4"/>
    <w:rsid w:val="003038AC"/>
    <w:rsid w:val="00305726"/>
    <w:rsid w:val="00306E9B"/>
    <w:rsid w:val="003071CA"/>
    <w:rsid w:val="003076FA"/>
    <w:rsid w:val="00310D70"/>
    <w:rsid w:val="0031214B"/>
    <w:rsid w:val="00313F3E"/>
    <w:rsid w:val="00314A19"/>
    <w:rsid w:val="00315307"/>
    <w:rsid w:val="00315D17"/>
    <w:rsid w:val="003169FD"/>
    <w:rsid w:val="00316B54"/>
    <w:rsid w:val="00317341"/>
    <w:rsid w:val="003176BB"/>
    <w:rsid w:val="00317E1A"/>
    <w:rsid w:val="00320A3C"/>
    <w:rsid w:val="00321519"/>
    <w:rsid w:val="003223CF"/>
    <w:rsid w:val="003232C2"/>
    <w:rsid w:val="003237B0"/>
    <w:rsid w:val="0032470B"/>
    <w:rsid w:val="0032503F"/>
    <w:rsid w:val="003262CE"/>
    <w:rsid w:val="003264ED"/>
    <w:rsid w:val="003308B4"/>
    <w:rsid w:val="00333209"/>
    <w:rsid w:val="00333BD5"/>
    <w:rsid w:val="00334A4E"/>
    <w:rsid w:val="003352EF"/>
    <w:rsid w:val="003418C0"/>
    <w:rsid w:val="003424A8"/>
    <w:rsid w:val="003425F7"/>
    <w:rsid w:val="00343012"/>
    <w:rsid w:val="00343233"/>
    <w:rsid w:val="00343B25"/>
    <w:rsid w:val="003441E3"/>
    <w:rsid w:val="003445EA"/>
    <w:rsid w:val="00350175"/>
    <w:rsid w:val="003518FF"/>
    <w:rsid w:val="00351EC0"/>
    <w:rsid w:val="0035257F"/>
    <w:rsid w:val="00352990"/>
    <w:rsid w:val="00352A32"/>
    <w:rsid w:val="00353113"/>
    <w:rsid w:val="00353518"/>
    <w:rsid w:val="00355DAA"/>
    <w:rsid w:val="003601F9"/>
    <w:rsid w:val="0036132C"/>
    <w:rsid w:val="003613F4"/>
    <w:rsid w:val="00361819"/>
    <w:rsid w:val="00361F3D"/>
    <w:rsid w:val="00362E2F"/>
    <w:rsid w:val="00362E4E"/>
    <w:rsid w:val="00362FE1"/>
    <w:rsid w:val="00363DCE"/>
    <w:rsid w:val="00365680"/>
    <w:rsid w:val="00366A1A"/>
    <w:rsid w:val="00367B6E"/>
    <w:rsid w:val="00370B2E"/>
    <w:rsid w:val="00372D68"/>
    <w:rsid w:val="003740A0"/>
    <w:rsid w:val="0037447C"/>
    <w:rsid w:val="0037458C"/>
    <w:rsid w:val="00374E9A"/>
    <w:rsid w:val="00375E7C"/>
    <w:rsid w:val="00375FFD"/>
    <w:rsid w:val="0037774E"/>
    <w:rsid w:val="003817B1"/>
    <w:rsid w:val="00381DB8"/>
    <w:rsid w:val="003826A0"/>
    <w:rsid w:val="00383462"/>
    <w:rsid w:val="00384A49"/>
    <w:rsid w:val="00384B58"/>
    <w:rsid w:val="00385683"/>
    <w:rsid w:val="00385EC1"/>
    <w:rsid w:val="00386DD1"/>
    <w:rsid w:val="00387CA4"/>
    <w:rsid w:val="00391389"/>
    <w:rsid w:val="00391E64"/>
    <w:rsid w:val="00393C90"/>
    <w:rsid w:val="00395750"/>
    <w:rsid w:val="0039581F"/>
    <w:rsid w:val="00396861"/>
    <w:rsid w:val="0039783E"/>
    <w:rsid w:val="003A0009"/>
    <w:rsid w:val="003A0E47"/>
    <w:rsid w:val="003A4360"/>
    <w:rsid w:val="003A68AA"/>
    <w:rsid w:val="003A7116"/>
    <w:rsid w:val="003A7561"/>
    <w:rsid w:val="003A76E4"/>
    <w:rsid w:val="003B09F2"/>
    <w:rsid w:val="003B1384"/>
    <w:rsid w:val="003B35B8"/>
    <w:rsid w:val="003B4A9D"/>
    <w:rsid w:val="003B4B13"/>
    <w:rsid w:val="003B4D2C"/>
    <w:rsid w:val="003B53A6"/>
    <w:rsid w:val="003B7471"/>
    <w:rsid w:val="003B76B2"/>
    <w:rsid w:val="003C02D8"/>
    <w:rsid w:val="003C0785"/>
    <w:rsid w:val="003C1411"/>
    <w:rsid w:val="003C1764"/>
    <w:rsid w:val="003C3AD0"/>
    <w:rsid w:val="003C62A5"/>
    <w:rsid w:val="003C722C"/>
    <w:rsid w:val="003C7985"/>
    <w:rsid w:val="003C7CAC"/>
    <w:rsid w:val="003C7E67"/>
    <w:rsid w:val="003D06B5"/>
    <w:rsid w:val="003D20ED"/>
    <w:rsid w:val="003D4ED7"/>
    <w:rsid w:val="003D6531"/>
    <w:rsid w:val="003D6C84"/>
    <w:rsid w:val="003E017A"/>
    <w:rsid w:val="003E1FAF"/>
    <w:rsid w:val="003E20B9"/>
    <w:rsid w:val="003E27F9"/>
    <w:rsid w:val="003E3836"/>
    <w:rsid w:val="003E39B9"/>
    <w:rsid w:val="003E3CA4"/>
    <w:rsid w:val="003E4AC8"/>
    <w:rsid w:val="003E4BB4"/>
    <w:rsid w:val="003E68B5"/>
    <w:rsid w:val="003F0E8F"/>
    <w:rsid w:val="003F14AC"/>
    <w:rsid w:val="003F259E"/>
    <w:rsid w:val="003F27A7"/>
    <w:rsid w:val="003F2D09"/>
    <w:rsid w:val="003F34BF"/>
    <w:rsid w:val="003F37EA"/>
    <w:rsid w:val="003F47F5"/>
    <w:rsid w:val="003F4F4D"/>
    <w:rsid w:val="003F5193"/>
    <w:rsid w:val="003F59CC"/>
    <w:rsid w:val="003F5E57"/>
    <w:rsid w:val="003F5F9D"/>
    <w:rsid w:val="003F6377"/>
    <w:rsid w:val="003F7652"/>
    <w:rsid w:val="003F7D8B"/>
    <w:rsid w:val="003F7EDA"/>
    <w:rsid w:val="00401D87"/>
    <w:rsid w:val="00402BF8"/>
    <w:rsid w:val="00403183"/>
    <w:rsid w:val="00403755"/>
    <w:rsid w:val="0040387F"/>
    <w:rsid w:val="004041BC"/>
    <w:rsid w:val="00406227"/>
    <w:rsid w:val="004078AA"/>
    <w:rsid w:val="00407D3B"/>
    <w:rsid w:val="0041363C"/>
    <w:rsid w:val="004146D4"/>
    <w:rsid w:val="00414E9A"/>
    <w:rsid w:val="00415CC4"/>
    <w:rsid w:val="00415FD6"/>
    <w:rsid w:val="0041696F"/>
    <w:rsid w:val="00420D4C"/>
    <w:rsid w:val="00421070"/>
    <w:rsid w:val="00423532"/>
    <w:rsid w:val="00423B79"/>
    <w:rsid w:val="004240D2"/>
    <w:rsid w:val="00424ADF"/>
    <w:rsid w:val="00424BE3"/>
    <w:rsid w:val="004303B8"/>
    <w:rsid w:val="00431677"/>
    <w:rsid w:val="00433183"/>
    <w:rsid w:val="00433AED"/>
    <w:rsid w:val="00433EB6"/>
    <w:rsid w:val="004342F0"/>
    <w:rsid w:val="004351AA"/>
    <w:rsid w:val="004353DD"/>
    <w:rsid w:val="00435F4A"/>
    <w:rsid w:val="00437C49"/>
    <w:rsid w:val="0044117C"/>
    <w:rsid w:val="004418F2"/>
    <w:rsid w:val="00443039"/>
    <w:rsid w:val="00443662"/>
    <w:rsid w:val="00443DF2"/>
    <w:rsid w:val="00444E78"/>
    <w:rsid w:val="004455A5"/>
    <w:rsid w:val="00445911"/>
    <w:rsid w:val="00445F4D"/>
    <w:rsid w:val="00446050"/>
    <w:rsid w:val="00446FC1"/>
    <w:rsid w:val="0044734A"/>
    <w:rsid w:val="00447C26"/>
    <w:rsid w:val="00447F1A"/>
    <w:rsid w:val="0045085A"/>
    <w:rsid w:val="00450CBA"/>
    <w:rsid w:val="0045110A"/>
    <w:rsid w:val="00452DA2"/>
    <w:rsid w:val="0045325A"/>
    <w:rsid w:val="004532A3"/>
    <w:rsid w:val="00453E15"/>
    <w:rsid w:val="00455363"/>
    <w:rsid w:val="00456B8F"/>
    <w:rsid w:val="00457045"/>
    <w:rsid w:val="004574C4"/>
    <w:rsid w:val="00457A91"/>
    <w:rsid w:val="004604E9"/>
    <w:rsid w:val="00460A55"/>
    <w:rsid w:val="004610FB"/>
    <w:rsid w:val="0046180A"/>
    <w:rsid w:val="00461D3A"/>
    <w:rsid w:val="00462BA5"/>
    <w:rsid w:val="00462BC6"/>
    <w:rsid w:val="00462D98"/>
    <w:rsid w:val="00463FEB"/>
    <w:rsid w:val="00465D5F"/>
    <w:rsid w:val="004660F2"/>
    <w:rsid w:val="00470C11"/>
    <w:rsid w:val="00471596"/>
    <w:rsid w:val="00471759"/>
    <w:rsid w:val="0047175C"/>
    <w:rsid w:val="004721E0"/>
    <w:rsid w:val="00472F9C"/>
    <w:rsid w:val="00473803"/>
    <w:rsid w:val="00475523"/>
    <w:rsid w:val="004755FE"/>
    <w:rsid w:val="004759BF"/>
    <w:rsid w:val="00476585"/>
    <w:rsid w:val="00476857"/>
    <w:rsid w:val="00476B4E"/>
    <w:rsid w:val="00476B63"/>
    <w:rsid w:val="0047782F"/>
    <w:rsid w:val="00482013"/>
    <w:rsid w:val="004828C6"/>
    <w:rsid w:val="00484675"/>
    <w:rsid w:val="00484F33"/>
    <w:rsid w:val="004850D5"/>
    <w:rsid w:val="00485710"/>
    <w:rsid w:val="004865E1"/>
    <w:rsid w:val="004869CF"/>
    <w:rsid w:val="00486DD1"/>
    <w:rsid w:val="00487545"/>
    <w:rsid w:val="00490239"/>
    <w:rsid w:val="00490B1D"/>
    <w:rsid w:val="00491DC5"/>
    <w:rsid w:val="00491E38"/>
    <w:rsid w:val="0049229C"/>
    <w:rsid w:val="004929EC"/>
    <w:rsid w:val="004935F6"/>
    <w:rsid w:val="00493B10"/>
    <w:rsid w:val="00493F24"/>
    <w:rsid w:val="00495017"/>
    <w:rsid w:val="00495B67"/>
    <w:rsid w:val="0049615F"/>
    <w:rsid w:val="004971EF"/>
    <w:rsid w:val="00497DFC"/>
    <w:rsid w:val="004A0EC1"/>
    <w:rsid w:val="004A2043"/>
    <w:rsid w:val="004A2FD9"/>
    <w:rsid w:val="004A3891"/>
    <w:rsid w:val="004A51CB"/>
    <w:rsid w:val="004A5D55"/>
    <w:rsid w:val="004A6D51"/>
    <w:rsid w:val="004B03BE"/>
    <w:rsid w:val="004B0A80"/>
    <w:rsid w:val="004B1950"/>
    <w:rsid w:val="004B2839"/>
    <w:rsid w:val="004B300A"/>
    <w:rsid w:val="004B4E7B"/>
    <w:rsid w:val="004B7418"/>
    <w:rsid w:val="004B78FA"/>
    <w:rsid w:val="004C0FBA"/>
    <w:rsid w:val="004C1080"/>
    <w:rsid w:val="004C2B29"/>
    <w:rsid w:val="004C3F7B"/>
    <w:rsid w:val="004C3FD4"/>
    <w:rsid w:val="004C4916"/>
    <w:rsid w:val="004C6A1A"/>
    <w:rsid w:val="004C78C4"/>
    <w:rsid w:val="004D2B88"/>
    <w:rsid w:val="004D2EB8"/>
    <w:rsid w:val="004D3A3F"/>
    <w:rsid w:val="004D40E0"/>
    <w:rsid w:val="004D512D"/>
    <w:rsid w:val="004D53CA"/>
    <w:rsid w:val="004D58A1"/>
    <w:rsid w:val="004D5D38"/>
    <w:rsid w:val="004D5F74"/>
    <w:rsid w:val="004D6ED4"/>
    <w:rsid w:val="004E10E0"/>
    <w:rsid w:val="004E198A"/>
    <w:rsid w:val="004E2A32"/>
    <w:rsid w:val="004E3061"/>
    <w:rsid w:val="004E3F7E"/>
    <w:rsid w:val="004E5138"/>
    <w:rsid w:val="004E67E6"/>
    <w:rsid w:val="004F06FD"/>
    <w:rsid w:val="004F0E40"/>
    <w:rsid w:val="004F19CD"/>
    <w:rsid w:val="004F1F6E"/>
    <w:rsid w:val="004F245D"/>
    <w:rsid w:val="004F3DCA"/>
    <w:rsid w:val="004F5574"/>
    <w:rsid w:val="004F5E93"/>
    <w:rsid w:val="004F603D"/>
    <w:rsid w:val="004F6545"/>
    <w:rsid w:val="004F6D32"/>
    <w:rsid w:val="004F6FC8"/>
    <w:rsid w:val="005002D9"/>
    <w:rsid w:val="0050046F"/>
    <w:rsid w:val="00500EEF"/>
    <w:rsid w:val="005015CE"/>
    <w:rsid w:val="00501BD9"/>
    <w:rsid w:val="005041A7"/>
    <w:rsid w:val="00504E3C"/>
    <w:rsid w:val="00506456"/>
    <w:rsid w:val="00506825"/>
    <w:rsid w:val="00506FA2"/>
    <w:rsid w:val="00507196"/>
    <w:rsid w:val="00510102"/>
    <w:rsid w:val="005103B1"/>
    <w:rsid w:val="005130AA"/>
    <w:rsid w:val="00513891"/>
    <w:rsid w:val="0051449E"/>
    <w:rsid w:val="00515680"/>
    <w:rsid w:val="00515A71"/>
    <w:rsid w:val="005173F5"/>
    <w:rsid w:val="00517B7D"/>
    <w:rsid w:val="00517D7F"/>
    <w:rsid w:val="00517E7D"/>
    <w:rsid w:val="00520779"/>
    <w:rsid w:val="00521242"/>
    <w:rsid w:val="00521E8C"/>
    <w:rsid w:val="00523AAC"/>
    <w:rsid w:val="00523CF5"/>
    <w:rsid w:val="005246FD"/>
    <w:rsid w:val="00525A4C"/>
    <w:rsid w:val="00525C51"/>
    <w:rsid w:val="00530417"/>
    <w:rsid w:val="00530B0F"/>
    <w:rsid w:val="00532095"/>
    <w:rsid w:val="005321B7"/>
    <w:rsid w:val="005328C3"/>
    <w:rsid w:val="0053379A"/>
    <w:rsid w:val="005337D5"/>
    <w:rsid w:val="0053582D"/>
    <w:rsid w:val="0053679A"/>
    <w:rsid w:val="00536C66"/>
    <w:rsid w:val="00537CC2"/>
    <w:rsid w:val="0054067C"/>
    <w:rsid w:val="00541C62"/>
    <w:rsid w:val="005437B7"/>
    <w:rsid w:val="00543E03"/>
    <w:rsid w:val="005442DB"/>
    <w:rsid w:val="00545F4F"/>
    <w:rsid w:val="00545F60"/>
    <w:rsid w:val="00547754"/>
    <w:rsid w:val="0054782B"/>
    <w:rsid w:val="0055051C"/>
    <w:rsid w:val="00550BD7"/>
    <w:rsid w:val="00551606"/>
    <w:rsid w:val="005520E3"/>
    <w:rsid w:val="005536BC"/>
    <w:rsid w:val="005544E5"/>
    <w:rsid w:val="00554B2A"/>
    <w:rsid w:val="00554B2F"/>
    <w:rsid w:val="00555556"/>
    <w:rsid w:val="00557118"/>
    <w:rsid w:val="005612C1"/>
    <w:rsid w:val="00562BC9"/>
    <w:rsid w:val="00562D0B"/>
    <w:rsid w:val="0056357E"/>
    <w:rsid w:val="00563B07"/>
    <w:rsid w:val="00563F90"/>
    <w:rsid w:val="00564874"/>
    <w:rsid w:val="00566834"/>
    <w:rsid w:val="005668F0"/>
    <w:rsid w:val="005677E2"/>
    <w:rsid w:val="0056783D"/>
    <w:rsid w:val="0057019F"/>
    <w:rsid w:val="005704E5"/>
    <w:rsid w:val="00570549"/>
    <w:rsid w:val="0057101F"/>
    <w:rsid w:val="00571A9D"/>
    <w:rsid w:val="00571BA5"/>
    <w:rsid w:val="00573B85"/>
    <w:rsid w:val="00574342"/>
    <w:rsid w:val="005754DE"/>
    <w:rsid w:val="005755A7"/>
    <w:rsid w:val="00576798"/>
    <w:rsid w:val="00580450"/>
    <w:rsid w:val="00580CDE"/>
    <w:rsid w:val="00581009"/>
    <w:rsid w:val="005819B2"/>
    <w:rsid w:val="00582409"/>
    <w:rsid w:val="00582DC6"/>
    <w:rsid w:val="00582EF8"/>
    <w:rsid w:val="00583F9C"/>
    <w:rsid w:val="00585F5E"/>
    <w:rsid w:val="00586DC7"/>
    <w:rsid w:val="00590BD9"/>
    <w:rsid w:val="00590D92"/>
    <w:rsid w:val="00591D93"/>
    <w:rsid w:val="005933EB"/>
    <w:rsid w:val="00593561"/>
    <w:rsid w:val="00594805"/>
    <w:rsid w:val="00596392"/>
    <w:rsid w:val="005965C4"/>
    <w:rsid w:val="00596EAD"/>
    <w:rsid w:val="00597976"/>
    <w:rsid w:val="00597DFE"/>
    <w:rsid w:val="00597FAF"/>
    <w:rsid w:val="005A13E7"/>
    <w:rsid w:val="005A196E"/>
    <w:rsid w:val="005A333E"/>
    <w:rsid w:val="005A3D06"/>
    <w:rsid w:val="005A3DA9"/>
    <w:rsid w:val="005A5676"/>
    <w:rsid w:val="005A62E6"/>
    <w:rsid w:val="005A6CC1"/>
    <w:rsid w:val="005A6CCD"/>
    <w:rsid w:val="005A7107"/>
    <w:rsid w:val="005B174D"/>
    <w:rsid w:val="005B1762"/>
    <w:rsid w:val="005B29AF"/>
    <w:rsid w:val="005B39D2"/>
    <w:rsid w:val="005B3B36"/>
    <w:rsid w:val="005B545C"/>
    <w:rsid w:val="005B55F8"/>
    <w:rsid w:val="005B568F"/>
    <w:rsid w:val="005B5924"/>
    <w:rsid w:val="005B6561"/>
    <w:rsid w:val="005C0312"/>
    <w:rsid w:val="005C0453"/>
    <w:rsid w:val="005C21D1"/>
    <w:rsid w:val="005C24B6"/>
    <w:rsid w:val="005C29FA"/>
    <w:rsid w:val="005C363D"/>
    <w:rsid w:val="005C3E40"/>
    <w:rsid w:val="005C5F92"/>
    <w:rsid w:val="005C6EDB"/>
    <w:rsid w:val="005D0763"/>
    <w:rsid w:val="005D0FD8"/>
    <w:rsid w:val="005D3DE0"/>
    <w:rsid w:val="005D4C84"/>
    <w:rsid w:val="005D57F3"/>
    <w:rsid w:val="005D67EA"/>
    <w:rsid w:val="005E0307"/>
    <w:rsid w:val="005E0687"/>
    <w:rsid w:val="005E0B96"/>
    <w:rsid w:val="005E15B4"/>
    <w:rsid w:val="005E22C5"/>
    <w:rsid w:val="005E26B6"/>
    <w:rsid w:val="005E4156"/>
    <w:rsid w:val="005E6DB6"/>
    <w:rsid w:val="005E7559"/>
    <w:rsid w:val="005F2C40"/>
    <w:rsid w:val="005F43C3"/>
    <w:rsid w:val="005F4DCE"/>
    <w:rsid w:val="005F5FC9"/>
    <w:rsid w:val="0060184B"/>
    <w:rsid w:val="00601A52"/>
    <w:rsid w:val="00602E73"/>
    <w:rsid w:val="00603627"/>
    <w:rsid w:val="006036A6"/>
    <w:rsid w:val="00603A80"/>
    <w:rsid w:val="00603E2B"/>
    <w:rsid w:val="00603FA8"/>
    <w:rsid w:val="006050DD"/>
    <w:rsid w:val="006062EF"/>
    <w:rsid w:val="006079CF"/>
    <w:rsid w:val="0061025C"/>
    <w:rsid w:val="00610DB8"/>
    <w:rsid w:val="0061124D"/>
    <w:rsid w:val="006121E5"/>
    <w:rsid w:val="00612399"/>
    <w:rsid w:val="00612D19"/>
    <w:rsid w:val="0061317B"/>
    <w:rsid w:val="00613972"/>
    <w:rsid w:val="006159F2"/>
    <w:rsid w:val="00615E70"/>
    <w:rsid w:val="006170F2"/>
    <w:rsid w:val="00617398"/>
    <w:rsid w:val="0061761D"/>
    <w:rsid w:val="006207E9"/>
    <w:rsid w:val="00621E70"/>
    <w:rsid w:val="0062619E"/>
    <w:rsid w:val="00626B7E"/>
    <w:rsid w:val="0063259E"/>
    <w:rsid w:val="00632BA7"/>
    <w:rsid w:val="00632C89"/>
    <w:rsid w:val="00632E8C"/>
    <w:rsid w:val="00634F11"/>
    <w:rsid w:val="006359F5"/>
    <w:rsid w:val="00635A18"/>
    <w:rsid w:val="00636DED"/>
    <w:rsid w:val="006371BF"/>
    <w:rsid w:val="006377D3"/>
    <w:rsid w:val="00637BB7"/>
    <w:rsid w:val="00642ADD"/>
    <w:rsid w:val="00643396"/>
    <w:rsid w:val="00643788"/>
    <w:rsid w:val="0064402C"/>
    <w:rsid w:val="006445A2"/>
    <w:rsid w:val="00645BEF"/>
    <w:rsid w:val="00645C45"/>
    <w:rsid w:val="00645D2F"/>
    <w:rsid w:val="00646179"/>
    <w:rsid w:val="006464FD"/>
    <w:rsid w:val="006474EE"/>
    <w:rsid w:val="0064763A"/>
    <w:rsid w:val="0065124F"/>
    <w:rsid w:val="00652610"/>
    <w:rsid w:val="006544DB"/>
    <w:rsid w:val="0065548F"/>
    <w:rsid w:val="00656647"/>
    <w:rsid w:val="006569FB"/>
    <w:rsid w:val="0065713B"/>
    <w:rsid w:val="0065713C"/>
    <w:rsid w:val="0065773E"/>
    <w:rsid w:val="00657F8A"/>
    <w:rsid w:val="00660B1F"/>
    <w:rsid w:val="00662194"/>
    <w:rsid w:val="006637FA"/>
    <w:rsid w:val="00663B17"/>
    <w:rsid w:val="0066445E"/>
    <w:rsid w:val="00666A40"/>
    <w:rsid w:val="00671424"/>
    <w:rsid w:val="006719F2"/>
    <w:rsid w:val="006721D1"/>
    <w:rsid w:val="00674786"/>
    <w:rsid w:val="00674AEF"/>
    <w:rsid w:val="006755C1"/>
    <w:rsid w:val="00675A28"/>
    <w:rsid w:val="00676159"/>
    <w:rsid w:val="006761EC"/>
    <w:rsid w:val="006772A7"/>
    <w:rsid w:val="006772CA"/>
    <w:rsid w:val="00677EE9"/>
    <w:rsid w:val="006804CF"/>
    <w:rsid w:val="006822DA"/>
    <w:rsid w:val="00682473"/>
    <w:rsid w:val="006829A8"/>
    <w:rsid w:val="00682FBC"/>
    <w:rsid w:val="006834DA"/>
    <w:rsid w:val="006835EB"/>
    <w:rsid w:val="00683A57"/>
    <w:rsid w:val="0068449E"/>
    <w:rsid w:val="00684A4C"/>
    <w:rsid w:val="006873EA"/>
    <w:rsid w:val="00692162"/>
    <w:rsid w:val="00693024"/>
    <w:rsid w:val="00694ABE"/>
    <w:rsid w:val="00694E49"/>
    <w:rsid w:val="0069721F"/>
    <w:rsid w:val="006A0E74"/>
    <w:rsid w:val="006A0EB9"/>
    <w:rsid w:val="006A0FE1"/>
    <w:rsid w:val="006A151C"/>
    <w:rsid w:val="006A218F"/>
    <w:rsid w:val="006A3F76"/>
    <w:rsid w:val="006A4054"/>
    <w:rsid w:val="006A40A1"/>
    <w:rsid w:val="006A4337"/>
    <w:rsid w:val="006A5C00"/>
    <w:rsid w:val="006A6165"/>
    <w:rsid w:val="006A6392"/>
    <w:rsid w:val="006A7E28"/>
    <w:rsid w:val="006B2116"/>
    <w:rsid w:val="006B2982"/>
    <w:rsid w:val="006B35BE"/>
    <w:rsid w:val="006B4453"/>
    <w:rsid w:val="006C0A4C"/>
    <w:rsid w:val="006C19A4"/>
    <w:rsid w:val="006C1B43"/>
    <w:rsid w:val="006C1D7C"/>
    <w:rsid w:val="006C3765"/>
    <w:rsid w:val="006C3992"/>
    <w:rsid w:val="006C39BF"/>
    <w:rsid w:val="006C4775"/>
    <w:rsid w:val="006C6FA2"/>
    <w:rsid w:val="006C7000"/>
    <w:rsid w:val="006C7694"/>
    <w:rsid w:val="006C7763"/>
    <w:rsid w:val="006D012B"/>
    <w:rsid w:val="006D12A7"/>
    <w:rsid w:val="006D26E1"/>
    <w:rsid w:val="006D282B"/>
    <w:rsid w:val="006D2BD5"/>
    <w:rsid w:val="006D3ECE"/>
    <w:rsid w:val="006D4E45"/>
    <w:rsid w:val="006D5350"/>
    <w:rsid w:val="006E0317"/>
    <w:rsid w:val="006E0511"/>
    <w:rsid w:val="006E12C1"/>
    <w:rsid w:val="006E15EA"/>
    <w:rsid w:val="006E5580"/>
    <w:rsid w:val="006E5ABA"/>
    <w:rsid w:val="006E607F"/>
    <w:rsid w:val="006E7DC2"/>
    <w:rsid w:val="006F0D73"/>
    <w:rsid w:val="006F1342"/>
    <w:rsid w:val="006F264E"/>
    <w:rsid w:val="006F2EE7"/>
    <w:rsid w:val="006F3282"/>
    <w:rsid w:val="006F3D80"/>
    <w:rsid w:val="006F3EF5"/>
    <w:rsid w:val="006F49F0"/>
    <w:rsid w:val="006F6359"/>
    <w:rsid w:val="006F7CE0"/>
    <w:rsid w:val="0070184A"/>
    <w:rsid w:val="00702E8D"/>
    <w:rsid w:val="0070360B"/>
    <w:rsid w:val="00704726"/>
    <w:rsid w:val="00704CC3"/>
    <w:rsid w:val="007053E7"/>
    <w:rsid w:val="0070569D"/>
    <w:rsid w:val="00705884"/>
    <w:rsid w:val="00705997"/>
    <w:rsid w:val="00705BD1"/>
    <w:rsid w:val="007063F2"/>
    <w:rsid w:val="00706E77"/>
    <w:rsid w:val="007075B8"/>
    <w:rsid w:val="00707B2E"/>
    <w:rsid w:val="00710B00"/>
    <w:rsid w:val="00711144"/>
    <w:rsid w:val="00711471"/>
    <w:rsid w:val="00712398"/>
    <w:rsid w:val="00713375"/>
    <w:rsid w:val="00715EDF"/>
    <w:rsid w:val="00716DEA"/>
    <w:rsid w:val="0072105B"/>
    <w:rsid w:val="0072284E"/>
    <w:rsid w:val="00723508"/>
    <w:rsid w:val="00724E8F"/>
    <w:rsid w:val="007310C8"/>
    <w:rsid w:val="0073286C"/>
    <w:rsid w:val="007328CC"/>
    <w:rsid w:val="00732F1F"/>
    <w:rsid w:val="007330DF"/>
    <w:rsid w:val="00733260"/>
    <w:rsid w:val="00735070"/>
    <w:rsid w:val="00735AD3"/>
    <w:rsid w:val="007364DA"/>
    <w:rsid w:val="007371C0"/>
    <w:rsid w:val="007409D2"/>
    <w:rsid w:val="00742222"/>
    <w:rsid w:val="007428EB"/>
    <w:rsid w:val="00743EA9"/>
    <w:rsid w:val="0074529C"/>
    <w:rsid w:val="00745324"/>
    <w:rsid w:val="00747BB7"/>
    <w:rsid w:val="00747ECC"/>
    <w:rsid w:val="00750BF8"/>
    <w:rsid w:val="00750E2F"/>
    <w:rsid w:val="007515BC"/>
    <w:rsid w:val="00753328"/>
    <w:rsid w:val="00753433"/>
    <w:rsid w:val="0075365E"/>
    <w:rsid w:val="00754E11"/>
    <w:rsid w:val="00756097"/>
    <w:rsid w:val="00760A98"/>
    <w:rsid w:val="00761AD3"/>
    <w:rsid w:val="00764F3A"/>
    <w:rsid w:val="00765CC1"/>
    <w:rsid w:val="007669BA"/>
    <w:rsid w:val="00770261"/>
    <w:rsid w:val="0077032B"/>
    <w:rsid w:val="007712EA"/>
    <w:rsid w:val="00772439"/>
    <w:rsid w:val="00773ACD"/>
    <w:rsid w:val="007768C5"/>
    <w:rsid w:val="0077715B"/>
    <w:rsid w:val="007773BD"/>
    <w:rsid w:val="007776FC"/>
    <w:rsid w:val="00777B72"/>
    <w:rsid w:val="00777EEE"/>
    <w:rsid w:val="007811C0"/>
    <w:rsid w:val="007819CF"/>
    <w:rsid w:val="0078263F"/>
    <w:rsid w:val="00782D38"/>
    <w:rsid w:val="00783657"/>
    <w:rsid w:val="0078477A"/>
    <w:rsid w:val="00786840"/>
    <w:rsid w:val="00790852"/>
    <w:rsid w:val="00790EEE"/>
    <w:rsid w:val="00791304"/>
    <w:rsid w:val="00791677"/>
    <w:rsid w:val="00791E8E"/>
    <w:rsid w:val="007931A9"/>
    <w:rsid w:val="00794E52"/>
    <w:rsid w:val="00794E6C"/>
    <w:rsid w:val="007952A7"/>
    <w:rsid w:val="007959AA"/>
    <w:rsid w:val="00796982"/>
    <w:rsid w:val="007A02C7"/>
    <w:rsid w:val="007A05C6"/>
    <w:rsid w:val="007A2C70"/>
    <w:rsid w:val="007A375D"/>
    <w:rsid w:val="007A5826"/>
    <w:rsid w:val="007A657A"/>
    <w:rsid w:val="007B249F"/>
    <w:rsid w:val="007B4330"/>
    <w:rsid w:val="007B435A"/>
    <w:rsid w:val="007B5116"/>
    <w:rsid w:val="007B5D7E"/>
    <w:rsid w:val="007B788E"/>
    <w:rsid w:val="007C0BBE"/>
    <w:rsid w:val="007C17B1"/>
    <w:rsid w:val="007C43BB"/>
    <w:rsid w:val="007C6ED9"/>
    <w:rsid w:val="007C737B"/>
    <w:rsid w:val="007D1D13"/>
    <w:rsid w:val="007D20FF"/>
    <w:rsid w:val="007D2695"/>
    <w:rsid w:val="007D36F2"/>
    <w:rsid w:val="007D3B6C"/>
    <w:rsid w:val="007D4C2D"/>
    <w:rsid w:val="007D57DC"/>
    <w:rsid w:val="007E00A1"/>
    <w:rsid w:val="007E2BB1"/>
    <w:rsid w:val="007E2F2D"/>
    <w:rsid w:val="007E3A11"/>
    <w:rsid w:val="007E3A3A"/>
    <w:rsid w:val="007E3C1B"/>
    <w:rsid w:val="007E6270"/>
    <w:rsid w:val="007E637D"/>
    <w:rsid w:val="007E6D47"/>
    <w:rsid w:val="007E71C7"/>
    <w:rsid w:val="007F0096"/>
    <w:rsid w:val="007F2BB3"/>
    <w:rsid w:val="007F35FA"/>
    <w:rsid w:val="007F3724"/>
    <w:rsid w:val="007F4330"/>
    <w:rsid w:val="007F45A7"/>
    <w:rsid w:val="007F4C1B"/>
    <w:rsid w:val="007F62A9"/>
    <w:rsid w:val="007F6A75"/>
    <w:rsid w:val="007F70C4"/>
    <w:rsid w:val="00801BCF"/>
    <w:rsid w:val="008022F1"/>
    <w:rsid w:val="0080288A"/>
    <w:rsid w:val="00802E2A"/>
    <w:rsid w:val="00803569"/>
    <w:rsid w:val="00804553"/>
    <w:rsid w:val="008049CE"/>
    <w:rsid w:val="00807058"/>
    <w:rsid w:val="0080739F"/>
    <w:rsid w:val="0080758E"/>
    <w:rsid w:val="0081025E"/>
    <w:rsid w:val="00812261"/>
    <w:rsid w:val="008124E6"/>
    <w:rsid w:val="00812B72"/>
    <w:rsid w:val="00813360"/>
    <w:rsid w:val="00813620"/>
    <w:rsid w:val="00815881"/>
    <w:rsid w:val="00815E91"/>
    <w:rsid w:val="00816F3A"/>
    <w:rsid w:val="008171ED"/>
    <w:rsid w:val="00820A94"/>
    <w:rsid w:val="00822DB3"/>
    <w:rsid w:val="00823B52"/>
    <w:rsid w:val="00823B90"/>
    <w:rsid w:val="008304E8"/>
    <w:rsid w:val="00831ACA"/>
    <w:rsid w:val="00831AD5"/>
    <w:rsid w:val="00831BAA"/>
    <w:rsid w:val="00831E32"/>
    <w:rsid w:val="00834C7B"/>
    <w:rsid w:val="00836367"/>
    <w:rsid w:val="008375CF"/>
    <w:rsid w:val="00840873"/>
    <w:rsid w:val="008425D5"/>
    <w:rsid w:val="00843D20"/>
    <w:rsid w:val="00844454"/>
    <w:rsid w:val="00846DA9"/>
    <w:rsid w:val="00847192"/>
    <w:rsid w:val="0084731D"/>
    <w:rsid w:val="00850142"/>
    <w:rsid w:val="008511D0"/>
    <w:rsid w:val="00857420"/>
    <w:rsid w:val="0085773A"/>
    <w:rsid w:val="008603F1"/>
    <w:rsid w:val="00860455"/>
    <w:rsid w:val="00860732"/>
    <w:rsid w:val="00860CCE"/>
    <w:rsid w:val="00862540"/>
    <w:rsid w:val="00862551"/>
    <w:rsid w:val="0086294E"/>
    <w:rsid w:val="00863459"/>
    <w:rsid w:val="008637E1"/>
    <w:rsid w:val="008669BF"/>
    <w:rsid w:val="00867E68"/>
    <w:rsid w:val="00870670"/>
    <w:rsid w:val="00872CDA"/>
    <w:rsid w:val="0087340F"/>
    <w:rsid w:val="00873D37"/>
    <w:rsid w:val="00874188"/>
    <w:rsid w:val="00874404"/>
    <w:rsid w:val="00876879"/>
    <w:rsid w:val="00880279"/>
    <w:rsid w:val="00882CD6"/>
    <w:rsid w:val="0088302D"/>
    <w:rsid w:val="008830FE"/>
    <w:rsid w:val="00883A51"/>
    <w:rsid w:val="008841C7"/>
    <w:rsid w:val="00885271"/>
    <w:rsid w:val="00885C28"/>
    <w:rsid w:val="00885F6B"/>
    <w:rsid w:val="008866E0"/>
    <w:rsid w:val="00887803"/>
    <w:rsid w:val="00887ABA"/>
    <w:rsid w:val="00891481"/>
    <w:rsid w:val="008916F1"/>
    <w:rsid w:val="008931EC"/>
    <w:rsid w:val="00893A34"/>
    <w:rsid w:val="00893F1F"/>
    <w:rsid w:val="00894F2E"/>
    <w:rsid w:val="00897964"/>
    <w:rsid w:val="008A0123"/>
    <w:rsid w:val="008A2903"/>
    <w:rsid w:val="008A2ECB"/>
    <w:rsid w:val="008A41D1"/>
    <w:rsid w:val="008A6B32"/>
    <w:rsid w:val="008A6D57"/>
    <w:rsid w:val="008A7DEB"/>
    <w:rsid w:val="008B39F2"/>
    <w:rsid w:val="008B7CC7"/>
    <w:rsid w:val="008C0723"/>
    <w:rsid w:val="008C0BAD"/>
    <w:rsid w:val="008C1654"/>
    <w:rsid w:val="008C1F45"/>
    <w:rsid w:val="008C2E66"/>
    <w:rsid w:val="008C3CF3"/>
    <w:rsid w:val="008C4059"/>
    <w:rsid w:val="008C5061"/>
    <w:rsid w:val="008D321E"/>
    <w:rsid w:val="008D3BCA"/>
    <w:rsid w:val="008D4069"/>
    <w:rsid w:val="008D4212"/>
    <w:rsid w:val="008D4C74"/>
    <w:rsid w:val="008D578D"/>
    <w:rsid w:val="008D6836"/>
    <w:rsid w:val="008D6F8D"/>
    <w:rsid w:val="008E0799"/>
    <w:rsid w:val="008E07F5"/>
    <w:rsid w:val="008E144C"/>
    <w:rsid w:val="008E1524"/>
    <w:rsid w:val="008E1751"/>
    <w:rsid w:val="008E33D1"/>
    <w:rsid w:val="008E35D5"/>
    <w:rsid w:val="008E499D"/>
    <w:rsid w:val="008E5B79"/>
    <w:rsid w:val="008F1742"/>
    <w:rsid w:val="008F3401"/>
    <w:rsid w:val="008F45DD"/>
    <w:rsid w:val="008F524F"/>
    <w:rsid w:val="008F546B"/>
    <w:rsid w:val="008F746A"/>
    <w:rsid w:val="008F7F16"/>
    <w:rsid w:val="009008DB"/>
    <w:rsid w:val="009011FA"/>
    <w:rsid w:val="00903A46"/>
    <w:rsid w:val="00907EF1"/>
    <w:rsid w:val="009112D6"/>
    <w:rsid w:val="00911779"/>
    <w:rsid w:val="00912583"/>
    <w:rsid w:val="00912FE6"/>
    <w:rsid w:val="00914641"/>
    <w:rsid w:val="00914B5A"/>
    <w:rsid w:val="0091537A"/>
    <w:rsid w:val="0091559C"/>
    <w:rsid w:val="0091613C"/>
    <w:rsid w:val="00916AA9"/>
    <w:rsid w:val="00917493"/>
    <w:rsid w:val="00917703"/>
    <w:rsid w:val="00921613"/>
    <w:rsid w:val="00921AD9"/>
    <w:rsid w:val="009225F9"/>
    <w:rsid w:val="00922723"/>
    <w:rsid w:val="0092297D"/>
    <w:rsid w:val="00922DFB"/>
    <w:rsid w:val="00923842"/>
    <w:rsid w:val="00924DAD"/>
    <w:rsid w:val="00924EF9"/>
    <w:rsid w:val="00926B17"/>
    <w:rsid w:val="00931139"/>
    <w:rsid w:val="00931186"/>
    <w:rsid w:val="00931C60"/>
    <w:rsid w:val="00932330"/>
    <w:rsid w:val="009366A0"/>
    <w:rsid w:val="00937193"/>
    <w:rsid w:val="009407EE"/>
    <w:rsid w:val="0094124B"/>
    <w:rsid w:val="00943B26"/>
    <w:rsid w:val="00946B63"/>
    <w:rsid w:val="00950357"/>
    <w:rsid w:val="0095200D"/>
    <w:rsid w:val="009542D3"/>
    <w:rsid w:val="00956DA6"/>
    <w:rsid w:val="009575E3"/>
    <w:rsid w:val="00957F52"/>
    <w:rsid w:val="00960387"/>
    <w:rsid w:val="00961C3D"/>
    <w:rsid w:val="00961DC0"/>
    <w:rsid w:val="00962484"/>
    <w:rsid w:val="0096278C"/>
    <w:rsid w:val="009643C4"/>
    <w:rsid w:val="00964DE8"/>
    <w:rsid w:val="00967BAA"/>
    <w:rsid w:val="00967F0D"/>
    <w:rsid w:val="00970DF3"/>
    <w:rsid w:val="00971600"/>
    <w:rsid w:val="00975870"/>
    <w:rsid w:val="00975CDC"/>
    <w:rsid w:val="009767BD"/>
    <w:rsid w:val="009768F2"/>
    <w:rsid w:val="00981A56"/>
    <w:rsid w:val="00982518"/>
    <w:rsid w:val="00982CFF"/>
    <w:rsid w:val="00983242"/>
    <w:rsid w:val="00983700"/>
    <w:rsid w:val="00984467"/>
    <w:rsid w:val="0098563C"/>
    <w:rsid w:val="00985A17"/>
    <w:rsid w:val="0098603E"/>
    <w:rsid w:val="00986F53"/>
    <w:rsid w:val="009873E7"/>
    <w:rsid w:val="0099053A"/>
    <w:rsid w:val="009918E8"/>
    <w:rsid w:val="00991ACC"/>
    <w:rsid w:val="00992345"/>
    <w:rsid w:val="00993572"/>
    <w:rsid w:val="00993DB6"/>
    <w:rsid w:val="00995D58"/>
    <w:rsid w:val="0099604A"/>
    <w:rsid w:val="009962FE"/>
    <w:rsid w:val="00997B37"/>
    <w:rsid w:val="00997E46"/>
    <w:rsid w:val="009A0E5A"/>
    <w:rsid w:val="009A1A27"/>
    <w:rsid w:val="009A1F84"/>
    <w:rsid w:val="009A20DB"/>
    <w:rsid w:val="009A237B"/>
    <w:rsid w:val="009A23EE"/>
    <w:rsid w:val="009A291B"/>
    <w:rsid w:val="009A2964"/>
    <w:rsid w:val="009A2C24"/>
    <w:rsid w:val="009A4293"/>
    <w:rsid w:val="009A5482"/>
    <w:rsid w:val="009A6068"/>
    <w:rsid w:val="009B0464"/>
    <w:rsid w:val="009B05C8"/>
    <w:rsid w:val="009B1209"/>
    <w:rsid w:val="009B2908"/>
    <w:rsid w:val="009B346F"/>
    <w:rsid w:val="009B3F9B"/>
    <w:rsid w:val="009B4464"/>
    <w:rsid w:val="009B5ED9"/>
    <w:rsid w:val="009B687E"/>
    <w:rsid w:val="009B78C5"/>
    <w:rsid w:val="009C4DB1"/>
    <w:rsid w:val="009C4DC5"/>
    <w:rsid w:val="009C4F2E"/>
    <w:rsid w:val="009C5262"/>
    <w:rsid w:val="009C6B0A"/>
    <w:rsid w:val="009C6C7A"/>
    <w:rsid w:val="009D017F"/>
    <w:rsid w:val="009D07A9"/>
    <w:rsid w:val="009D176F"/>
    <w:rsid w:val="009D2B71"/>
    <w:rsid w:val="009D483F"/>
    <w:rsid w:val="009D5865"/>
    <w:rsid w:val="009D5E4C"/>
    <w:rsid w:val="009D6D25"/>
    <w:rsid w:val="009E03FB"/>
    <w:rsid w:val="009E17B9"/>
    <w:rsid w:val="009E39BD"/>
    <w:rsid w:val="009E4EF0"/>
    <w:rsid w:val="009E56D2"/>
    <w:rsid w:val="009F06E5"/>
    <w:rsid w:val="009F09E6"/>
    <w:rsid w:val="009F39B2"/>
    <w:rsid w:val="009F630C"/>
    <w:rsid w:val="009F676B"/>
    <w:rsid w:val="009F7B9A"/>
    <w:rsid w:val="009F7F75"/>
    <w:rsid w:val="00A015A7"/>
    <w:rsid w:val="00A017CA"/>
    <w:rsid w:val="00A0358C"/>
    <w:rsid w:val="00A03704"/>
    <w:rsid w:val="00A05AD3"/>
    <w:rsid w:val="00A067D6"/>
    <w:rsid w:val="00A06AC7"/>
    <w:rsid w:val="00A07E05"/>
    <w:rsid w:val="00A11347"/>
    <w:rsid w:val="00A11C67"/>
    <w:rsid w:val="00A121F8"/>
    <w:rsid w:val="00A12961"/>
    <w:rsid w:val="00A13578"/>
    <w:rsid w:val="00A136AC"/>
    <w:rsid w:val="00A13885"/>
    <w:rsid w:val="00A144CF"/>
    <w:rsid w:val="00A169B4"/>
    <w:rsid w:val="00A16BE6"/>
    <w:rsid w:val="00A16CD8"/>
    <w:rsid w:val="00A17635"/>
    <w:rsid w:val="00A178DF"/>
    <w:rsid w:val="00A20C92"/>
    <w:rsid w:val="00A214BF"/>
    <w:rsid w:val="00A227F2"/>
    <w:rsid w:val="00A22AC0"/>
    <w:rsid w:val="00A240B1"/>
    <w:rsid w:val="00A241BD"/>
    <w:rsid w:val="00A260E7"/>
    <w:rsid w:val="00A26872"/>
    <w:rsid w:val="00A2777E"/>
    <w:rsid w:val="00A3103A"/>
    <w:rsid w:val="00A31268"/>
    <w:rsid w:val="00A314FD"/>
    <w:rsid w:val="00A31E8F"/>
    <w:rsid w:val="00A34384"/>
    <w:rsid w:val="00A3580A"/>
    <w:rsid w:val="00A4062B"/>
    <w:rsid w:val="00A40AF3"/>
    <w:rsid w:val="00A41E37"/>
    <w:rsid w:val="00A41FC7"/>
    <w:rsid w:val="00A44EB9"/>
    <w:rsid w:val="00A458F0"/>
    <w:rsid w:val="00A46A67"/>
    <w:rsid w:val="00A474F8"/>
    <w:rsid w:val="00A51CC9"/>
    <w:rsid w:val="00A51EF6"/>
    <w:rsid w:val="00A52763"/>
    <w:rsid w:val="00A52964"/>
    <w:rsid w:val="00A541BB"/>
    <w:rsid w:val="00A55448"/>
    <w:rsid w:val="00A60DA6"/>
    <w:rsid w:val="00A637DD"/>
    <w:rsid w:val="00A64907"/>
    <w:rsid w:val="00A65EA6"/>
    <w:rsid w:val="00A7178F"/>
    <w:rsid w:val="00A72D91"/>
    <w:rsid w:val="00A73D4B"/>
    <w:rsid w:val="00A7461E"/>
    <w:rsid w:val="00A748A3"/>
    <w:rsid w:val="00A750C2"/>
    <w:rsid w:val="00A7535A"/>
    <w:rsid w:val="00A761FA"/>
    <w:rsid w:val="00A771C0"/>
    <w:rsid w:val="00A80CA4"/>
    <w:rsid w:val="00A81192"/>
    <w:rsid w:val="00A81297"/>
    <w:rsid w:val="00A82A72"/>
    <w:rsid w:val="00A82D89"/>
    <w:rsid w:val="00A85A08"/>
    <w:rsid w:val="00A86724"/>
    <w:rsid w:val="00A8672D"/>
    <w:rsid w:val="00A8722F"/>
    <w:rsid w:val="00A90B0E"/>
    <w:rsid w:val="00A90B93"/>
    <w:rsid w:val="00A92E1D"/>
    <w:rsid w:val="00A94DF7"/>
    <w:rsid w:val="00A94F1D"/>
    <w:rsid w:val="00A95810"/>
    <w:rsid w:val="00A959BE"/>
    <w:rsid w:val="00A95DA6"/>
    <w:rsid w:val="00A97006"/>
    <w:rsid w:val="00A97DC2"/>
    <w:rsid w:val="00AA0305"/>
    <w:rsid w:val="00AA1E55"/>
    <w:rsid w:val="00AA2A15"/>
    <w:rsid w:val="00AA2A96"/>
    <w:rsid w:val="00AA2B71"/>
    <w:rsid w:val="00AA42A7"/>
    <w:rsid w:val="00AA50D5"/>
    <w:rsid w:val="00AA535B"/>
    <w:rsid w:val="00AA5A19"/>
    <w:rsid w:val="00AA5DC3"/>
    <w:rsid w:val="00AA69B3"/>
    <w:rsid w:val="00AA714E"/>
    <w:rsid w:val="00AB1C8B"/>
    <w:rsid w:val="00AB1FE3"/>
    <w:rsid w:val="00AB4B80"/>
    <w:rsid w:val="00AB6DC5"/>
    <w:rsid w:val="00AB7678"/>
    <w:rsid w:val="00AC014E"/>
    <w:rsid w:val="00AC238D"/>
    <w:rsid w:val="00AC4B7F"/>
    <w:rsid w:val="00AC7238"/>
    <w:rsid w:val="00AC7BEB"/>
    <w:rsid w:val="00AC7C05"/>
    <w:rsid w:val="00AD162D"/>
    <w:rsid w:val="00AD16E4"/>
    <w:rsid w:val="00AD2189"/>
    <w:rsid w:val="00AD2C02"/>
    <w:rsid w:val="00AD31A9"/>
    <w:rsid w:val="00AD5287"/>
    <w:rsid w:val="00AD56FC"/>
    <w:rsid w:val="00AD6CF5"/>
    <w:rsid w:val="00AD7847"/>
    <w:rsid w:val="00AE097A"/>
    <w:rsid w:val="00AE1B5A"/>
    <w:rsid w:val="00AE2151"/>
    <w:rsid w:val="00AE249D"/>
    <w:rsid w:val="00AE31B0"/>
    <w:rsid w:val="00AE3EC0"/>
    <w:rsid w:val="00AE6FC4"/>
    <w:rsid w:val="00AF0479"/>
    <w:rsid w:val="00AF1CA1"/>
    <w:rsid w:val="00AF26A2"/>
    <w:rsid w:val="00AF2A47"/>
    <w:rsid w:val="00AF3D4F"/>
    <w:rsid w:val="00AF3DFB"/>
    <w:rsid w:val="00AF411C"/>
    <w:rsid w:val="00AF4B64"/>
    <w:rsid w:val="00AF4E2A"/>
    <w:rsid w:val="00AF6AA2"/>
    <w:rsid w:val="00AF7665"/>
    <w:rsid w:val="00AF7EC6"/>
    <w:rsid w:val="00B003D0"/>
    <w:rsid w:val="00B01B51"/>
    <w:rsid w:val="00B02211"/>
    <w:rsid w:val="00B032DE"/>
    <w:rsid w:val="00B03333"/>
    <w:rsid w:val="00B033B6"/>
    <w:rsid w:val="00B0379D"/>
    <w:rsid w:val="00B0406A"/>
    <w:rsid w:val="00B06228"/>
    <w:rsid w:val="00B06841"/>
    <w:rsid w:val="00B06B03"/>
    <w:rsid w:val="00B0750C"/>
    <w:rsid w:val="00B07DB6"/>
    <w:rsid w:val="00B105BC"/>
    <w:rsid w:val="00B113E5"/>
    <w:rsid w:val="00B1162D"/>
    <w:rsid w:val="00B14C06"/>
    <w:rsid w:val="00B153F0"/>
    <w:rsid w:val="00B1570D"/>
    <w:rsid w:val="00B162A3"/>
    <w:rsid w:val="00B17ECC"/>
    <w:rsid w:val="00B23398"/>
    <w:rsid w:val="00B23862"/>
    <w:rsid w:val="00B245B0"/>
    <w:rsid w:val="00B26E56"/>
    <w:rsid w:val="00B31879"/>
    <w:rsid w:val="00B3311C"/>
    <w:rsid w:val="00B33125"/>
    <w:rsid w:val="00B34A3B"/>
    <w:rsid w:val="00B355C5"/>
    <w:rsid w:val="00B3673D"/>
    <w:rsid w:val="00B372A6"/>
    <w:rsid w:val="00B44C6C"/>
    <w:rsid w:val="00B4757F"/>
    <w:rsid w:val="00B5187A"/>
    <w:rsid w:val="00B51B8E"/>
    <w:rsid w:val="00B5229A"/>
    <w:rsid w:val="00B52E33"/>
    <w:rsid w:val="00B54017"/>
    <w:rsid w:val="00B546C1"/>
    <w:rsid w:val="00B55CD1"/>
    <w:rsid w:val="00B605F9"/>
    <w:rsid w:val="00B61C67"/>
    <w:rsid w:val="00B61CD2"/>
    <w:rsid w:val="00B6314D"/>
    <w:rsid w:val="00B64BD8"/>
    <w:rsid w:val="00B6599B"/>
    <w:rsid w:val="00B66AD4"/>
    <w:rsid w:val="00B70EFF"/>
    <w:rsid w:val="00B713DA"/>
    <w:rsid w:val="00B71654"/>
    <w:rsid w:val="00B71BA2"/>
    <w:rsid w:val="00B727C2"/>
    <w:rsid w:val="00B738C7"/>
    <w:rsid w:val="00B747AC"/>
    <w:rsid w:val="00B75E1D"/>
    <w:rsid w:val="00B77124"/>
    <w:rsid w:val="00B800C1"/>
    <w:rsid w:val="00B8023E"/>
    <w:rsid w:val="00B82106"/>
    <w:rsid w:val="00B82526"/>
    <w:rsid w:val="00B825EB"/>
    <w:rsid w:val="00B82809"/>
    <w:rsid w:val="00B87915"/>
    <w:rsid w:val="00B9084D"/>
    <w:rsid w:val="00B91224"/>
    <w:rsid w:val="00B91420"/>
    <w:rsid w:val="00B92DEC"/>
    <w:rsid w:val="00B9525A"/>
    <w:rsid w:val="00BA015D"/>
    <w:rsid w:val="00BA064C"/>
    <w:rsid w:val="00BA08F9"/>
    <w:rsid w:val="00BA0C85"/>
    <w:rsid w:val="00BA1B22"/>
    <w:rsid w:val="00BA4091"/>
    <w:rsid w:val="00BA4735"/>
    <w:rsid w:val="00BA54D5"/>
    <w:rsid w:val="00BA5C09"/>
    <w:rsid w:val="00BA6451"/>
    <w:rsid w:val="00BB2C0B"/>
    <w:rsid w:val="00BB2DB8"/>
    <w:rsid w:val="00BB3A50"/>
    <w:rsid w:val="00BB4D9B"/>
    <w:rsid w:val="00BB56BA"/>
    <w:rsid w:val="00BB6038"/>
    <w:rsid w:val="00BB647C"/>
    <w:rsid w:val="00BB7E31"/>
    <w:rsid w:val="00BC03D5"/>
    <w:rsid w:val="00BC0C83"/>
    <w:rsid w:val="00BC33E7"/>
    <w:rsid w:val="00BC5A0A"/>
    <w:rsid w:val="00BC61B1"/>
    <w:rsid w:val="00BC74B2"/>
    <w:rsid w:val="00BD1F16"/>
    <w:rsid w:val="00BD201F"/>
    <w:rsid w:val="00BD27A9"/>
    <w:rsid w:val="00BD2D4D"/>
    <w:rsid w:val="00BD55D3"/>
    <w:rsid w:val="00BD787F"/>
    <w:rsid w:val="00BD7E26"/>
    <w:rsid w:val="00BE00F2"/>
    <w:rsid w:val="00BE209A"/>
    <w:rsid w:val="00BE2293"/>
    <w:rsid w:val="00BE2455"/>
    <w:rsid w:val="00BE24AF"/>
    <w:rsid w:val="00BE37DF"/>
    <w:rsid w:val="00BE37E1"/>
    <w:rsid w:val="00BE3B29"/>
    <w:rsid w:val="00BE4B28"/>
    <w:rsid w:val="00BE4ED0"/>
    <w:rsid w:val="00BE57F6"/>
    <w:rsid w:val="00BE6E5D"/>
    <w:rsid w:val="00BE7220"/>
    <w:rsid w:val="00BF021D"/>
    <w:rsid w:val="00BF27CA"/>
    <w:rsid w:val="00BF2D80"/>
    <w:rsid w:val="00BF2DF2"/>
    <w:rsid w:val="00BF32A0"/>
    <w:rsid w:val="00BF34A5"/>
    <w:rsid w:val="00BF3563"/>
    <w:rsid w:val="00BF3828"/>
    <w:rsid w:val="00BF3FDC"/>
    <w:rsid w:val="00BF4F4D"/>
    <w:rsid w:val="00BF5144"/>
    <w:rsid w:val="00BF5E9D"/>
    <w:rsid w:val="00C00747"/>
    <w:rsid w:val="00C01116"/>
    <w:rsid w:val="00C02336"/>
    <w:rsid w:val="00C04254"/>
    <w:rsid w:val="00C043A7"/>
    <w:rsid w:val="00C044F1"/>
    <w:rsid w:val="00C045C5"/>
    <w:rsid w:val="00C050D3"/>
    <w:rsid w:val="00C10374"/>
    <w:rsid w:val="00C12840"/>
    <w:rsid w:val="00C13480"/>
    <w:rsid w:val="00C1593D"/>
    <w:rsid w:val="00C172E3"/>
    <w:rsid w:val="00C217D7"/>
    <w:rsid w:val="00C21910"/>
    <w:rsid w:val="00C22372"/>
    <w:rsid w:val="00C22791"/>
    <w:rsid w:val="00C22C69"/>
    <w:rsid w:val="00C244FF"/>
    <w:rsid w:val="00C268EB"/>
    <w:rsid w:val="00C26F67"/>
    <w:rsid w:val="00C27FC3"/>
    <w:rsid w:val="00C33D51"/>
    <w:rsid w:val="00C34065"/>
    <w:rsid w:val="00C359B6"/>
    <w:rsid w:val="00C35BF3"/>
    <w:rsid w:val="00C3670D"/>
    <w:rsid w:val="00C40AC1"/>
    <w:rsid w:val="00C41370"/>
    <w:rsid w:val="00C41B9B"/>
    <w:rsid w:val="00C41EED"/>
    <w:rsid w:val="00C442B6"/>
    <w:rsid w:val="00C456DD"/>
    <w:rsid w:val="00C459A1"/>
    <w:rsid w:val="00C47A2B"/>
    <w:rsid w:val="00C5096F"/>
    <w:rsid w:val="00C50CC6"/>
    <w:rsid w:val="00C5302D"/>
    <w:rsid w:val="00C531C8"/>
    <w:rsid w:val="00C53549"/>
    <w:rsid w:val="00C53F30"/>
    <w:rsid w:val="00C5403F"/>
    <w:rsid w:val="00C55956"/>
    <w:rsid w:val="00C55CDD"/>
    <w:rsid w:val="00C5787F"/>
    <w:rsid w:val="00C57E44"/>
    <w:rsid w:val="00C60E71"/>
    <w:rsid w:val="00C61A6F"/>
    <w:rsid w:val="00C62F4A"/>
    <w:rsid w:val="00C6318D"/>
    <w:rsid w:val="00C633FF"/>
    <w:rsid w:val="00C634DB"/>
    <w:rsid w:val="00C63883"/>
    <w:rsid w:val="00C63EC3"/>
    <w:rsid w:val="00C64E67"/>
    <w:rsid w:val="00C66506"/>
    <w:rsid w:val="00C70641"/>
    <w:rsid w:val="00C7086B"/>
    <w:rsid w:val="00C72EF0"/>
    <w:rsid w:val="00C7318D"/>
    <w:rsid w:val="00C735FB"/>
    <w:rsid w:val="00C74444"/>
    <w:rsid w:val="00C74CC2"/>
    <w:rsid w:val="00C76487"/>
    <w:rsid w:val="00C77322"/>
    <w:rsid w:val="00C77ACD"/>
    <w:rsid w:val="00C80D21"/>
    <w:rsid w:val="00C81584"/>
    <w:rsid w:val="00C82AAA"/>
    <w:rsid w:val="00C82FC1"/>
    <w:rsid w:val="00C83726"/>
    <w:rsid w:val="00C85536"/>
    <w:rsid w:val="00C9070B"/>
    <w:rsid w:val="00C9240D"/>
    <w:rsid w:val="00C95690"/>
    <w:rsid w:val="00C95ACC"/>
    <w:rsid w:val="00C96565"/>
    <w:rsid w:val="00C975F3"/>
    <w:rsid w:val="00C9766A"/>
    <w:rsid w:val="00C9795B"/>
    <w:rsid w:val="00CA1310"/>
    <w:rsid w:val="00CA27D5"/>
    <w:rsid w:val="00CA3336"/>
    <w:rsid w:val="00CA3630"/>
    <w:rsid w:val="00CA49A2"/>
    <w:rsid w:val="00CA4D80"/>
    <w:rsid w:val="00CA552A"/>
    <w:rsid w:val="00CA55AC"/>
    <w:rsid w:val="00CA5BF7"/>
    <w:rsid w:val="00CA5DA4"/>
    <w:rsid w:val="00CA6831"/>
    <w:rsid w:val="00CA683E"/>
    <w:rsid w:val="00CA6BF3"/>
    <w:rsid w:val="00CB0179"/>
    <w:rsid w:val="00CB0C87"/>
    <w:rsid w:val="00CB2278"/>
    <w:rsid w:val="00CB27F5"/>
    <w:rsid w:val="00CB354D"/>
    <w:rsid w:val="00CB4532"/>
    <w:rsid w:val="00CB6BD8"/>
    <w:rsid w:val="00CB74C1"/>
    <w:rsid w:val="00CC0031"/>
    <w:rsid w:val="00CC073A"/>
    <w:rsid w:val="00CC1B2D"/>
    <w:rsid w:val="00CC2C4F"/>
    <w:rsid w:val="00CC3DC5"/>
    <w:rsid w:val="00CC3FDF"/>
    <w:rsid w:val="00CC60B9"/>
    <w:rsid w:val="00CD0CB3"/>
    <w:rsid w:val="00CD0EA0"/>
    <w:rsid w:val="00CD1628"/>
    <w:rsid w:val="00CD2712"/>
    <w:rsid w:val="00CD35A0"/>
    <w:rsid w:val="00CD41EE"/>
    <w:rsid w:val="00CD476F"/>
    <w:rsid w:val="00CD664F"/>
    <w:rsid w:val="00CD7888"/>
    <w:rsid w:val="00CD7C95"/>
    <w:rsid w:val="00CE3D5E"/>
    <w:rsid w:val="00CE49E7"/>
    <w:rsid w:val="00CE642E"/>
    <w:rsid w:val="00CE7F7E"/>
    <w:rsid w:val="00CF034B"/>
    <w:rsid w:val="00CF191E"/>
    <w:rsid w:val="00CF32E9"/>
    <w:rsid w:val="00CF345C"/>
    <w:rsid w:val="00CF4E94"/>
    <w:rsid w:val="00CF56C1"/>
    <w:rsid w:val="00CF75BA"/>
    <w:rsid w:val="00D0100E"/>
    <w:rsid w:val="00D010E3"/>
    <w:rsid w:val="00D01A19"/>
    <w:rsid w:val="00D02E90"/>
    <w:rsid w:val="00D0482D"/>
    <w:rsid w:val="00D05810"/>
    <w:rsid w:val="00D06560"/>
    <w:rsid w:val="00D06F9D"/>
    <w:rsid w:val="00D10925"/>
    <w:rsid w:val="00D109E1"/>
    <w:rsid w:val="00D15ADE"/>
    <w:rsid w:val="00D17920"/>
    <w:rsid w:val="00D20416"/>
    <w:rsid w:val="00D20CCF"/>
    <w:rsid w:val="00D21942"/>
    <w:rsid w:val="00D22059"/>
    <w:rsid w:val="00D22717"/>
    <w:rsid w:val="00D22B65"/>
    <w:rsid w:val="00D23682"/>
    <w:rsid w:val="00D23E55"/>
    <w:rsid w:val="00D30BD9"/>
    <w:rsid w:val="00D30C9F"/>
    <w:rsid w:val="00D31275"/>
    <w:rsid w:val="00D3196B"/>
    <w:rsid w:val="00D324FC"/>
    <w:rsid w:val="00D333C1"/>
    <w:rsid w:val="00D35F36"/>
    <w:rsid w:val="00D378DF"/>
    <w:rsid w:val="00D37F5C"/>
    <w:rsid w:val="00D41322"/>
    <w:rsid w:val="00D42B0C"/>
    <w:rsid w:val="00D4656B"/>
    <w:rsid w:val="00D46A34"/>
    <w:rsid w:val="00D47AC5"/>
    <w:rsid w:val="00D5090D"/>
    <w:rsid w:val="00D5113F"/>
    <w:rsid w:val="00D52351"/>
    <w:rsid w:val="00D53A5E"/>
    <w:rsid w:val="00D56336"/>
    <w:rsid w:val="00D56BA7"/>
    <w:rsid w:val="00D576E9"/>
    <w:rsid w:val="00D5781D"/>
    <w:rsid w:val="00D601B2"/>
    <w:rsid w:val="00D617EF"/>
    <w:rsid w:val="00D62ECD"/>
    <w:rsid w:val="00D65CF2"/>
    <w:rsid w:val="00D6682C"/>
    <w:rsid w:val="00D66CF8"/>
    <w:rsid w:val="00D66DB5"/>
    <w:rsid w:val="00D67F9B"/>
    <w:rsid w:val="00D7008D"/>
    <w:rsid w:val="00D7086E"/>
    <w:rsid w:val="00D70C49"/>
    <w:rsid w:val="00D70F3A"/>
    <w:rsid w:val="00D71EDD"/>
    <w:rsid w:val="00D72BEF"/>
    <w:rsid w:val="00D72C62"/>
    <w:rsid w:val="00D73886"/>
    <w:rsid w:val="00D76AB8"/>
    <w:rsid w:val="00D772B3"/>
    <w:rsid w:val="00D77A52"/>
    <w:rsid w:val="00D81B58"/>
    <w:rsid w:val="00D81C14"/>
    <w:rsid w:val="00D832D5"/>
    <w:rsid w:val="00D83376"/>
    <w:rsid w:val="00D84B5D"/>
    <w:rsid w:val="00D84FB7"/>
    <w:rsid w:val="00D853FF"/>
    <w:rsid w:val="00D8705F"/>
    <w:rsid w:val="00D87A07"/>
    <w:rsid w:val="00D9104A"/>
    <w:rsid w:val="00D92A15"/>
    <w:rsid w:val="00D934FF"/>
    <w:rsid w:val="00D939A5"/>
    <w:rsid w:val="00D943DD"/>
    <w:rsid w:val="00D957C0"/>
    <w:rsid w:val="00D95E10"/>
    <w:rsid w:val="00D965FE"/>
    <w:rsid w:val="00DA0546"/>
    <w:rsid w:val="00DA1332"/>
    <w:rsid w:val="00DA377B"/>
    <w:rsid w:val="00DA48F6"/>
    <w:rsid w:val="00DA5238"/>
    <w:rsid w:val="00DA53C1"/>
    <w:rsid w:val="00DA5621"/>
    <w:rsid w:val="00DA5B67"/>
    <w:rsid w:val="00DA7EAA"/>
    <w:rsid w:val="00DA7ECD"/>
    <w:rsid w:val="00DB09E4"/>
    <w:rsid w:val="00DB2D17"/>
    <w:rsid w:val="00DB5E4D"/>
    <w:rsid w:val="00DB5F9F"/>
    <w:rsid w:val="00DB6D1F"/>
    <w:rsid w:val="00DC11CB"/>
    <w:rsid w:val="00DC13EA"/>
    <w:rsid w:val="00DC1BB7"/>
    <w:rsid w:val="00DC3ADA"/>
    <w:rsid w:val="00DC42F5"/>
    <w:rsid w:val="00DC4A0B"/>
    <w:rsid w:val="00DC4D66"/>
    <w:rsid w:val="00DC73B8"/>
    <w:rsid w:val="00DC78F4"/>
    <w:rsid w:val="00DD026E"/>
    <w:rsid w:val="00DD1715"/>
    <w:rsid w:val="00DD2C4D"/>
    <w:rsid w:val="00DD35FE"/>
    <w:rsid w:val="00DD37BF"/>
    <w:rsid w:val="00DD4340"/>
    <w:rsid w:val="00DD44AD"/>
    <w:rsid w:val="00DD45F6"/>
    <w:rsid w:val="00DD5596"/>
    <w:rsid w:val="00DD5A7F"/>
    <w:rsid w:val="00DD63AB"/>
    <w:rsid w:val="00DD6B23"/>
    <w:rsid w:val="00DD7F99"/>
    <w:rsid w:val="00DE1E06"/>
    <w:rsid w:val="00DE23EA"/>
    <w:rsid w:val="00DE342A"/>
    <w:rsid w:val="00DE43BD"/>
    <w:rsid w:val="00DE48C3"/>
    <w:rsid w:val="00DE493A"/>
    <w:rsid w:val="00DE5099"/>
    <w:rsid w:val="00DE58AE"/>
    <w:rsid w:val="00DE5F66"/>
    <w:rsid w:val="00DE7190"/>
    <w:rsid w:val="00DF1157"/>
    <w:rsid w:val="00DF178D"/>
    <w:rsid w:val="00DF2711"/>
    <w:rsid w:val="00DF2E2D"/>
    <w:rsid w:val="00DF38C7"/>
    <w:rsid w:val="00DF3C26"/>
    <w:rsid w:val="00DF4392"/>
    <w:rsid w:val="00DF4C57"/>
    <w:rsid w:val="00DF4E1F"/>
    <w:rsid w:val="00DF69A1"/>
    <w:rsid w:val="00DF6AC8"/>
    <w:rsid w:val="00DF6DE1"/>
    <w:rsid w:val="00DF752E"/>
    <w:rsid w:val="00E0035B"/>
    <w:rsid w:val="00E00956"/>
    <w:rsid w:val="00E011B3"/>
    <w:rsid w:val="00E01A14"/>
    <w:rsid w:val="00E01A51"/>
    <w:rsid w:val="00E02EE2"/>
    <w:rsid w:val="00E02FCB"/>
    <w:rsid w:val="00E02FDE"/>
    <w:rsid w:val="00E04B3B"/>
    <w:rsid w:val="00E04D61"/>
    <w:rsid w:val="00E05109"/>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0670"/>
    <w:rsid w:val="00E21AF8"/>
    <w:rsid w:val="00E222FF"/>
    <w:rsid w:val="00E245F0"/>
    <w:rsid w:val="00E24BA5"/>
    <w:rsid w:val="00E2566D"/>
    <w:rsid w:val="00E25CD4"/>
    <w:rsid w:val="00E27820"/>
    <w:rsid w:val="00E304B3"/>
    <w:rsid w:val="00E32827"/>
    <w:rsid w:val="00E329AF"/>
    <w:rsid w:val="00E342B0"/>
    <w:rsid w:val="00E350B7"/>
    <w:rsid w:val="00E356BA"/>
    <w:rsid w:val="00E37CFA"/>
    <w:rsid w:val="00E37D1E"/>
    <w:rsid w:val="00E40979"/>
    <w:rsid w:val="00E415E0"/>
    <w:rsid w:val="00E41BE7"/>
    <w:rsid w:val="00E435B7"/>
    <w:rsid w:val="00E43A26"/>
    <w:rsid w:val="00E466D8"/>
    <w:rsid w:val="00E46AF2"/>
    <w:rsid w:val="00E47557"/>
    <w:rsid w:val="00E503F7"/>
    <w:rsid w:val="00E551CF"/>
    <w:rsid w:val="00E5543F"/>
    <w:rsid w:val="00E6140D"/>
    <w:rsid w:val="00E61F52"/>
    <w:rsid w:val="00E6414B"/>
    <w:rsid w:val="00E64851"/>
    <w:rsid w:val="00E65049"/>
    <w:rsid w:val="00E67C51"/>
    <w:rsid w:val="00E70BD3"/>
    <w:rsid w:val="00E71783"/>
    <w:rsid w:val="00E71967"/>
    <w:rsid w:val="00E7237E"/>
    <w:rsid w:val="00E72A5A"/>
    <w:rsid w:val="00E72D5C"/>
    <w:rsid w:val="00E735B1"/>
    <w:rsid w:val="00E73BE0"/>
    <w:rsid w:val="00E741ED"/>
    <w:rsid w:val="00E770AD"/>
    <w:rsid w:val="00E77FD2"/>
    <w:rsid w:val="00E81DCB"/>
    <w:rsid w:val="00E85206"/>
    <w:rsid w:val="00E909F7"/>
    <w:rsid w:val="00E90B31"/>
    <w:rsid w:val="00E90BDF"/>
    <w:rsid w:val="00E929ED"/>
    <w:rsid w:val="00E940AC"/>
    <w:rsid w:val="00E94B86"/>
    <w:rsid w:val="00E94F36"/>
    <w:rsid w:val="00E95883"/>
    <w:rsid w:val="00EA258A"/>
    <w:rsid w:val="00EA447E"/>
    <w:rsid w:val="00EA46A3"/>
    <w:rsid w:val="00EA4DBC"/>
    <w:rsid w:val="00EA50AB"/>
    <w:rsid w:val="00EA5B35"/>
    <w:rsid w:val="00EA7CBA"/>
    <w:rsid w:val="00EB037F"/>
    <w:rsid w:val="00EB10EA"/>
    <w:rsid w:val="00EB1595"/>
    <w:rsid w:val="00EB3175"/>
    <w:rsid w:val="00EB31AB"/>
    <w:rsid w:val="00EB3AB2"/>
    <w:rsid w:val="00EB4EFE"/>
    <w:rsid w:val="00EB5751"/>
    <w:rsid w:val="00EC175E"/>
    <w:rsid w:val="00EC22D7"/>
    <w:rsid w:val="00EC245A"/>
    <w:rsid w:val="00EC32D8"/>
    <w:rsid w:val="00EC4BAE"/>
    <w:rsid w:val="00EC5B7C"/>
    <w:rsid w:val="00EC5D37"/>
    <w:rsid w:val="00EC6A3F"/>
    <w:rsid w:val="00ED012C"/>
    <w:rsid w:val="00ED2391"/>
    <w:rsid w:val="00ED3DA3"/>
    <w:rsid w:val="00EE3FEE"/>
    <w:rsid w:val="00EE6411"/>
    <w:rsid w:val="00EE66C7"/>
    <w:rsid w:val="00EE6B2F"/>
    <w:rsid w:val="00EE70C3"/>
    <w:rsid w:val="00EE746C"/>
    <w:rsid w:val="00EF02F8"/>
    <w:rsid w:val="00EF0400"/>
    <w:rsid w:val="00EF2516"/>
    <w:rsid w:val="00EF5730"/>
    <w:rsid w:val="00EF5C83"/>
    <w:rsid w:val="00EF6000"/>
    <w:rsid w:val="00EF7D7A"/>
    <w:rsid w:val="00F002B2"/>
    <w:rsid w:val="00F00AC2"/>
    <w:rsid w:val="00F01C27"/>
    <w:rsid w:val="00F0204B"/>
    <w:rsid w:val="00F02751"/>
    <w:rsid w:val="00F02DFF"/>
    <w:rsid w:val="00F03B3D"/>
    <w:rsid w:val="00F05177"/>
    <w:rsid w:val="00F0601A"/>
    <w:rsid w:val="00F0611D"/>
    <w:rsid w:val="00F0724E"/>
    <w:rsid w:val="00F12FA2"/>
    <w:rsid w:val="00F147C3"/>
    <w:rsid w:val="00F14C67"/>
    <w:rsid w:val="00F15518"/>
    <w:rsid w:val="00F172FD"/>
    <w:rsid w:val="00F17616"/>
    <w:rsid w:val="00F22E5F"/>
    <w:rsid w:val="00F233B0"/>
    <w:rsid w:val="00F24E5E"/>
    <w:rsid w:val="00F25D76"/>
    <w:rsid w:val="00F26DA9"/>
    <w:rsid w:val="00F271F8"/>
    <w:rsid w:val="00F318AD"/>
    <w:rsid w:val="00F31D64"/>
    <w:rsid w:val="00F32BC3"/>
    <w:rsid w:val="00F33537"/>
    <w:rsid w:val="00F33736"/>
    <w:rsid w:val="00F33B09"/>
    <w:rsid w:val="00F3434E"/>
    <w:rsid w:val="00F34D18"/>
    <w:rsid w:val="00F34D41"/>
    <w:rsid w:val="00F358FC"/>
    <w:rsid w:val="00F35AE8"/>
    <w:rsid w:val="00F36D4A"/>
    <w:rsid w:val="00F376EB"/>
    <w:rsid w:val="00F37FE5"/>
    <w:rsid w:val="00F40EC2"/>
    <w:rsid w:val="00F40EFA"/>
    <w:rsid w:val="00F41545"/>
    <w:rsid w:val="00F41EEA"/>
    <w:rsid w:val="00F4341D"/>
    <w:rsid w:val="00F43B25"/>
    <w:rsid w:val="00F4545C"/>
    <w:rsid w:val="00F45E80"/>
    <w:rsid w:val="00F50177"/>
    <w:rsid w:val="00F50DB0"/>
    <w:rsid w:val="00F51132"/>
    <w:rsid w:val="00F51C85"/>
    <w:rsid w:val="00F51CC5"/>
    <w:rsid w:val="00F51F90"/>
    <w:rsid w:val="00F53ADE"/>
    <w:rsid w:val="00F55F38"/>
    <w:rsid w:val="00F567BF"/>
    <w:rsid w:val="00F56AC0"/>
    <w:rsid w:val="00F56F0E"/>
    <w:rsid w:val="00F56F47"/>
    <w:rsid w:val="00F57335"/>
    <w:rsid w:val="00F57A39"/>
    <w:rsid w:val="00F607D9"/>
    <w:rsid w:val="00F61F72"/>
    <w:rsid w:val="00F62680"/>
    <w:rsid w:val="00F63723"/>
    <w:rsid w:val="00F63BA4"/>
    <w:rsid w:val="00F65E9E"/>
    <w:rsid w:val="00F7025D"/>
    <w:rsid w:val="00F71C19"/>
    <w:rsid w:val="00F72085"/>
    <w:rsid w:val="00F73FF5"/>
    <w:rsid w:val="00F74EFB"/>
    <w:rsid w:val="00F76F54"/>
    <w:rsid w:val="00F7712A"/>
    <w:rsid w:val="00F777E4"/>
    <w:rsid w:val="00F77955"/>
    <w:rsid w:val="00F803F8"/>
    <w:rsid w:val="00F8144D"/>
    <w:rsid w:val="00F82B0E"/>
    <w:rsid w:val="00F83CD6"/>
    <w:rsid w:val="00F8415B"/>
    <w:rsid w:val="00F84424"/>
    <w:rsid w:val="00F869F8"/>
    <w:rsid w:val="00F86B46"/>
    <w:rsid w:val="00F86BE3"/>
    <w:rsid w:val="00F90EFD"/>
    <w:rsid w:val="00F926D8"/>
    <w:rsid w:val="00F93F4C"/>
    <w:rsid w:val="00F9535B"/>
    <w:rsid w:val="00F95DE8"/>
    <w:rsid w:val="00F962C7"/>
    <w:rsid w:val="00F96FD2"/>
    <w:rsid w:val="00F9780A"/>
    <w:rsid w:val="00FA06AC"/>
    <w:rsid w:val="00FA0E40"/>
    <w:rsid w:val="00FA13F8"/>
    <w:rsid w:val="00FA1906"/>
    <w:rsid w:val="00FA2069"/>
    <w:rsid w:val="00FA265E"/>
    <w:rsid w:val="00FA2EC0"/>
    <w:rsid w:val="00FA31AD"/>
    <w:rsid w:val="00FA3F1F"/>
    <w:rsid w:val="00FA47E1"/>
    <w:rsid w:val="00FA4EA3"/>
    <w:rsid w:val="00FA5C4B"/>
    <w:rsid w:val="00FB0933"/>
    <w:rsid w:val="00FB13E0"/>
    <w:rsid w:val="00FB1EC5"/>
    <w:rsid w:val="00FB38D6"/>
    <w:rsid w:val="00FB453A"/>
    <w:rsid w:val="00FB4A22"/>
    <w:rsid w:val="00FB4CA8"/>
    <w:rsid w:val="00FB5EBA"/>
    <w:rsid w:val="00FB6B34"/>
    <w:rsid w:val="00FC07C4"/>
    <w:rsid w:val="00FC1284"/>
    <w:rsid w:val="00FC1619"/>
    <w:rsid w:val="00FC19E8"/>
    <w:rsid w:val="00FC22CF"/>
    <w:rsid w:val="00FC3B31"/>
    <w:rsid w:val="00FC43D1"/>
    <w:rsid w:val="00FC4541"/>
    <w:rsid w:val="00FC5866"/>
    <w:rsid w:val="00FC5B63"/>
    <w:rsid w:val="00FC5E53"/>
    <w:rsid w:val="00FC6209"/>
    <w:rsid w:val="00FD0BDA"/>
    <w:rsid w:val="00FD3EB9"/>
    <w:rsid w:val="00FD4975"/>
    <w:rsid w:val="00FD4992"/>
    <w:rsid w:val="00FD5BDD"/>
    <w:rsid w:val="00FD79FF"/>
    <w:rsid w:val="00FE297B"/>
    <w:rsid w:val="00FE3880"/>
    <w:rsid w:val="00FE4521"/>
    <w:rsid w:val="00FE47DF"/>
    <w:rsid w:val="00FE7555"/>
    <w:rsid w:val="00FE75DD"/>
    <w:rsid w:val="00FF0C5F"/>
    <w:rsid w:val="00FF0CC1"/>
    <w:rsid w:val="00FF1A89"/>
    <w:rsid w:val="00FF253E"/>
    <w:rsid w:val="00FF274C"/>
    <w:rsid w:val="00FF2B67"/>
    <w:rsid w:val="00FF354D"/>
    <w:rsid w:val="00FF45D1"/>
    <w:rsid w:val="00FF4718"/>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uiPriority w:val="99"/>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uiPriority w:val="99"/>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2">
    <w:name w:val="Chapter 2"/>
    <w:basedOn w:val="Normal"/>
    <w:link w:val="Chapter2Char"/>
    <w:rsid w:val="005933EB"/>
    <w:pPr>
      <w:numPr>
        <w:numId w:val="7"/>
      </w:numPr>
      <w:spacing w:after="0" w:line="240" w:lineRule="auto"/>
      <w:jc w:val="both"/>
    </w:pPr>
    <w:rPr>
      <w:rFonts w:ascii="Times New Roman" w:hAnsi="Times New Roman"/>
      <w:snapToGrid w:val="0"/>
      <w:sz w:val="24"/>
      <w:lang w:val="en-NZ" w:eastAsia="en-US"/>
    </w:rPr>
  </w:style>
  <w:style w:type="character" w:customStyle="1" w:styleId="Chapter2Char">
    <w:name w:val="Chapter 2 Char"/>
    <w:basedOn w:val="DefaultParagraphFont"/>
    <w:link w:val="Chapter2"/>
    <w:rsid w:val="005933EB"/>
    <w:rPr>
      <w:snapToGrid w:val="0"/>
      <w:sz w:val="24"/>
      <w:lang w:eastAsia="en-US"/>
    </w:rPr>
  </w:style>
  <w:style w:type="paragraph" w:customStyle="1" w:styleId="Default">
    <w:name w:val="Default"/>
    <w:rsid w:val="00645BEF"/>
    <w:pPr>
      <w:autoSpaceDE w:val="0"/>
      <w:autoSpaceDN w:val="0"/>
      <w:adjustRightInd w:val="0"/>
    </w:pPr>
    <w:rPr>
      <w:rFonts w:ascii="Myriad Pro" w:hAnsi="Myriad Pro" w:cs="Myriad Pro"/>
      <w:color w:val="000000"/>
      <w:sz w:val="24"/>
      <w:szCs w:val="24"/>
    </w:rPr>
  </w:style>
  <w:style w:type="character" w:customStyle="1" w:styleId="A3">
    <w:name w:val="A3"/>
    <w:uiPriority w:val="99"/>
    <w:rsid w:val="00645BEF"/>
    <w:rPr>
      <w:rFonts w:cs="Myriad Pro"/>
      <w:color w:val="000000"/>
      <w:sz w:val="20"/>
      <w:szCs w:val="20"/>
    </w:rPr>
  </w:style>
  <w:style w:type="paragraph" w:customStyle="1" w:styleId="Chapter3">
    <w:name w:val="Chapter 3"/>
    <w:basedOn w:val="Chapter2"/>
    <w:link w:val="Chapter3Char1"/>
    <w:rsid w:val="00AA69B3"/>
    <w:pPr>
      <w:numPr>
        <w:numId w:val="9"/>
      </w:numPr>
    </w:pPr>
  </w:style>
  <w:style w:type="character" w:customStyle="1" w:styleId="Chapter3Char1">
    <w:name w:val="Chapter 3 Char1"/>
    <w:basedOn w:val="Chapter2Char"/>
    <w:link w:val="Chapter3"/>
    <w:rsid w:val="00AA69B3"/>
    <w:rPr>
      <w:snapToGrid w:val="0"/>
      <w:sz w:val="24"/>
      <w:lang w:eastAsia="en-US"/>
    </w:rPr>
  </w:style>
  <w:style w:type="paragraph" w:customStyle="1" w:styleId="Chapter4">
    <w:name w:val="Chapter 4"/>
    <w:basedOn w:val="Normal"/>
    <w:rsid w:val="00A7178F"/>
    <w:pPr>
      <w:numPr>
        <w:numId w:val="10"/>
      </w:numPr>
      <w:spacing w:after="0" w:line="240" w:lineRule="auto"/>
      <w:jc w:val="both"/>
    </w:pPr>
    <w:rPr>
      <w:rFonts w:ascii="Times New Roman" w:hAnsi="Times New Roman"/>
      <w:sz w:val="24"/>
      <w:lang w:val="en-NZ" w:eastAsia="en-AU"/>
    </w:rPr>
  </w:style>
  <w:style w:type="paragraph" w:styleId="Revision">
    <w:name w:val="Revision"/>
    <w:hidden/>
    <w:uiPriority w:val="99"/>
    <w:semiHidden/>
    <w:rsid w:val="00870670"/>
    <w:rPr>
      <w:rFonts w:ascii="Arial" w:hAnsi="Arial"/>
      <w:sz w:val="22"/>
      <w:lang w:val="en-GB" w:eastAsia="en-GB"/>
    </w:rPr>
  </w:style>
  <w:style w:type="paragraph" w:customStyle="1" w:styleId="TRNormal">
    <w:name w:val="_TRNormal"/>
    <w:link w:val="TRNormalChar"/>
    <w:rsid w:val="0094124B"/>
    <w:pPr>
      <w:spacing w:line="300" w:lineRule="atLeast"/>
      <w:jc w:val="both"/>
    </w:pPr>
    <w:rPr>
      <w:sz w:val="24"/>
      <w:lang w:eastAsia="en-AU"/>
    </w:rPr>
  </w:style>
  <w:style w:type="paragraph" w:customStyle="1" w:styleId="TRBodyTextChar">
    <w:name w:val="_TRBody Text Char"/>
    <w:link w:val="TRBodyTextCharChar"/>
    <w:rsid w:val="00B6599B"/>
    <w:pPr>
      <w:spacing w:line="300" w:lineRule="atLeast"/>
      <w:jc w:val="both"/>
    </w:pPr>
    <w:rPr>
      <w:sz w:val="24"/>
      <w:lang w:eastAsia="en-AU"/>
    </w:rPr>
  </w:style>
  <w:style w:type="character" w:customStyle="1" w:styleId="TRBodyTextCharChar">
    <w:name w:val="_TRBody Text Char Char"/>
    <w:basedOn w:val="DefaultParagraphFont"/>
    <w:link w:val="TRBodyTextChar"/>
    <w:rsid w:val="00B6599B"/>
    <w:rPr>
      <w:sz w:val="24"/>
      <w:lang w:eastAsia="en-AU"/>
    </w:rPr>
  </w:style>
  <w:style w:type="character" w:customStyle="1" w:styleId="TRNormalChar">
    <w:name w:val="_TRNormal Char"/>
    <w:basedOn w:val="DefaultParagraphFont"/>
    <w:link w:val="TRNormal"/>
    <w:rsid w:val="00317341"/>
    <w:rPr>
      <w:sz w:val="24"/>
      <w:lang w:eastAsia="en-AU"/>
    </w:rPr>
  </w:style>
  <w:style w:type="paragraph" w:styleId="ListBullet">
    <w:name w:val="List Bullet"/>
    <w:basedOn w:val="Normal"/>
    <w:autoRedefine/>
    <w:rsid w:val="00317341"/>
    <w:pPr>
      <w:numPr>
        <w:numId w:val="22"/>
      </w:numPr>
      <w:spacing w:after="0" w:line="240" w:lineRule="auto"/>
      <w:jc w:val="both"/>
    </w:pPr>
    <w:rPr>
      <w:rFonts w:ascii="Times New Roman" w:hAnsi="Times New Roman"/>
      <w:sz w:val="24"/>
      <w:lang w:val="en-NZ" w:eastAsia="en-AU"/>
    </w:rPr>
  </w:style>
  <w:style w:type="paragraph" w:styleId="EndnoteText">
    <w:name w:val="endnote text"/>
    <w:basedOn w:val="Normal"/>
    <w:link w:val="EndnoteTextChar"/>
    <w:uiPriority w:val="99"/>
    <w:semiHidden/>
    <w:unhideWhenUsed/>
    <w:rsid w:val="00B825EB"/>
    <w:pPr>
      <w:spacing w:after="0" w:line="240" w:lineRule="auto"/>
    </w:pPr>
    <w:rPr>
      <w:sz w:val="20"/>
    </w:rPr>
  </w:style>
  <w:style w:type="character" w:customStyle="1" w:styleId="EndnoteTextChar">
    <w:name w:val="Endnote Text Char"/>
    <w:basedOn w:val="DefaultParagraphFont"/>
    <w:link w:val="EndnoteText"/>
    <w:uiPriority w:val="99"/>
    <w:semiHidden/>
    <w:rsid w:val="00B825EB"/>
    <w:rPr>
      <w:rFonts w:ascii="Arial" w:hAnsi="Arial"/>
      <w:lang w:val="en-GB" w:eastAsia="en-GB"/>
    </w:rPr>
  </w:style>
  <w:style w:type="character" w:styleId="EndnoteReference">
    <w:name w:val="endnote reference"/>
    <w:basedOn w:val="DefaultParagraphFont"/>
    <w:uiPriority w:val="99"/>
    <w:semiHidden/>
    <w:unhideWhenUsed/>
    <w:rsid w:val="00B825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uiPriority w:val="99"/>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uiPriority w:val="99"/>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2">
    <w:name w:val="Chapter 2"/>
    <w:basedOn w:val="Normal"/>
    <w:link w:val="Chapter2Char"/>
    <w:rsid w:val="005933EB"/>
    <w:pPr>
      <w:numPr>
        <w:numId w:val="7"/>
      </w:numPr>
      <w:spacing w:after="0" w:line="240" w:lineRule="auto"/>
      <w:jc w:val="both"/>
    </w:pPr>
    <w:rPr>
      <w:rFonts w:ascii="Times New Roman" w:hAnsi="Times New Roman"/>
      <w:snapToGrid w:val="0"/>
      <w:sz w:val="24"/>
      <w:lang w:val="en-NZ" w:eastAsia="en-US"/>
    </w:rPr>
  </w:style>
  <w:style w:type="character" w:customStyle="1" w:styleId="Chapter2Char">
    <w:name w:val="Chapter 2 Char"/>
    <w:basedOn w:val="DefaultParagraphFont"/>
    <w:link w:val="Chapter2"/>
    <w:rsid w:val="005933EB"/>
    <w:rPr>
      <w:snapToGrid w:val="0"/>
      <w:sz w:val="24"/>
      <w:lang w:eastAsia="en-US"/>
    </w:rPr>
  </w:style>
  <w:style w:type="paragraph" w:customStyle="1" w:styleId="Default">
    <w:name w:val="Default"/>
    <w:rsid w:val="00645BEF"/>
    <w:pPr>
      <w:autoSpaceDE w:val="0"/>
      <w:autoSpaceDN w:val="0"/>
      <w:adjustRightInd w:val="0"/>
    </w:pPr>
    <w:rPr>
      <w:rFonts w:ascii="Myriad Pro" w:hAnsi="Myriad Pro" w:cs="Myriad Pro"/>
      <w:color w:val="000000"/>
      <w:sz w:val="24"/>
      <w:szCs w:val="24"/>
    </w:rPr>
  </w:style>
  <w:style w:type="character" w:customStyle="1" w:styleId="A3">
    <w:name w:val="A3"/>
    <w:uiPriority w:val="99"/>
    <w:rsid w:val="00645BEF"/>
    <w:rPr>
      <w:rFonts w:cs="Myriad Pro"/>
      <w:color w:val="000000"/>
      <w:sz w:val="20"/>
      <w:szCs w:val="20"/>
    </w:rPr>
  </w:style>
  <w:style w:type="paragraph" w:customStyle="1" w:styleId="Chapter3">
    <w:name w:val="Chapter 3"/>
    <w:basedOn w:val="Chapter2"/>
    <w:link w:val="Chapter3Char1"/>
    <w:rsid w:val="00AA69B3"/>
    <w:pPr>
      <w:numPr>
        <w:numId w:val="9"/>
      </w:numPr>
    </w:pPr>
  </w:style>
  <w:style w:type="character" w:customStyle="1" w:styleId="Chapter3Char1">
    <w:name w:val="Chapter 3 Char1"/>
    <w:basedOn w:val="Chapter2Char"/>
    <w:link w:val="Chapter3"/>
    <w:rsid w:val="00AA69B3"/>
    <w:rPr>
      <w:snapToGrid w:val="0"/>
      <w:sz w:val="24"/>
      <w:lang w:eastAsia="en-US"/>
    </w:rPr>
  </w:style>
  <w:style w:type="paragraph" w:customStyle="1" w:styleId="Chapter4">
    <w:name w:val="Chapter 4"/>
    <w:basedOn w:val="Normal"/>
    <w:rsid w:val="00A7178F"/>
    <w:pPr>
      <w:numPr>
        <w:numId w:val="10"/>
      </w:numPr>
      <w:spacing w:after="0" w:line="240" w:lineRule="auto"/>
      <w:jc w:val="both"/>
    </w:pPr>
    <w:rPr>
      <w:rFonts w:ascii="Times New Roman" w:hAnsi="Times New Roman"/>
      <w:sz w:val="24"/>
      <w:lang w:val="en-NZ" w:eastAsia="en-AU"/>
    </w:rPr>
  </w:style>
  <w:style w:type="paragraph" w:styleId="Revision">
    <w:name w:val="Revision"/>
    <w:hidden/>
    <w:uiPriority w:val="99"/>
    <w:semiHidden/>
    <w:rsid w:val="00870670"/>
    <w:rPr>
      <w:rFonts w:ascii="Arial" w:hAnsi="Arial"/>
      <w:sz w:val="22"/>
      <w:lang w:val="en-GB" w:eastAsia="en-GB"/>
    </w:rPr>
  </w:style>
  <w:style w:type="paragraph" w:customStyle="1" w:styleId="TRNormal">
    <w:name w:val="_TRNormal"/>
    <w:link w:val="TRNormalChar"/>
    <w:rsid w:val="0094124B"/>
    <w:pPr>
      <w:spacing w:line="300" w:lineRule="atLeast"/>
      <w:jc w:val="both"/>
    </w:pPr>
    <w:rPr>
      <w:sz w:val="24"/>
      <w:lang w:eastAsia="en-AU"/>
    </w:rPr>
  </w:style>
  <w:style w:type="paragraph" w:customStyle="1" w:styleId="TRBodyTextChar">
    <w:name w:val="_TRBody Text Char"/>
    <w:link w:val="TRBodyTextCharChar"/>
    <w:rsid w:val="00B6599B"/>
    <w:pPr>
      <w:spacing w:line="300" w:lineRule="atLeast"/>
      <w:jc w:val="both"/>
    </w:pPr>
    <w:rPr>
      <w:sz w:val="24"/>
      <w:lang w:eastAsia="en-AU"/>
    </w:rPr>
  </w:style>
  <w:style w:type="character" w:customStyle="1" w:styleId="TRBodyTextCharChar">
    <w:name w:val="_TRBody Text Char Char"/>
    <w:basedOn w:val="DefaultParagraphFont"/>
    <w:link w:val="TRBodyTextChar"/>
    <w:rsid w:val="00B6599B"/>
    <w:rPr>
      <w:sz w:val="24"/>
      <w:lang w:eastAsia="en-AU"/>
    </w:rPr>
  </w:style>
  <w:style w:type="character" w:customStyle="1" w:styleId="TRNormalChar">
    <w:name w:val="_TRNormal Char"/>
    <w:basedOn w:val="DefaultParagraphFont"/>
    <w:link w:val="TRNormal"/>
    <w:rsid w:val="00317341"/>
    <w:rPr>
      <w:sz w:val="24"/>
      <w:lang w:eastAsia="en-AU"/>
    </w:rPr>
  </w:style>
  <w:style w:type="paragraph" w:styleId="ListBullet">
    <w:name w:val="List Bullet"/>
    <w:basedOn w:val="Normal"/>
    <w:autoRedefine/>
    <w:rsid w:val="00317341"/>
    <w:pPr>
      <w:numPr>
        <w:numId w:val="22"/>
      </w:numPr>
      <w:spacing w:after="0" w:line="240" w:lineRule="auto"/>
      <w:jc w:val="both"/>
    </w:pPr>
    <w:rPr>
      <w:rFonts w:ascii="Times New Roman" w:hAnsi="Times New Roman"/>
      <w:sz w:val="24"/>
      <w:lang w:val="en-NZ" w:eastAsia="en-AU"/>
    </w:rPr>
  </w:style>
  <w:style w:type="paragraph" w:styleId="EndnoteText">
    <w:name w:val="endnote text"/>
    <w:basedOn w:val="Normal"/>
    <w:link w:val="EndnoteTextChar"/>
    <w:uiPriority w:val="99"/>
    <w:semiHidden/>
    <w:unhideWhenUsed/>
    <w:rsid w:val="00B825EB"/>
    <w:pPr>
      <w:spacing w:after="0" w:line="240" w:lineRule="auto"/>
    </w:pPr>
    <w:rPr>
      <w:sz w:val="20"/>
    </w:rPr>
  </w:style>
  <w:style w:type="character" w:customStyle="1" w:styleId="EndnoteTextChar">
    <w:name w:val="Endnote Text Char"/>
    <w:basedOn w:val="DefaultParagraphFont"/>
    <w:link w:val="EndnoteText"/>
    <w:uiPriority w:val="99"/>
    <w:semiHidden/>
    <w:rsid w:val="00B825EB"/>
    <w:rPr>
      <w:rFonts w:ascii="Arial" w:hAnsi="Arial"/>
      <w:lang w:val="en-GB" w:eastAsia="en-GB"/>
    </w:rPr>
  </w:style>
  <w:style w:type="character" w:styleId="EndnoteReference">
    <w:name w:val="endnote reference"/>
    <w:basedOn w:val="DefaultParagraphFont"/>
    <w:uiPriority w:val="99"/>
    <w:semiHidden/>
    <w:unhideWhenUsed/>
    <w:rsid w:val="00B82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915">
      <w:bodyDiv w:val="1"/>
      <w:marLeft w:val="0"/>
      <w:marRight w:val="0"/>
      <w:marTop w:val="0"/>
      <w:marBottom w:val="0"/>
      <w:divBdr>
        <w:top w:val="none" w:sz="0" w:space="0" w:color="auto"/>
        <w:left w:val="none" w:sz="0" w:space="0" w:color="auto"/>
        <w:bottom w:val="none" w:sz="0" w:space="0" w:color="auto"/>
        <w:right w:val="none" w:sz="0" w:space="0" w:color="auto"/>
      </w:divBdr>
    </w:div>
    <w:div w:id="31419205">
      <w:bodyDiv w:val="1"/>
      <w:marLeft w:val="0"/>
      <w:marRight w:val="0"/>
      <w:marTop w:val="0"/>
      <w:marBottom w:val="0"/>
      <w:divBdr>
        <w:top w:val="none" w:sz="0" w:space="0" w:color="auto"/>
        <w:left w:val="none" w:sz="0" w:space="0" w:color="auto"/>
        <w:bottom w:val="none" w:sz="0" w:space="0" w:color="auto"/>
        <w:right w:val="none" w:sz="0" w:space="0" w:color="auto"/>
      </w:divBdr>
    </w:div>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140870">
      <w:bodyDiv w:val="1"/>
      <w:marLeft w:val="0"/>
      <w:marRight w:val="0"/>
      <w:marTop w:val="0"/>
      <w:marBottom w:val="0"/>
      <w:divBdr>
        <w:top w:val="none" w:sz="0" w:space="0" w:color="auto"/>
        <w:left w:val="none" w:sz="0" w:space="0" w:color="auto"/>
        <w:bottom w:val="none" w:sz="0" w:space="0" w:color="auto"/>
        <w:right w:val="none" w:sz="0" w:space="0" w:color="auto"/>
      </w:divBdr>
    </w:div>
    <w:div w:id="1141997091">
      <w:bodyDiv w:val="1"/>
      <w:marLeft w:val="0"/>
      <w:marRight w:val="0"/>
      <w:marTop w:val="0"/>
      <w:marBottom w:val="0"/>
      <w:divBdr>
        <w:top w:val="none" w:sz="0" w:space="0" w:color="auto"/>
        <w:left w:val="none" w:sz="0" w:space="0" w:color="auto"/>
        <w:bottom w:val="none" w:sz="0" w:space="0" w:color="auto"/>
        <w:right w:val="none" w:sz="0" w:space="0" w:color="auto"/>
      </w:divBdr>
    </w:div>
    <w:div w:id="1219632401">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324239461">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846309">
      <w:bodyDiv w:val="1"/>
      <w:marLeft w:val="0"/>
      <w:marRight w:val="0"/>
      <w:marTop w:val="0"/>
      <w:marBottom w:val="0"/>
      <w:divBdr>
        <w:top w:val="none" w:sz="0" w:space="0" w:color="auto"/>
        <w:left w:val="none" w:sz="0" w:space="0" w:color="auto"/>
        <w:bottom w:val="none" w:sz="0" w:space="0" w:color="auto"/>
        <w:right w:val="none" w:sz="0" w:space="0" w:color="auto"/>
      </w:divBdr>
    </w:div>
    <w:div w:id="1787046648">
      <w:bodyDiv w:val="1"/>
      <w:marLeft w:val="0"/>
      <w:marRight w:val="0"/>
      <w:marTop w:val="0"/>
      <w:marBottom w:val="0"/>
      <w:divBdr>
        <w:top w:val="none" w:sz="0" w:space="0" w:color="auto"/>
        <w:left w:val="none" w:sz="0" w:space="0" w:color="auto"/>
        <w:bottom w:val="none" w:sz="0" w:space="0" w:color="auto"/>
        <w:right w:val="none" w:sz="0" w:space="0" w:color="auto"/>
      </w:divBdr>
    </w:div>
    <w:div w:id="1886408536">
      <w:bodyDiv w:val="1"/>
      <w:marLeft w:val="0"/>
      <w:marRight w:val="0"/>
      <w:marTop w:val="0"/>
      <w:marBottom w:val="0"/>
      <w:divBdr>
        <w:top w:val="none" w:sz="0" w:space="0" w:color="auto"/>
        <w:left w:val="none" w:sz="0" w:space="0" w:color="auto"/>
        <w:bottom w:val="none" w:sz="0" w:space="0" w:color="auto"/>
        <w:right w:val="none" w:sz="0" w:space="0" w:color="auto"/>
      </w:divBdr>
    </w:div>
    <w:div w:id="1930191355">
      <w:bodyDiv w:val="1"/>
      <w:marLeft w:val="0"/>
      <w:marRight w:val="0"/>
      <w:marTop w:val="0"/>
      <w:marBottom w:val="0"/>
      <w:divBdr>
        <w:top w:val="none" w:sz="0" w:space="0" w:color="auto"/>
        <w:left w:val="none" w:sz="0" w:space="0" w:color="auto"/>
        <w:bottom w:val="none" w:sz="0" w:space="0" w:color="auto"/>
        <w:right w:val="none" w:sz="0" w:space="0" w:color="auto"/>
      </w:divBdr>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12780</Words>
  <Characters>68539</Characters>
  <Application>Microsoft Office Word</Application>
  <DocSecurity>0</DocSecurity>
  <Lines>1671</Lines>
  <Paragraphs>385</Paragraphs>
  <ScaleCrop>false</ScaleCrop>
  <HeadingPairs>
    <vt:vector size="2" baseType="variant">
      <vt:variant>
        <vt:lpstr>Title</vt:lpstr>
      </vt:variant>
      <vt:variant>
        <vt:i4>1</vt:i4>
      </vt:variant>
    </vt:vector>
  </HeadingPairs>
  <TitlesOfParts>
    <vt:vector size="1" baseType="lpstr">
      <vt:lpstr>Regulatory impact statement - Options for optimising the effectiveness of the bright-line test [residential land withholding tax] (9 November 2015)</vt:lpstr>
    </vt:vector>
  </TitlesOfParts>
  <Company>Inland Revenue</Company>
  <LinksUpToDate>false</LinksUpToDate>
  <CharactersWithSpaces>80934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Options for optimising the effectiveness of the bright-line test [residential land withholding tax] (9 November 2015)</dc:title>
  <dc:subject/>
  <dc:creator>Policy and Strategy, Inland Revenue</dc:creator>
  <cp:keywords/>
  <dc:description>Published November 2015</dc:description>
  <cp:lastModifiedBy>David Nind</cp:lastModifiedBy>
  <cp:revision>2</cp:revision>
  <dcterms:created xsi:type="dcterms:W3CDTF">2015-11-13T02:16:00Z</dcterms:created>
  <dcterms:modified xsi:type="dcterms:W3CDTF">2015-11-13T02:16:00Z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