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3F40F7">
      <w:pPr>
        <w:pStyle w:val="RISheading"/>
        <w:jc w:val="both"/>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sz w:val="32"/>
          <w:szCs w:val="32"/>
        </w:rPr>
        <w:t>Regulatory Impact Statement</w:t>
      </w:r>
      <w:bookmarkEnd w:id="1"/>
      <w:bookmarkEnd w:id="2"/>
      <w:bookmarkEnd w:id="3"/>
      <w:bookmarkEnd w:id="4"/>
      <w:bookmarkEnd w:id="5"/>
      <w:r w:rsidR="002B7B9A">
        <w:rPr>
          <w:w w:val="100"/>
          <w:sz w:val="32"/>
          <w:szCs w:val="32"/>
        </w:rPr>
        <w:t xml:space="preserve"> </w:t>
      </w:r>
    </w:p>
    <w:p w:rsidR="000545DC" w:rsidRPr="000F1DD0" w:rsidRDefault="00611CDA" w:rsidP="003F40F7">
      <w:pPr>
        <w:pStyle w:val="RISheading"/>
        <w:jc w:val="both"/>
        <w:rPr>
          <w:spacing w:val="0"/>
          <w:w w:val="100"/>
          <w:sz w:val="28"/>
          <w:szCs w:val="28"/>
        </w:rPr>
      </w:pPr>
      <w:r>
        <w:rPr>
          <w:spacing w:val="0"/>
          <w:w w:val="100"/>
          <w:sz w:val="28"/>
          <w:szCs w:val="28"/>
        </w:rPr>
        <w:t xml:space="preserve">Requiring non-resident IRD number </w:t>
      </w:r>
      <w:r w:rsidR="00A557D0">
        <w:rPr>
          <w:spacing w:val="0"/>
          <w:w w:val="100"/>
          <w:sz w:val="28"/>
          <w:szCs w:val="28"/>
        </w:rPr>
        <w:t xml:space="preserve">applicant </w:t>
      </w:r>
      <w:r>
        <w:rPr>
          <w:spacing w:val="0"/>
          <w:w w:val="100"/>
          <w:sz w:val="28"/>
          <w:szCs w:val="28"/>
        </w:rPr>
        <w:t>to have a New Zealand bank account</w:t>
      </w:r>
    </w:p>
    <w:p w:rsidR="000545DC" w:rsidRPr="004342F0" w:rsidRDefault="001C6912" w:rsidP="003F40F7">
      <w:pPr>
        <w:pStyle w:val="RISheading"/>
        <w:jc w:val="both"/>
        <w:rPr>
          <w:spacing w:val="0"/>
          <w:w w:val="100"/>
        </w:rPr>
      </w:pPr>
      <w:r w:rsidRPr="004342F0">
        <w:rPr>
          <w:spacing w:val="0"/>
          <w:w w:val="100"/>
        </w:rPr>
        <w:t xml:space="preserve">Agency </w:t>
      </w:r>
      <w:r w:rsidR="000545DC" w:rsidRPr="004342F0">
        <w:rPr>
          <w:spacing w:val="0"/>
          <w:w w:val="100"/>
        </w:rPr>
        <w:t xml:space="preserve">Disclosure Statement </w:t>
      </w:r>
    </w:p>
    <w:p w:rsidR="000545DC" w:rsidRPr="004342F0" w:rsidRDefault="000545DC" w:rsidP="003F40F7">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rsidR="004342F0" w:rsidRPr="004342F0" w:rsidRDefault="004342F0" w:rsidP="003F40F7">
      <w:pPr>
        <w:pStyle w:val="ListParagraph"/>
        <w:ind w:left="0" w:right="170"/>
        <w:contextualSpacing w:val="0"/>
        <w:rPr>
          <w:rFonts w:ascii="Times New Roman" w:hAnsi="Times New Roman"/>
          <w:sz w:val="24"/>
          <w:szCs w:val="24"/>
        </w:rPr>
      </w:pPr>
    </w:p>
    <w:p w:rsidR="00D23891" w:rsidRDefault="002A6F77" w:rsidP="003F40F7">
      <w:pPr>
        <w:pStyle w:val="ListParagraph"/>
        <w:ind w:left="0" w:right="170"/>
        <w:contextualSpacing w:val="0"/>
        <w:rPr>
          <w:rFonts w:ascii="Times New Roman" w:hAnsi="Times New Roman"/>
          <w:sz w:val="24"/>
          <w:szCs w:val="24"/>
        </w:rPr>
      </w:pPr>
      <w:r>
        <w:rPr>
          <w:rFonts w:ascii="Times New Roman" w:hAnsi="Times New Roman"/>
          <w:sz w:val="24"/>
          <w:szCs w:val="24"/>
        </w:rPr>
        <w:t xml:space="preserve">The question addressed in this statement is </w:t>
      </w:r>
      <w:r w:rsidR="00D23891">
        <w:rPr>
          <w:rFonts w:ascii="Times New Roman" w:hAnsi="Times New Roman"/>
          <w:sz w:val="24"/>
          <w:szCs w:val="24"/>
        </w:rPr>
        <w:t xml:space="preserve">whether requiring non-residents that apply for an IRD number to first have a New Zealand bank account would improve </w:t>
      </w:r>
      <w:r>
        <w:rPr>
          <w:rFonts w:ascii="Times New Roman" w:hAnsi="Times New Roman"/>
          <w:sz w:val="24"/>
          <w:szCs w:val="24"/>
        </w:rPr>
        <w:t>Inland Revenue</w:t>
      </w:r>
      <w:r w:rsidR="00D23891">
        <w:rPr>
          <w:rFonts w:ascii="Times New Roman" w:hAnsi="Times New Roman"/>
          <w:sz w:val="24"/>
          <w:szCs w:val="24"/>
        </w:rPr>
        <w:t xml:space="preserve">’s ability </w:t>
      </w:r>
      <w:r w:rsidR="00FF426B">
        <w:rPr>
          <w:rFonts w:ascii="Times New Roman" w:hAnsi="Times New Roman"/>
          <w:sz w:val="24"/>
          <w:szCs w:val="24"/>
        </w:rPr>
        <w:t>to verify the identity of the non-resident</w:t>
      </w:r>
      <w:r w:rsidR="00D23891">
        <w:rPr>
          <w:rFonts w:ascii="Times New Roman" w:hAnsi="Times New Roman"/>
          <w:sz w:val="24"/>
          <w:szCs w:val="24"/>
        </w:rPr>
        <w:t>.</w:t>
      </w:r>
    </w:p>
    <w:p w:rsidR="00D23891" w:rsidRDefault="00D23891" w:rsidP="003F40F7">
      <w:pPr>
        <w:pStyle w:val="ListParagraph"/>
        <w:ind w:left="0" w:right="170"/>
        <w:contextualSpacing w:val="0"/>
        <w:rPr>
          <w:rFonts w:ascii="Times New Roman" w:hAnsi="Times New Roman"/>
          <w:sz w:val="24"/>
          <w:szCs w:val="24"/>
        </w:rPr>
      </w:pPr>
    </w:p>
    <w:p w:rsidR="007934F0" w:rsidRDefault="00D23891" w:rsidP="003F40F7">
      <w:pPr>
        <w:pStyle w:val="ListParagraph"/>
        <w:ind w:left="0" w:right="170"/>
        <w:contextualSpacing w:val="0"/>
        <w:rPr>
          <w:rFonts w:ascii="Times New Roman" w:hAnsi="Times New Roman"/>
          <w:sz w:val="24"/>
          <w:szCs w:val="24"/>
        </w:rPr>
      </w:pPr>
      <w:r>
        <w:rPr>
          <w:rFonts w:ascii="Times New Roman" w:hAnsi="Times New Roman"/>
          <w:sz w:val="24"/>
          <w:szCs w:val="24"/>
        </w:rPr>
        <w:t xml:space="preserve">Currently, there is no statutory requirement for any IRD number applicant to have a New Zealand bank account.  </w:t>
      </w:r>
    </w:p>
    <w:p w:rsidR="007934F0" w:rsidRDefault="007934F0" w:rsidP="003F40F7">
      <w:pPr>
        <w:pStyle w:val="ListParagraph"/>
        <w:ind w:left="0" w:right="170"/>
        <w:contextualSpacing w:val="0"/>
        <w:rPr>
          <w:rFonts w:ascii="Times New Roman" w:hAnsi="Times New Roman"/>
          <w:sz w:val="24"/>
          <w:szCs w:val="24"/>
        </w:rPr>
      </w:pPr>
    </w:p>
    <w:p w:rsidR="00B22FAB" w:rsidRDefault="007305E5" w:rsidP="003F40F7">
      <w:pPr>
        <w:pStyle w:val="ListParagraph"/>
        <w:ind w:left="0" w:right="170"/>
        <w:contextualSpacing w:val="0"/>
        <w:rPr>
          <w:rFonts w:ascii="Times New Roman" w:hAnsi="Times New Roman"/>
          <w:sz w:val="24"/>
          <w:szCs w:val="24"/>
        </w:rPr>
      </w:pPr>
      <w:r>
        <w:rPr>
          <w:rFonts w:ascii="Times New Roman" w:hAnsi="Times New Roman"/>
          <w:sz w:val="24"/>
          <w:szCs w:val="24"/>
        </w:rPr>
        <w:t xml:space="preserve">There are changes being proposed as part of Budget 2015 that will seek to modify </w:t>
      </w:r>
      <w:r w:rsidR="00334AE3">
        <w:rPr>
          <w:rFonts w:ascii="Times New Roman" w:hAnsi="Times New Roman"/>
          <w:sz w:val="24"/>
          <w:szCs w:val="24"/>
        </w:rPr>
        <w:t>current tax laws</w:t>
      </w:r>
      <w:r>
        <w:rPr>
          <w:rFonts w:ascii="Times New Roman" w:hAnsi="Times New Roman"/>
          <w:sz w:val="24"/>
          <w:szCs w:val="24"/>
        </w:rPr>
        <w:t xml:space="preserve"> </w:t>
      </w:r>
      <w:r w:rsidR="00B22FAB">
        <w:rPr>
          <w:rFonts w:ascii="Times New Roman" w:hAnsi="Times New Roman"/>
          <w:sz w:val="24"/>
          <w:szCs w:val="24"/>
        </w:rPr>
        <w:t xml:space="preserve">related to property transactions </w:t>
      </w:r>
      <w:r>
        <w:rPr>
          <w:rFonts w:ascii="Times New Roman" w:hAnsi="Times New Roman"/>
          <w:sz w:val="24"/>
          <w:szCs w:val="24"/>
        </w:rPr>
        <w:t>and assist Inland Revenue in enforcing compliance with the</w:t>
      </w:r>
      <w:r w:rsidR="00B22FAB">
        <w:rPr>
          <w:rFonts w:ascii="Times New Roman" w:hAnsi="Times New Roman"/>
          <w:sz w:val="24"/>
          <w:szCs w:val="24"/>
        </w:rPr>
        <w:t>se</w:t>
      </w:r>
      <w:r>
        <w:rPr>
          <w:rFonts w:ascii="Times New Roman" w:hAnsi="Times New Roman"/>
          <w:sz w:val="24"/>
          <w:szCs w:val="24"/>
        </w:rPr>
        <w:t xml:space="preserve"> rules.  </w:t>
      </w:r>
      <w:r w:rsidR="00B22FAB">
        <w:rPr>
          <w:rFonts w:ascii="Times New Roman" w:hAnsi="Times New Roman"/>
          <w:sz w:val="24"/>
          <w:szCs w:val="24"/>
        </w:rPr>
        <w:t xml:space="preserve">This is because the Government is concerned that there is potentially low compliance in respect of tax on property transactions.  However, by its nature, the scope of the problem cannot be accurately quantified. </w:t>
      </w:r>
    </w:p>
    <w:p w:rsidR="00B22FAB" w:rsidRDefault="00B22FAB" w:rsidP="003F40F7">
      <w:pPr>
        <w:pStyle w:val="ListParagraph"/>
        <w:ind w:left="0" w:right="170"/>
        <w:contextualSpacing w:val="0"/>
        <w:rPr>
          <w:rFonts w:ascii="Times New Roman" w:hAnsi="Times New Roman"/>
          <w:sz w:val="24"/>
          <w:szCs w:val="24"/>
        </w:rPr>
      </w:pPr>
    </w:p>
    <w:p w:rsidR="007934F0" w:rsidRDefault="007305E5" w:rsidP="003F40F7">
      <w:pPr>
        <w:pStyle w:val="ListParagraph"/>
        <w:ind w:left="0" w:right="170"/>
        <w:contextualSpacing w:val="0"/>
        <w:rPr>
          <w:rFonts w:ascii="Times New Roman" w:hAnsi="Times New Roman"/>
          <w:sz w:val="24"/>
          <w:szCs w:val="24"/>
        </w:rPr>
      </w:pPr>
      <w:r>
        <w:rPr>
          <w:rFonts w:ascii="Times New Roman" w:hAnsi="Times New Roman"/>
          <w:sz w:val="24"/>
          <w:szCs w:val="24"/>
        </w:rPr>
        <w:t xml:space="preserve">In particular, a </w:t>
      </w:r>
      <w:r w:rsidR="00B22FAB">
        <w:rPr>
          <w:rFonts w:ascii="Times New Roman" w:hAnsi="Times New Roman"/>
          <w:sz w:val="24"/>
          <w:szCs w:val="24"/>
        </w:rPr>
        <w:t xml:space="preserve">Budget 2015 </w:t>
      </w:r>
      <w:r>
        <w:rPr>
          <w:rFonts w:ascii="Times New Roman" w:hAnsi="Times New Roman"/>
          <w:sz w:val="24"/>
          <w:szCs w:val="24"/>
        </w:rPr>
        <w:t>proposal would require all parties to a property transaction to obtain an IRD number and provide that number to L</w:t>
      </w:r>
      <w:r w:rsidR="00334AE3">
        <w:rPr>
          <w:rFonts w:ascii="Times New Roman" w:hAnsi="Times New Roman"/>
          <w:sz w:val="24"/>
          <w:szCs w:val="24"/>
        </w:rPr>
        <w:t>and I</w:t>
      </w:r>
      <w:r w:rsidR="00611CDA">
        <w:rPr>
          <w:rFonts w:ascii="Times New Roman" w:hAnsi="Times New Roman"/>
          <w:sz w:val="24"/>
          <w:szCs w:val="24"/>
        </w:rPr>
        <w:t xml:space="preserve">nformation </w:t>
      </w:r>
      <w:r>
        <w:rPr>
          <w:rFonts w:ascii="Times New Roman" w:hAnsi="Times New Roman"/>
          <w:sz w:val="24"/>
          <w:szCs w:val="24"/>
        </w:rPr>
        <w:t>N</w:t>
      </w:r>
      <w:r w:rsidR="00611CDA">
        <w:rPr>
          <w:rFonts w:ascii="Times New Roman" w:hAnsi="Times New Roman"/>
          <w:sz w:val="24"/>
          <w:szCs w:val="24"/>
        </w:rPr>
        <w:t>ew</w:t>
      </w:r>
      <w:r w:rsidR="000F7507">
        <w:rPr>
          <w:rFonts w:ascii="Times New Roman" w:hAnsi="Times New Roman"/>
          <w:sz w:val="24"/>
          <w:szCs w:val="24"/>
        </w:rPr>
        <w:t xml:space="preserve"> </w:t>
      </w:r>
      <w:r>
        <w:rPr>
          <w:rFonts w:ascii="Times New Roman" w:hAnsi="Times New Roman"/>
          <w:sz w:val="24"/>
          <w:szCs w:val="24"/>
        </w:rPr>
        <w:t>Z</w:t>
      </w:r>
      <w:r w:rsidR="00611CDA">
        <w:rPr>
          <w:rFonts w:ascii="Times New Roman" w:hAnsi="Times New Roman"/>
          <w:sz w:val="24"/>
          <w:szCs w:val="24"/>
        </w:rPr>
        <w:t>ealand</w:t>
      </w:r>
      <w:r>
        <w:rPr>
          <w:rFonts w:ascii="Times New Roman" w:hAnsi="Times New Roman"/>
          <w:sz w:val="24"/>
          <w:szCs w:val="24"/>
        </w:rPr>
        <w:t xml:space="preserve"> as part of the transaction process.</w:t>
      </w:r>
    </w:p>
    <w:p w:rsidR="00776FA0" w:rsidRDefault="00776FA0" w:rsidP="003F40F7">
      <w:pPr>
        <w:pStyle w:val="ListParagraph"/>
        <w:ind w:left="0" w:right="170"/>
        <w:contextualSpacing w:val="0"/>
        <w:rPr>
          <w:rFonts w:ascii="Times New Roman" w:hAnsi="Times New Roman"/>
          <w:sz w:val="24"/>
          <w:szCs w:val="24"/>
        </w:rPr>
      </w:pPr>
    </w:p>
    <w:p w:rsidR="007934F0" w:rsidRDefault="007934F0" w:rsidP="007934F0">
      <w:pPr>
        <w:pStyle w:val="ListParagraph"/>
        <w:ind w:left="0" w:right="170"/>
        <w:contextualSpacing w:val="0"/>
        <w:rPr>
          <w:rFonts w:ascii="Times New Roman" w:hAnsi="Times New Roman"/>
          <w:sz w:val="24"/>
          <w:szCs w:val="24"/>
        </w:rPr>
      </w:pPr>
      <w:r>
        <w:rPr>
          <w:rFonts w:ascii="Times New Roman" w:hAnsi="Times New Roman"/>
          <w:sz w:val="24"/>
          <w:szCs w:val="24"/>
        </w:rPr>
        <w:t xml:space="preserve">In order to </w:t>
      </w:r>
      <w:r w:rsidR="007305E5">
        <w:rPr>
          <w:rFonts w:ascii="Times New Roman" w:hAnsi="Times New Roman"/>
          <w:sz w:val="24"/>
          <w:szCs w:val="24"/>
        </w:rPr>
        <w:t xml:space="preserve">buttress this initiative and </w:t>
      </w:r>
      <w:r>
        <w:rPr>
          <w:rFonts w:ascii="Times New Roman" w:hAnsi="Times New Roman"/>
          <w:sz w:val="24"/>
          <w:szCs w:val="24"/>
        </w:rPr>
        <w:t xml:space="preserve">improve Inland Revenue’s ability to enforce tax laws on non-residents that buy and sell New Zealand residential property, </w:t>
      </w:r>
      <w:r w:rsidR="00B22FAB">
        <w:rPr>
          <w:rFonts w:ascii="Times New Roman" w:hAnsi="Times New Roman"/>
          <w:sz w:val="24"/>
          <w:szCs w:val="24"/>
        </w:rPr>
        <w:t>the Government has directed that non-residents should, as a prerequisite to getting an IRD number, be required to have a New Zealand bank account.  Therefore, t</w:t>
      </w:r>
      <w:r w:rsidR="00611CDA">
        <w:rPr>
          <w:rFonts w:ascii="Times New Roman" w:hAnsi="Times New Roman"/>
          <w:sz w:val="24"/>
          <w:szCs w:val="24"/>
        </w:rPr>
        <w:t>his statement</w:t>
      </w:r>
      <w:r>
        <w:rPr>
          <w:rFonts w:ascii="Times New Roman" w:hAnsi="Times New Roman"/>
          <w:sz w:val="24"/>
          <w:szCs w:val="24"/>
        </w:rPr>
        <w:t xml:space="preserve"> considered two options:</w:t>
      </w:r>
    </w:p>
    <w:p w:rsidR="00611CDA" w:rsidRDefault="00611CDA" w:rsidP="007934F0">
      <w:pPr>
        <w:pStyle w:val="ListParagraph"/>
        <w:ind w:left="0" w:right="170"/>
        <w:contextualSpacing w:val="0"/>
        <w:rPr>
          <w:rFonts w:ascii="Times New Roman" w:hAnsi="Times New Roman"/>
          <w:sz w:val="24"/>
          <w:szCs w:val="24"/>
        </w:rPr>
      </w:pPr>
    </w:p>
    <w:p w:rsidR="007934F0" w:rsidRPr="007934F0" w:rsidRDefault="007934F0" w:rsidP="007934F0">
      <w:pPr>
        <w:pStyle w:val="ListParagraph"/>
        <w:numPr>
          <w:ilvl w:val="0"/>
          <w:numId w:val="25"/>
        </w:numPr>
        <w:ind w:right="170"/>
        <w:contextualSpacing w:val="0"/>
        <w:rPr>
          <w:rFonts w:ascii="Times New Roman" w:hAnsi="Times New Roman"/>
          <w:sz w:val="24"/>
          <w:szCs w:val="24"/>
        </w:rPr>
      </w:pPr>
      <w:r>
        <w:rPr>
          <w:rFonts w:ascii="Times New Roman" w:hAnsi="Times New Roman"/>
          <w:sz w:val="24"/>
          <w:szCs w:val="24"/>
        </w:rPr>
        <w:t>Option 1 - Not requiring evidence of a New Zealand bank account as a prerequisite to a non-resident obtaining an IRD number (the status quo</w:t>
      </w:r>
      <w:r w:rsidR="007305E5">
        <w:rPr>
          <w:rFonts w:ascii="Times New Roman" w:hAnsi="Times New Roman"/>
          <w:sz w:val="24"/>
          <w:szCs w:val="24"/>
        </w:rPr>
        <w:t xml:space="preserve"> and preferred option</w:t>
      </w:r>
      <w:r>
        <w:rPr>
          <w:rFonts w:ascii="Times New Roman" w:hAnsi="Times New Roman"/>
          <w:sz w:val="24"/>
          <w:szCs w:val="24"/>
        </w:rPr>
        <w:t>).</w:t>
      </w:r>
    </w:p>
    <w:p w:rsidR="007934F0" w:rsidRDefault="007934F0" w:rsidP="007934F0">
      <w:pPr>
        <w:pStyle w:val="ListParagraph"/>
        <w:numPr>
          <w:ilvl w:val="0"/>
          <w:numId w:val="25"/>
        </w:numPr>
        <w:ind w:right="170"/>
        <w:contextualSpacing w:val="0"/>
        <w:rPr>
          <w:rFonts w:ascii="Times New Roman" w:hAnsi="Times New Roman"/>
          <w:sz w:val="24"/>
          <w:szCs w:val="24"/>
        </w:rPr>
      </w:pPr>
      <w:r>
        <w:rPr>
          <w:rFonts w:ascii="Times New Roman" w:hAnsi="Times New Roman"/>
          <w:sz w:val="24"/>
          <w:szCs w:val="24"/>
        </w:rPr>
        <w:t>Option 2 - Legislating to require evidence of a New Zealand bank account as a prerequisite to a non-resident obtaining an IRD number.</w:t>
      </w:r>
      <w:r w:rsidR="00B22FAB">
        <w:rPr>
          <w:rStyle w:val="FootnoteReference"/>
          <w:szCs w:val="24"/>
        </w:rPr>
        <w:footnoteReference w:id="1"/>
      </w:r>
    </w:p>
    <w:p w:rsidR="00F86F05" w:rsidRDefault="00F86F05" w:rsidP="003F40F7">
      <w:pPr>
        <w:pStyle w:val="ListParagraph"/>
        <w:ind w:left="0" w:right="170"/>
        <w:contextualSpacing w:val="0"/>
        <w:rPr>
          <w:rFonts w:ascii="Times New Roman" w:hAnsi="Times New Roman"/>
          <w:sz w:val="24"/>
          <w:szCs w:val="24"/>
        </w:rPr>
      </w:pPr>
    </w:p>
    <w:p w:rsidR="00611CDA" w:rsidRDefault="007A0108" w:rsidP="003F40F7">
      <w:pPr>
        <w:pStyle w:val="ListParagraph"/>
        <w:ind w:left="0" w:right="170"/>
        <w:contextualSpacing w:val="0"/>
        <w:rPr>
          <w:rFonts w:ascii="Times New Roman" w:hAnsi="Times New Roman"/>
          <w:sz w:val="24"/>
          <w:szCs w:val="24"/>
        </w:rPr>
      </w:pPr>
      <w:r>
        <w:rPr>
          <w:rFonts w:ascii="Times New Roman" w:hAnsi="Times New Roman"/>
          <w:sz w:val="24"/>
          <w:szCs w:val="24"/>
        </w:rPr>
        <w:t xml:space="preserve">Although it is finely balanced, Inland Revenue has concluded that option 1 is preferable.  </w:t>
      </w:r>
      <w:r w:rsidR="00F87CE0">
        <w:rPr>
          <w:rFonts w:ascii="Times New Roman" w:hAnsi="Times New Roman"/>
          <w:sz w:val="24"/>
          <w:szCs w:val="24"/>
        </w:rPr>
        <w:t xml:space="preserve">Inland Revenue’s specific concerns with </w:t>
      </w:r>
      <w:r w:rsidR="00F86F05">
        <w:rPr>
          <w:rFonts w:ascii="Times New Roman" w:hAnsi="Times New Roman"/>
          <w:sz w:val="24"/>
          <w:szCs w:val="24"/>
        </w:rPr>
        <w:t xml:space="preserve">option 2 </w:t>
      </w:r>
      <w:r w:rsidR="00F87CE0">
        <w:rPr>
          <w:rFonts w:ascii="Times New Roman" w:hAnsi="Times New Roman"/>
          <w:sz w:val="24"/>
          <w:szCs w:val="24"/>
        </w:rPr>
        <w:t>are that:</w:t>
      </w:r>
    </w:p>
    <w:p w:rsidR="002727AE" w:rsidRDefault="002727AE" w:rsidP="003F40F7">
      <w:pPr>
        <w:pStyle w:val="ListParagraph"/>
        <w:ind w:left="0" w:right="170"/>
        <w:contextualSpacing w:val="0"/>
        <w:rPr>
          <w:rFonts w:ascii="Times New Roman" w:hAnsi="Times New Roman"/>
          <w:sz w:val="24"/>
          <w:szCs w:val="24"/>
        </w:rPr>
      </w:pPr>
    </w:p>
    <w:p w:rsidR="00F87CE0" w:rsidRPr="005E0FD2" w:rsidRDefault="00266EDA" w:rsidP="002B7B9A">
      <w:pPr>
        <w:pStyle w:val="ListParagraph"/>
        <w:numPr>
          <w:ilvl w:val="0"/>
          <w:numId w:val="37"/>
        </w:numPr>
        <w:ind w:right="170"/>
        <w:contextualSpacing w:val="0"/>
        <w:rPr>
          <w:rFonts w:ascii="Times New Roman" w:hAnsi="Times New Roman"/>
          <w:sz w:val="24"/>
          <w:szCs w:val="24"/>
        </w:rPr>
      </w:pPr>
      <w:r w:rsidRPr="005E0FD2">
        <w:rPr>
          <w:rFonts w:ascii="Times New Roman" w:hAnsi="Times New Roman"/>
          <w:sz w:val="24"/>
          <w:szCs w:val="24"/>
        </w:rPr>
        <w:t>It is not apparent that</w:t>
      </w:r>
      <w:r w:rsidR="005E0FD2">
        <w:rPr>
          <w:rFonts w:ascii="Times New Roman" w:hAnsi="Times New Roman"/>
          <w:sz w:val="24"/>
          <w:szCs w:val="24"/>
        </w:rPr>
        <w:t>, for i</w:t>
      </w:r>
      <w:r w:rsidR="00654AF0">
        <w:rPr>
          <w:rFonts w:ascii="Times New Roman" w:hAnsi="Times New Roman"/>
          <w:sz w:val="24"/>
          <w:szCs w:val="24"/>
        </w:rPr>
        <w:t>n</w:t>
      </w:r>
      <w:r w:rsidR="005E0FD2">
        <w:rPr>
          <w:rFonts w:ascii="Times New Roman" w:hAnsi="Times New Roman"/>
          <w:sz w:val="24"/>
          <w:szCs w:val="24"/>
        </w:rPr>
        <w:t>dividuals,</w:t>
      </w:r>
      <w:r w:rsidRPr="005E0FD2">
        <w:rPr>
          <w:rFonts w:ascii="Times New Roman" w:hAnsi="Times New Roman"/>
          <w:sz w:val="24"/>
          <w:szCs w:val="24"/>
        </w:rPr>
        <w:t xml:space="preserve"> the general anti-</w:t>
      </w:r>
      <w:r w:rsidR="00BF1502" w:rsidRPr="005E0FD2">
        <w:rPr>
          <w:rFonts w:ascii="Times New Roman" w:hAnsi="Times New Roman"/>
          <w:sz w:val="24"/>
          <w:szCs w:val="24"/>
        </w:rPr>
        <w:t>money laundering</w:t>
      </w:r>
      <w:r w:rsidR="00EB7402">
        <w:rPr>
          <w:rFonts w:ascii="Times New Roman" w:hAnsi="Times New Roman"/>
          <w:sz w:val="24"/>
          <w:szCs w:val="24"/>
        </w:rPr>
        <w:t xml:space="preserve"> (AML)</w:t>
      </w:r>
      <w:r w:rsidR="00BF1502" w:rsidRPr="005E0FD2">
        <w:rPr>
          <w:rFonts w:ascii="Times New Roman" w:hAnsi="Times New Roman"/>
          <w:sz w:val="24"/>
          <w:szCs w:val="24"/>
        </w:rPr>
        <w:t xml:space="preserve"> checks that a N</w:t>
      </w:r>
      <w:r w:rsidRPr="005E0FD2">
        <w:rPr>
          <w:rFonts w:ascii="Times New Roman" w:hAnsi="Times New Roman"/>
          <w:sz w:val="24"/>
          <w:szCs w:val="24"/>
        </w:rPr>
        <w:t xml:space="preserve">ew </w:t>
      </w:r>
      <w:r w:rsidR="00BF1502" w:rsidRPr="005E0FD2">
        <w:rPr>
          <w:rFonts w:ascii="Times New Roman" w:hAnsi="Times New Roman"/>
          <w:sz w:val="24"/>
          <w:szCs w:val="24"/>
        </w:rPr>
        <w:t>Zealand</w:t>
      </w:r>
      <w:r w:rsidRPr="005E0FD2">
        <w:rPr>
          <w:rFonts w:ascii="Times New Roman" w:hAnsi="Times New Roman"/>
          <w:sz w:val="24"/>
          <w:szCs w:val="24"/>
        </w:rPr>
        <w:t xml:space="preserve"> financial institution would carry out</w:t>
      </w:r>
      <w:r w:rsidR="005E0FD2">
        <w:rPr>
          <w:rFonts w:ascii="Times New Roman" w:hAnsi="Times New Roman"/>
          <w:sz w:val="24"/>
          <w:szCs w:val="24"/>
        </w:rPr>
        <w:t xml:space="preserve"> </w:t>
      </w:r>
      <w:r w:rsidRPr="005E0FD2">
        <w:rPr>
          <w:rFonts w:ascii="Times New Roman" w:hAnsi="Times New Roman"/>
          <w:sz w:val="24"/>
          <w:szCs w:val="24"/>
        </w:rPr>
        <w:t xml:space="preserve">would yield significantly more information than Inland Revenue collects as part of the current IRD number application process; </w:t>
      </w:r>
    </w:p>
    <w:p w:rsidR="00F86F05" w:rsidRDefault="00F86F05" w:rsidP="002B7B9A">
      <w:pPr>
        <w:pStyle w:val="ListParagraph"/>
        <w:numPr>
          <w:ilvl w:val="0"/>
          <w:numId w:val="37"/>
        </w:numPr>
        <w:ind w:right="170"/>
        <w:contextualSpacing w:val="0"/>
        <w:rPr>
          <w:rFonts w:ascii="Times New Roman" w:hAnsi="Times New Roman"/>
          <w:sz w:val="24"/>
          <w:szCs w:val="24"/>
        </w:rPr>
      </w:pPr>
      <w:r>
        <w:rPr>
          <w:rFonts w:ascii="Times New Roman" w:hAnsi="Times New Roman"/>
          <w:sz w:val="24"/>
          <w:szCs w:val="24"/>
        </w:rPr>
        <w:lastRenderedPageBreak/>
        <w:t xml:space="preserve">It is likely that the information obtained on bank account opening will be collected in any event once </w:t>
      </w:r>
      <w:r w:rsidR="001157C7">
        <w:rPr>
          <w:rFonts w:ascii="Times New Roman" w:hAnsi="Times New Roman"/>
          <w:sz w:val="24"/>
          <w:szCs w:val="24"/>
        </w:rPr>
        <w:t>P</w:t>
      </w:r>
      <w:r>
        <w:rPr>
          <w:rFonts w:ascii="Times New Roman" w:hAnsi="Times New Roman"/>
          <w:sz w:val="24"/>
          <w:szCs w:val="24"/>
        </w:rPr>
        <w:t>hase 2 of the planned AML roll-out occurs.  Any advantage that is obtained is therefore only likely to be temporary in nature.</w:t>
      </w:r>
    </w:p>
    <w:p w:rsidR="00611CDA" w:rsidRDefault="00611CDA" w:rsidP="003F40F7">
      <w:pPr>
        <w:pStyle w:val="ListParagraph"/>
        <w:ind w:left="0" w:right="170"/>
        <w:contextualSpacing w:val="0"/>
        <w:rPr>
          <w:rFonts w:ascii="Times New Roman" w:hAnsi="Times New Roman"/>
          <w:sz w:val="24"/>
          <w:szCs w:val="24"/>
        </w:rPr>
      </w:pPr>
    </w:p>
    <w:p w:rsidR="00237725" w:rsidRDefault="00237725" w:rsidP="003F40F7">
      <w:pPr>
        <w:pStyle w:val="ListParagraph"/>
        <w:ind w:left="0" w:right="170"/>
        <w:contextualSpacing w:val="0"/>
        <w:rPr>
          <w:rFonts w:ascii="Times New Roman" w:hAnsi="Times New Roman"/>
          <w:sz w:val="24"/>
          <w:szCs w:val="24"/>
        </w:rPr>
      </w:pPr>
      <w:r>
        <w:rPr>
          <w:rFonts w:ascii="Times New Roman" w:hAnsi="Times New Roman"/>
          <w:sz w:val="24"/>
          <w:szCs w:val="24"/>
        </w:rPr>
        <w:t xml:space="preserve">In saying this, Inland Revenue has considered the options largely from a tax policy perspective.  As highlighted by the Treasury comment in paragraph 36 of this statement, there may be other “whole of government” </w:t>
      </w:r>
      <w:r w:rsidR="00AF67E9">
        <w:rPr>
          <w:rFonts w:ascii="Times New Roman" w:hAnsi="Times New Roman"/>
          <w:sz w:val="24"/>
          <w:szCs w:val="24"/>
        </w:rPr>
        <w:t>reasons</w:t>
      </w:r>
      <w:r>
        <w:rPr>
          <w:rFonts w:ascii="Times New Roman" w:hAnsi="Times New Roman"/>
          <w:sz w:val="24"/>
          <w:szCs w:val="24"/>
        </w:rPr>
        <w:t xml:space="preserve"> for preferring Option 1 that Inland Revenue is not best placed to comment on.  </w:t>
      </w:r>
    </w:p>
    <w:p w:rsidR="00237725" w:rsidRDefault="00237725" w:rsidP="003F40F7">
      <w:pPr>
        <w:pStyle w:val="ListParagraph"/>
        <w:ind w:left="0" w:right="170"/>
        <w:contextualSpacing w:val="0"/>
        <w:rPr>
          <w:rFonts w:ascii="Times New Roman" w:hAnsi="Times New Roman"/>
          <w:sz w:val="24"/>
          <w:szCs w:val="24"/>
        </w:rPr>
      </w:pPr>
    </w:p>
    <w:p w:rsidR="00F307D9" w:rsidRDefault="00885E3A" w:rsidP="003F40F7">
      <w:pPr>
        <w:pStyle w:val="ListParagraph"/>
        <w:ind w:left="0" w:right="170"/>
        <w:contextualSpacing w:val="0"/>
        <w:rPr>
          <w:rFonts w:ascii="Times New Roman" w:hAnsi="Times New Roman"/>
          <w:sz w:val="24"/>
          <w:szCs w:val="24"/>
        </w:rPr>
      </w:pPr>
      <w:r w:rsidRPr="00885E3A">
        <w:rPr>
          <w:rFonts w:ascii="Times New Roman" w:hAnsi="Times New Roman"/>
          <w:sz w:val="24"/>
          <w:szCs w:val="24"/>
        </w:rPr>
        <w:t>Inland Revenue has consulted with the Treasury, the Reserve Bank of New Zealand and the Ministry of Justice in relation to these options.</w:t>
      </w:r>
      <w:r w:rsidR="00FF426B">
        <w:rPr>
          <w:rFonts w:ascii="Times New Roman" w:hAnsi="Times New Roman"/>
          <w:sz w:val="24"/>
          <w:szCs w:val="24"/>
        </w:rPr>
        <w:t xml:space="preserve">  </w:t>
      </w:r>
      <w:r w:rsidR="00A557D0">
        <w:rPr>
          <w:rFonts w:ascii="Times New Roman" w:hAnsi="Times New Roman"/>
          <w:sz w:val="24"/>
          <w:szCs w:val="24"/>
        </w:rPr>
        <w:t>No public consultation was undertaken on the proposal because of time constraints.  The rule is to take effect from 1 October 2015.  Public consultation will therefore take place in the usual way during the Select Committee process</w:t>
      </w:r>
      <w:r w:rsidR="00F307D9">
        <w:rPr>
          <w:rFonts w:ascii="Times New Roman" w:hAnsi="Times New Roman"/>
          <w:sz w:val="24"/>
          <w:szCs w:val="24"/>
        </w:rPr>
        <w:t>.</w:t>
      </w:r>
    </w:p>
    <w:p w:rsidR="00D63B22" w:rsidRDefault="00D63B22" w:rsidP="003F40F7">
      <w:pPr>
        <w:pStyle w:val="ListParagraph"/>
        <w:ind w:left="0" w:right="170"/>
        <w:contextualSpacing w:val="0"/>
        <w:rPr>
          <w:rFonts w:ascii="Times New Roman" w:hAnsi="Times New Roman"/>
          <w:sz w:val="24"/>
          <w:szCs w:val="24"/>
        </w:rPr>
      </w:pPr>
    </w:p>
    <w:p w:rsidR="00F7581D" w:rsidRDefault="00D23891" w:rsidP="003F40F7">
      <w:pPr>
        <w:pStyle w:val="Text"/>
        <w:spacing w:before="0" w:after="0" w:line="240" w:lineRule="auto"/>
        <w:ind w:right="170"/>
        <w:rPr>
          <w:rFonts w:ascii="Times New Roman" w:hAnsi="Times New Roman"/>
          <w:sz w:val="24"/>
          <w:szCs w:val="24"/>
          <w:lang w:val="en-NZ"/>
        </w:rPr>
      </w:pPr>
      <w:r>
        <w:rPr>
          <w:rFonts w:ascii="Times New Roman" w:hAnsi="Times New Roman"/>
          <w:sz w:val="24"/>
          <w:szCs w:val="24"/>
        </w:rPr>
        <w:t>T</w:t>
      </w:r>
      <w:r w:rsidR="00F7581D">
        <w:rPr>
          <w:rFonts w:ascii="Times New Roman" w:hAnsi="Times New Roman"/>
          <w:sz w:val="24"/>
          <w:szCs w:val="24"/>
        </w:rPr>
        <w:t xml:space="preserve">he options </w:t>
      </w:r>
      <w:r w:rsidR="0005571A">
        <w:rPr>
          <w:rFonts w:ascii="Times New Roman" w:hAnsi="Times New Roman"/>
          <w:sz w:val="24"/>
          <w:szCs w:val="24"/>
        </w:rPr>
        <w:t xml:space="preserve">identified </w:t>
      </w:r>
      <w:r w:rsidR="00F7581D">
        <w:rPr>
          <w:rFonts w:ascii="Times New Roman" w:hAnsi="Times New Roman"/>
          <w:sz w:val="24"/>
          <w:szCs w:val="24"/>
        </w:rPr>
        <w:t xml:space="preserve">would </w:t>
      </w:r>
      <w:r>
        <w:rPr>
          <w:rFonts w:ascii="Times New Roman" w:hAnsi="Times New Roman"/>
          <w:sz w:val="24"/>
          <w:szCs w:val="24"/>
        </w:rPr>
        <w:t xml:space="preserve">not </w:t>
      </w:r>
      <w:r w:rsidR="00F7581D">
        <w:rPr>
          <w:rFonts w:ascii="Times New Roman" w:hAnsi="Times New Roman"/>
          <w:sz w:val="24"/>
          <w:szCs w:val="24"/>
        </w:rPr>
        <w:t xml:space="preserve">impair private property rights or reduce market competition.  </w:t>
      </w:r>
      <w:r w:rsidR="00266EDA">
        <w:rPr>
          <w:rFonts w:ascii="Times New Roman" w:hAnsi="Times New Roman"/>
          <w:sz w:val="24"/>
          <w:szCs w:val="24"/>
        </w:rPr>
        <w:t>However</w:t>
      </w:r>
      <w:r w:rsidR="00F7581D">
        <w:rPr>
          <w:rFonts w:ascii="Times New Roman" w:hAnsi="Times New Roman"/>
          <w:sz w:val="24"/>
          <w:szCs w:val="24"/>
        </w:rPr>
        <w:t xml:space="preserve">, </w:t>
      </w:r>
      <w:r w:rsidR="00776FA0">
        <w:rPr>
          <w:rFonts w:ascii="Times New Roman" w:hAnsi="Times New Roman"/>
          <w:sz w:val="24"/>
          <w:szCs w:val="24"/>
        </w:rPr>
        <w:t>w</w:t>
      </w:r>
      <w:r w:rsidR="00776FA0">
        <w:rPr>
          <w:rFonts w:ascii="Times New Roman" w:hAnsi="Times New Roman"/>
          <w:sz w:val="24"/>
          <w:szCs w:val="24"/>
          <w:lang w:val="en-NZ"/>
        </w:rPr>
        <w:t>e</w:t>
      </w:r>
      <w:r w:rsidR="00A366D2">
        <w:rPr>
          <w:rFonts w:ascii="Times New Roman" w:hAnsi="Times New Roman"/>
          <w:sz w:val="24"/>
          <w:szCs w:val="24"/>
          <w:lang w:val="en-NZ"/>
        </w:rPr>
        <w:t xml:space="preserve"> note that </w:t>
      </w:r>
      <w:r w:rsidR="00776FA0">
        <w:rPr>
          <w:rFonts w:ascii="Times New Roman" w:hAnsi="Times New Roman"/>
          <w:sz w:val="24"/>
          <w:szCs w:val="24"/>
          <w:lang w:val="en-NZ"/>
        </w:rPr>
        <w:t xml:space="preserve">requiring </w:t>
      </w:r>
      <w:r w:rsidR="00B22FAB">
        <w:rPr>
          <w:rFonts w:ascii="Times New Roman" w:hAnsi="Times New Roman"/>
          <w:sz w:val="24"/>
          <w:szCs w:val="24"/>
          <w:lang w:val="en-NZ"/>
        </w:rPr>
        <w:t>offshore persons</w:t>
      </w:r>
      <w:r w:rsidR="00776FA0">
        <w:rPr>
          <w:rFonts w:ascii="Times New Roman" w:hAnsi="Times New Roman"/>
          <w:sz w:val="24"/>
          <w:szCs w:val="24"/>
          <w:lang w:val="en-NZ"/>
        </w:rPr>
        <w:t xml:space="preserve"> to have a bank account </w:t>
      </w:r>
      <w:r w:rsidR="00A366D2">
        <w:rPr>
          <w:rFonts w:ascii="Times New Roman" w:hAnsi="Times New Roman"/>
          <w:sz w:val="24"/>
          <w:szCs w:val="24"/>
          <w:lang w:val="en-NZ"/>
        </w:rPr>
        <w:t xml:space="preserve">would impose additional costs on </w:t>
      </w:r>
      <w:r w:rsidR="00B22FAB">
        <w:rPr>
          <w:rFonts w:ascii="Times New Roman" w:hAnsi="Times New Roman"/>
          <w:sz w:val="24"/>
          <w:szCs w:val="24"/>
          <w:lang w:val="en-NZ"/>
        </w:rPr>
        <w:t>those people</w:t>
      </w:r>
      <w:r w:rsidR="00A366D2">
        <w:rPr>
          <w:rFonts w:ascii="Times New Roman" w:hAnsi="Times New Roman"/>
          <w:sz w:val="24"/>
          <w:szCs w:val="24"/>
          <w:lang w:val="en-NZ"/>
        </w:rPr>
        <w:t>.</w:t>
      </w:r>
    </w:p>
    <w:p w:rsidR="00D86AB1" w:rsidRDefault="00D86AB1" w:rsidP="003F40F7">
      <w:pPr>
        <w:pStyle w:val="Text"/>
        <w:spacing w:before="0" w:after="0" w:line="240" w:lineRule="auto"/>
        <w:ind w:right="170"/>
        <w:rPr>
          <w:rFonts w:ascii="Times New Roman" w:hAnsi="Times New Roman"/>
          <w:sz w:val="24"/>
          <w:szCs w:val="24"/>
          <w:lang w:val="en-NZ"/>
        </w:rPr>
      </w:pPr>
    </w:p>
    <w:p w:rsidR="00D86AB1" w:rsidRDefault="00D86AB1" w:rsidP="003F40F7">
      <w:pPr>
        <w:spacing w:after="0" w:line="240" w:lineRule="auto"/>
        <w:jc w:val="both"/>
        <w:rPr>
          <w:rFonts w:ascii="Times New Roman" w:hAnsi="Times New Roman"/>
          <w:sz w:val="24"/>
          <w:szCs w:val="24"/>
        </w:rPr>
      </w:pPr>
    </w:p>
    <w:p w:rsidR="00D86AB1" w:rsidRDefault="00D86AB1" w:rsidP="003F40F7">
      <w:pPr>
        <w:spacing w:after="0" w:line="240" w:lineRule="auto"/>
        <w:jc w:val="both"/>
        <w:rPr>
          <w:rFonts w:ascii="Times New Roman" w:hAnsi="Times New Roman"/>
          <w:sz w:val="24"/>
          <w:szCs w:val="24"/>
        </w:rPr>
      </w:pPr>
    </w:p>
    <w:p w:rsidR="00D86AB1" w:rsidRDefault="00D86AB1" w:rsidP="003F40F7">
      <w:pPr>
        <w:spacing w:after="0" w:line="240" w:lineRule="auto"/>
        <w:jc w:val="both"/>
        <w:rPr>
          <w:rFonts w:ascii="Times New Roman" w:hAnsi="Times New Roman"/>
          <w:sz w:val="24"/>
          <w:szCs w:val="24"/>
        </w:rPr>
      </w:pPr>
    </w:p>
    <w:p w:rsidR="00D86AB1" w:rsidRDefault="00D86AB1" w:rsidP="003F40F7">
      <w:pPr>
        <w:spacing w:after="0" w:line="240" w:lineRule="auto"/>
        <w:jc w:val="both"/>
        <w:rPr>
          <w:rFonts w:ascii="Times New Roman" w:hAnsi="Times New Roman"/>
          <w:sz w:val="24"/>
          <w:szCs w:val="24"/>
        </w:rPr>
      </w:pPr>
    </w:p>
    <w:p w:rsidR="00D86AB1" w:rsidRDefault="004173D9" w:rsidP="003F40F7">
      <w:pPr>
        <w:spacing w:after="0" w:line="240" w:lineRule="auto"/>
        <w:jc w:val="both"/>
        <w:rPr>
          <w:rFonts w:ascii="Times New Roman" w:hAnsi="Times New Roman"/>
          <w:sz w:val="24"/>
          <w:szCs w:val="24"/>
        </w:rPr>
      </w:pPr>
      <w:r>
        <w:rPr>
          <w:rFonts w:ascii="Times New Roman" w:hAnsi="Times New Roman"/>
          <w:sz w:val="24"/>
          <w:szCs w:val="24"/>
        </w:rPr>
        <w:t>Emma Grigg</w:t>
      </w:r>
    </w:p>
    <w:p w:rsidR="004173D9" w:rsidRDefault="004173D9" w:rsidP="003F40F7">
      <w:pPr>
        <w:spacing w:after="0" w:line="240" w:lineRule="auto"/>
        <w:jc w:val="both"/>
        <w:rPr>
          <w:rFonts w:ascii="Times New Roman" w:hAnsi="Times New Roman"/>
          <w:sz w:val="24"/>
          <w:szCs w:val="24"/>
        </w:rPr>
      </w:pPr>
      <w:r>
        <w:rPr>
          <w:rFonts w:ascii="Times New Roman" w:hAnsi="Times New Roman"/>
          <w:sz w:val="24"/>
          <w:szCs w:val="24"/>
        </w:rPr>
        <w:t>Policy Director</w:t>
      </w:r>
    </w:p>
    <w:p w:rsidR="00D86AB1" w:rsidRDefault="00D86AB1" w:rsidP="003F40F7">
      <w:pPr>
        <w:spacing w:after="0" w:line="240" w:lineRule="auto"/>
        <w:jc w:val="both"/>
        <w:rPr>
          <w:rFonts w:ascii="Times New Roman" w:hAnsi="Times New Roman"/>
          <w:sz w:val="24"/>
          <w:szCs w:val="24"/>
        </w:rPr>
      </w:pPr>
      <w:r>
        <w:rPr>
          <w:rFonts w:ascii="Times New Roman" w:hAnsi="Times New Roman"/>
          <w:sz w:val="24"/>
          <w:szCs w:val="24"/>
        </w:rPr>
        <w:t>Inland Revenue</w:t>
      </w:r>
    </w:p>
    <w:p w:rsidR="00D86AB1" w:rsidRDefault="00BC469B" w:rsidP="003F40F7">
      <w:pPr>
        <w:pStyle w:val="Text"/>
        <w:spacing w:before="0" w:after="0" w:line="240" w:lineRule="auto"/>
        <w:ind w:right="170"/>
        <w:rPr>
          <w:rFonts w:ascii="Times New Roman" w:hAnsi="Times New Roman"/>
          <w:sz w:val="24"/>
          <w:szCs w:val="24"/>
          <w:lang w:val="en-NZ"/>
        </w:rPr>
      </w:pPr>
      <w:r>
        <w:rPr>
          <w:rFonts w:ascii="Times New Roman" w:hAnsi="Times New Roman"/>
          <w:sz w:val="24"/>
          <w:szCs w:val="24"/>
        </w:rPr>
        <w:t xml:space="preserve">18 </w:t>
      </w:r>
      <w:r w:rsidR="00885E3A">
        <w:rPr>
          <w:rFonts w:ascii="Times New Roman" w:hAnsi="Times New Roman"/>
          <w:sz w:val="24"/>
          <w:szCs w:val="24"/>
        </w:rPr>
        <w:t xml:space="preserve">June </w:t>
      </w:r>
      <w:r w:rsidR="00D86AB1">
        <w:rPr>
          <w:rFonts w:ascii="Times New Roman" w:hAnsi="Times New Roman"/>
          <w:sz w:val="24"/>
          <w:szCs w:val="24"/>
        </w:rPr>
        <w:t>2015</w:t>
      </w:r>
    </w:p>
    <w:p w:rsidR="002057D7" w:rsidRDefault="002057D7" w:rsidP="003F40F7">
      <w:pPr>
        <w:pStyle w:val="ListParagraph"/>
        <w:ind w:left="0" w:right="170"/>
        <w:contextualSpacing w:val="0"/>
        <w:rPr>
          <w:rFonts w:ascii="Times New Roman" w:hAnsi="Times New Roman"/>
          <w:sz w:val="24"/>
          <w:szCs w:val="24"/>
        </w:rPr>
      </w:pPr>
    </w:p>
    <w:p w:rsidR="00D86AB1" w:rsidRDefault="00D86AB1" w:rsidP="003F40F7">
      <w:pPr>
        <w:spacing w:after="0" w:line="240" w:lineRule="auto"/>
        <w:jc w:val="both"/>
        <w:rPr>
          <w:rFonts w:ascii="Times New Roman" w:hAnsi="Times New Roman"/>
          <w:b/>
          <w:sz w:val="24"/>
          <w:szCs w:val="24"/>
          <w:lang w:val="en-NZ" w:eastAsia="en-US"/>
        </w:rPr>
      </w:pPr>
      <w:r>
        <w:rPr>
          <w:rFonts w:ascii="Times New Roman" w:hAnsi="Times New Roman"/>
          <w:b/>
          <w:sz w:val="24"/>
          <w:szCs w:val="24"/>
        </w:rPr>
        <w:br w:type="page"/>
      </w:r>
    </w:p>
    <w:p w:rsidR="002057D7" w:rsidRPr="00A0416D" w:rsidRDefault="002057D7" w:rsidP="003F40F7">
      <w:pPr>
        <w:pStyle w:val="ListParagraph"/>
        <w:ind w:left="0" w:right="170"/>
        <w:contextualSpacing w:val="0"/>
        <w:rPr>
          <w:rFonts w:ascii="Times New Roman" w:hAnsi="Times New Roman"/>
          <w:b/>
          <w:sz w:val="24"/>
          <w:szCs w:val="24"/>
          <w:lang w:val="en-GB" w:eastAsia="en-GB"/>
        </w:rPr>
      </w:pPr>
      <w:r w:rsidRPr="00A0416D">
        <w:rPr>
          <w:rFonts w:ascii="Times New Roman" w:hAnsi="Times New Roman"/>
          <w:b/>
          <w:sz w:val="24"/>
          <w:szCs w:val="24"/>
          <w:lang w:val="en-GB" w:eastAsia="en-GB"/>
        </w:rPr>
        <w:lastRenderedPageBreak/>
        <w:t xml:space="preserve">Status quo and </w:t>
      </w:r>
      <w:r w:rsidR="003C4AAE">
        <w:rPr>
          <w:rFonts w:ascii="Times New Roman" w:hAnsi="Times New Roman"/>
          <w:b/>
          <w:sz w:val="24"/>
          <w:szCs w:val="24"/>
          <w:lang w:val="en-GB" w:eastAsia="en-GB"/>
        </w:rPr>
        <w:t>p</w:t>
      </w:r>
      <w:r w:rsidRPr="00A0416D">
        <w:rPr>
          <w:rFonts w:ascii="Times New Roman" w:hAnsi="Times New Roman"/>
          <w:b/>
          <w:sz w:val="24"/>
          <w:szCs w:val="24"/>
          <w:lang w:val="en-GB" w:eastAsia="en-GB"/>
        </w:rPr>
        <w:t>roblem definition</w:t>
      </w:r>
    </w:p>
    <w:p w:rsidR="007A57A1" w:rsidRPr="00412CC4" w:rsidRDefault="007A57A1" w:rsidP="003F40F7">
      <w:pPr>
        <w:pStyle w:val="ListParagraph"/>
        <w:ind w:left="0" w:right="170"/>
        <w:contextualSpacing w:val="0"/>
        <w:rPr>
          <w:rFonts w:ascii="Times New Roman" w:hAnsi="Times New Roman"/>
          <w:sz w:val="24"/>
          <w:szCs w:val="24"/>
          <w:lang w:val="en-GB" w:eastAsia="en-GB"/>
        </w:rPr>
      </w:pPr>
    </w:p>
    <w:p w:rsidR="004C4CFE" w:rsidRDefault="00BE170E" w:rsidP="003F40F7">
      <w:pPr>
        <w:spacing w:after="0" w:line="240" w:lineRule="auto"/>
        <w:jc w:val="both"/>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4C4CFE">
        <w:rPr>
          <w:rFonts w:ascii="Times New Roman" w:hAnsi="Times New Roman"/>
          <w:sz w:val="24"/>
          <w:szCs w:val="24"/>
        </w:rPr>
        <w:t xml:space="preserve">The Government is concerned with </w:t>
      </w:r>
      <w:r w:rsidR="00266EDA">
        <w:rPr>
          <w:rFonts w:ascii="Times New Roman" w:hAnsi="Times New Roman"/>
          <w:sz w:val="24"/>
          <w:szCs w:val="24"/>
        </w:rPr>
        <w:t xml:space="preserve">high </w:t>
      </w:r>
      <w:r w:rsidR="004C4CFE">
        <w:rPr>
          <w:rFonts w:ascii="Times New Roman" w:hAnsi="Times New Roman"/>
          <w:sz w:val="24"/>
          <w:szCs w:val="24"/>
        </w:rPr>
        <w:t>house price</w:t>
      </w:r>
      <w:r w:rsidR="00266EDA">
        <w:rPr>
          <w:rFonts w:ascii="Times New Roman" w:hAnsi="Times New Roman"/>
          <w:sz w:val="24"/>
          <w:szCs w:val="24"/>
        </w:rPr>
        <w:t>s</w:t>
      </w:r>
      <w:r w:rsidR="004C4CFE">
        <w:rPr>
          <w:rFonts w:ascii="Times New Roman" w:hAnsi="Times New Roman"/>
          <w:sz w:val="24"/>
          <w:szCs w:val="24"/>
        </w:rPr>
        <w:t xml:space="preserve">, particularly in the Auckland area.  Property speculation is seen as one of a number of causes of the current </w:t>
      </w:r>
      <w:r w:rsidR="00266EDA">
        <w:rPr>
          <w:rFonts w:ascii="Times New Roman" w:hAnsi="Times New Roman"/>
          <w:sz w:val="24"/>
          <w:szCs w:val="24"/>
        </w:rPr>
        <w:t>prices</w:t>
      </w:r>
      <w:r w:rsidR="004C4CFE">
        <w:rPr>
          <w:rFonts w:ascii="Times New Roman" w:hAnsi="Times New Roman"/>
          <w:sz w:val="24"/>
          <w:szCs w:val="24"/>
        </w:rPr>
        <w:t>.  Other possible causes</w:t>
      </w:r>
      <w:r w:rsidR="00AC378A">
        <w:rPr>
          <w:rFonts w:ascii="Times New Roman" w:hAnsi="Times New Roman"/>
          <w:sz w:val="24"/>
          <w:szCs w:val="24"/>
        </w:rPr>
        <w:t>, both on the supply and demand sides,</w:t>
      </w:r>
      <w:r w:rsidR="004C4CFE">
        <w:rPr>
          <w:rFonts w:ascii="Times New Roman" w:hAnsi="Times New Roman"/>
          <w:sz w:val="24"/>
          <w:szCs w:val="24"/>
        </w:rPr>
        <w:t xml:space="preserve"> are being separately considered.  The attractiveness of property speculation, when compared with other forms on investment, will increase if the gains are able to be realised untaxed, when gains from other investments are taxed.  </w:t>
      </w:r>
    </w:p>
    <w:p w:rsidR="004C4CFE" w:rsidRDefault="004C4CFE" w:rsidP="003F40F7">
      <w:pPr>
        <w:spacing w:after="0" w:line="240" w:lineRule="auto"/>
        <w:jc w:val="both"/>
        <w:rPr>
          <w:rFonts w:ascii="Times New Roman" w:hAnsi="Times New Roman"/>
          <w:sz w:val="24"/>
          <w:szCs w:val="24"/>
        </w:rPr>
      </w:pPr>
    </w:p>
    <w:p w:rsidR="0061740D" w:rsidRDefault="007305E5" w:rsidP="003F40F7">
      <w:pPr>
        <w:spacing w:after="0" w:line="240" w:lineRule="auto"/>
        <w:jc w:val="both"/>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F0301C">
        <w:rPr>
          <w:rFonts w:ascii="Times New Roman" w:hAnsi="Times New Roman"/>
          <w:sz w:val="24"/>
          <w:szCs w:val="24"/>
        </w:rPr>
        <w:t xml:space="preserve">The Income Tax Act 2007 contains provisions that impose income tax on </w:t>
      </w:r>
      <w:r w:rsidR="004C4CFE">
        <w:rPr>
          <w:rFonts w:ascii="Times New Roman" w:hAnsi="Times New Roman"/>
          <w:sz w:val="24"/>
          <w:szCs w:val="24"/>
        </w:rPr>
        <w:t xml:space="preserve">certain </w:t>
      </w:r>
      <w:r w:rsidR="00F0301C">
        <w:rPr>
          <w:rFonts w:ascii="Times New Roman" w:hAnsi="Times New Roman"/>
          <w:sz w:val="24"/>
          <w:szCs w:val="24"/>
        </w:rPr>
        <w:t>property transactions.  Examples are section CB 6, which taxes land bought with the intention of disposal and section CB 7, which taxes land acquired for the purposes of a business dealing in land.  However, although the Act creates these obligations, the Government is concerned that compliance with these provisions is relatively low.</w:t>
      </w:r>
    </w:p>
    <w:p w:rsidR="007170D7" w:rsidRDefault="007170D7" w:rsidP="003F40F7">
      <w:pPr>
        <w:spacing w:after="0" w:line="240" w:lineRule="auto"/>
        <w:jc w:val="both"/>
        <w:rPr>
          <w:rFonts w:ascii="Times New Roman" w:hAnsi="Times New Roman"/>
          <w:sz w:val="24"/>
          <w:szCs w:val="24"/>
        </w:rPr>
      </w:pPr>
    </w:p>
    <w:p w:rsidR="007170D7" w:rsidRDefault="007305E5" w:rsidP="003F40F7">
      <w:pPr>
        <w:spacing w:after="0" w:line="240" w:lineRule="auto"/>
        <w:jc w:val="both"/>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4C4CFE">
        <w:rPr>
          <w:rFonts w:ascii="Times New Roman" w:hAnsi="Times New Roman"/>
          <w:sz w:val="24"/>
          <w:szCs w:val="24"/>
        </w:rPr>
        <w:t xml:space="preserve">In order to investigate compliance with the Income Tax Act provisions, </w:t>
      </w:r>
      <w:r w:rsidR="007170D7">
        <w:rPr>
          <w:rFonts w:ascii="Times New Roman" w:hAnsi="Times New Roman"/>
          <w:sz w:val="24"/>
          <w:szCs w:val="24"/>
        </w:rPr>
        <w:t>Inland Revenue does have the capacity to access records o</w:t>
      </w:r>
      <w:r w:rsidR="004C4CFE">
        <w:rPr>
          <w:rFonts w:ascii="Times New Roman" w:hAnsi="Times New Roman"/>
          <w:sz w:val="24"/>
          <w:szCs w:val="24"/>
        </w:rPr>
        <w:t>f land transfers in New Zealand -</w:t>
      </w:r>
      <w:r w:rsidR="007170D7">
        <w:rPr>
          <w:rFonts w:ascii="Times New Roman" w:hAnsi="Times New Roman"/>
          <w:sz w:val="24"/>
          <w:szCs w:val="24"/>
        </w:rPr>
        <w:t xml:space="preserve"> but this process is </w:t>
      </w:r>
      <w:r w:rsidR="008E0C21">
        <w:rPr>
          <w:rFonts w:ascii="Times New Roman" w:hAnsi="Times New Roman"/>
          <w:sz w:val="24"/>
          <w:szCs w:val="24"/>
        </w:rPr>
        <w:t xml:space="preserve">historic, rather than </w:t>
      </w:r>
      <w:r w:rsidR="00166AD0">
        <w:rPr>
          <w:rFonts w:ascii="Times New Roman" w:hAnsi="Times New Roman"/>
          <w:sz w:val="24"/>
          <w:szCs w:val="24"/>
        </w:rPr>
        <w:t xml:space="preserve">in </w:t>
      </w:r>
      <w:r w:rsidR="008E0C21">
        <w:rPr>
          <w:rFonts w:ascii="Times New Roman" w:hAnsi="Times New Roman"/>
          <w:sz w:val="24"/>
          <w:szCs w:val="24"/>
        </w:rPr>
        <w:t>real</w:t>
      </w:r>
      <w:r w:rsidR="00166AD0">
        <w:rPr>
          <w:rFonts w:ascii="Times New Roman" w:hAnsi="Times New Roman"/>
          <w:sz w:val="24"/>
          <w:szCs w:val="24"/>
        </w:rPr>
        <w:t>-</w:t>
      </w:r>
      <w:r w:rsidR="008E0C21">
        <w:rPr>
          <w:rFonts w:ascii="Times New Roman" w:hAnsi="Times New Roman"/>
          <w:sz w:val="24"/>
          <w:szCs w:val="24"/>
        </w:rPr>
        <w:t xml:space="preserve">time.  Information received may also, depending on the nature of the request, not give a complete picture of the activities of a particular taxpayer. </w:t>
      </w:r>
    </w:p>
    <w:p w:rsidR="001908C3" w:rsidRDefault="001908C3" w:rsidP="003F40F7">
      <w:pPr>
        <w:spacing w:after="0" w:line="240" w:lineRule="auto"/>
        <w:jc w:val="both"/>
        <w:rPr>
          <w:rFonts w:ascii="Times New Roman" w:hAnsi="Times New Roman"/>
          <w:sz w:val="24"/>
          <w:szCs w:val="24"/>
        </w:rPr>
      </w:pPr>
    </w:p>
    <w:p w:rsidR="003C4AAE" w:rsidRPr="00E4232F" w:rsidRDefault="007305E5" w:rsidP="003C4AAE">
      <w:pPr>
        <w:spacing w:after="0" w:line="240" w:lineRule="auto"/>
        <w:jc w:val="both"/>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1908C3">
        <w:rPr>
          <w:rFonts w:ascii="Times New Roman" w:hAnsi="Times New Roman"/>
          <w:sz w:val="24"/>
          <w:szCs w:val="24"/>
        </w:rPr>
        <w:t xml:space="preserve">Further, the Government considers that compliance by non-residents might be particularly low.  This may come about as a result of ignorance of the tax rules.  However, it is recognised that enforcing tax rules on non-residents is </w:t>
      </w:r>
      <w:r w:rsidR="003C4AAE">
        <w:rPr>
          <w:rFonts w:ascii="Times New Roman" w:hAnsi="Times New Roman"/>
          <w:sz w:val="24"/>
          <w:szCs w:val="24"/>
        </w:rPr>
        <w:t>very</w:t>
      </w:r>
      <w:r w:rsidR="001908C3">
        <w:rPr>
          <w:rFonts w:ascii="Times New Roman" w:hAnsi="Times New Roman"/>
          <w:sz w:val="24"/>
          <w:szCs w:val="24"/>
        </w:rPr>
        <w:t xml:space="preserve"> difficult, especially those with only limited involvement with New Zealand.  </w:t>
      </w:r>
      <w:r w:rsidR="00334AE3">
        <w:rPr>
          <w:rFonts w:ascii="Times New Roman" w:hAnsi="Times New Roman"/>
          <w:sz w:val="24"/>
          <w:szCs w:val="24"/>
        </w:rPr>
        <w:t>The fact that Inland Revenue is not aware of certain transactions means that the scope of the problem is not able to be quantified.</w:t>
      </w:r>
    </w:p>
    <w:p w:rsidR="001908C3" w:rsidRPr="003C4AAE" w:rsidRDefault="001908C3" w:rsidP="003C4AAE">
      <w:pPr>
        <w:pStyle w:val="ListParagraph"/>
        <w:ind w:left="927"/>
        <w:rPr>
          <w:rFonts w:ascii="Times New Roman" w:hAnsi="Times New Roman"/>
          <w:sz w:val="24"/>
          <w:szCs w:val="24"/>
        </w:rPr>
      </w:pPr>
    </w:p>
    <w:p w:rsidR="00F0301C" w:rsidRDefault="007305E5" w:rsidP="003F40F7">
      <w:pPr>
        <w:spacing w:after="0" w:line="240" w:lineRule="auto"/>
        <w:jc w:val="both"/>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F0301C">
        <w:rPr>
          <w:rFonts w:ascii="Times New Roman" w:hAnsi="Times New Roman"/>
          <w:sz w:val="24"/>
          <w:szCs w:val="24"/>
        </w:rPr>
        <w:t xml:space="preserve">To address these concerns, </w:t>
      </w:r>
      <w:r w:rsidR="00DC00E5">
        <w:rPr>
          <w:rFonts w:ascii="Times New Roman" w:hAnsi="Times New Roman"/>
          <w:sz w:val="24"/>
          <w:szCs w:val="24"/>
        </w:rPr>
        <w:t xml:space="preserve">the Government, as part of </w:t>
      </w:r>
      <w:r w:rsidR="00F0301C">
        <w:rPr>
          <w:rFonts w:ascii="Times New Roman" w:hAnsi="Times New Roman"/>
          <w:sz w:val="24"/>
          <w:szCs w:val="24"/>
        </w:rPr>
        <w:t>Budget 2015</w:t>
      </w:r>
      <w:r w:rsidR="00DC00E5">
        <w:rPr>
          <w:rFonts w:ascii="Times New Roman" w:hAnsi="Times New Roman"/>
          <w:sz w:val="24"/>
          <w:szCs w:val="24"/>
        </w:rPr>
        <w:t>, announced</w:t>
      </w:r>
      <w:r w:rsidR="00F0301C">
        <w:rPr>
          <w:rFonts w:ascii="Times New Roman" w:hAnsi="Times New Roman"/>
          <w:sz w:val="24"/>
          <w:szCs w:val="24"/>
        </w:rPr>
        <w:t xml:space="preserve"> a suite of measures aimed at providing clearer rules and providing more useful information to Inland Revenue to assist in its enforcement of the rules</w:t>
      </w:r>
      <w:r w:rsidR="003C4AAE">
        <w:rPr>
          <w:rFonts w:ascii="Times New Roman" w:hAnsi="Times New Roman"/>
          <w:sz w:val="24"/>
          <w:szCs w:val="24"/>
        </w:rPr>
        <w:t>, including increased funding to Inland Revenue to investigate property compliance</w:t>
      </w:r>
      <w:r w:rsidR="00F0301C">
        <w:rPr>
          <w:rFonts w:ascii="Times New Roman" w:hAnsi="Times New Roman"/>
          <w:sz w:val="24"/>
          <w:szCs w:val="24"/>
        </w:rPr>
        <w:t xml:space="preserve">.  The main legislative change is the introduction of a “brightline” test that will, in general terms, make the disposal of residential property taxable if the property is bought and sold within a two-year window (subject to certain exemptions).  A regulatory impact statement for </w:t>
      </w:r>
      <w:r w:rsidR="003C4AAE">
        <w:rPr>
          <w:rFonts w:ascii="Times New Roman" w:hAnsi="Times New Roman"/>
          <w:sz w:val="24"/>
          <w:szCs w:val="24"/>
        </w:rPr>
        <w:t>that</w:t>
      </w:r>
      <w:r w:rsidR="00F0301C">
        <w:rPr>
          <w:rFonts w:ascii="Times New Roman" w:hAnsi="Times New Roman"/>
          <w:sz w:val="24"/>
          <w:szCs w:val="24"/>
        </w:rPr>
        <w:t xml:space="preserve"> change will accompany the enabling legislation, expected in the second half of 2015.</w:t>
      </w:r>
    </w:p>
    <w:p w:rsidR="00F0301C" w:rsidRDefault="00F0301C" w:rsidP="003F40F7">
      <w:pPr>
        <w:spacing w:after="0" w:line="240" w:lineRule="auto"/>
        <w:jc w:val="both"/>
        <w:rPr>
          <w:rFonts w:ascii="Times New Roman" w:hAnsi="Times New Roman"/>
          <w:sz w:val="24"/>
          <w:szCs w:val="24"/>
        </w:rPr>
      </w:pPr>
    </w:p>
    <w:p w:rsidR="007170D7" w:rsidRDefault="007305E5" w:rsidP="003F40F7">
      <w:pPr>
        <w:spacing w:after="0" w:line="240" w:lineRule="auto"/>
        <w:jc w:val="both"/>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3C4AAE">
        <w:rPr>
          <w:rFonts w:ascii="Times New Roman" w:hAnsi="Times New Roman"/>
          <w:sz w:val="24"/>
          <w:szCs w:val="24"/>
        </w:rPr>
        <w:t>In order to improve</w:t>
      </w:r>
      <w:r w:rsidR="007170D7">
        <w:rPr>
          <w:rFonts w:ascii="Times New Roman" w:hAnsi="Times New Roman"/>
          <w:sz w:val="24"/>
          <w:szCs w:val="24"/>
        </w:rPr>
        <w:t xml:space="preserve"> Inland Revenue</w:t>
      </w:r>
      <w:r w:rsidR="003C4AAE">
        <w:rPr>
          <w:rFonts w:ascii="Times New Roman" w:hAnsi="Times New Roman"/>
          <w:sz w:val="24"/>
          <w:szCs w:val="24"/>
        </w:rPr>
        <w:t>’s ability</w:t>
      </w:r>
      <w:r w:rsidR="007170D7">
        <w:rPr>
          <w:rFonts w:ascii="Times New Roman" w:hAnsi="Times New Roman"/>
          <w:sz w:val="24"/>
          <w:szCs w:val="24"/>
        </w:rPr>
        <w:t xml:space="preserve"> to enforce the tax laws, two </w:t>
      </w:r>
      <w:r w:rsidR="007B5948">
        <w:rPr>
          <w:rFonts w:ascii="Times New Roman" w:hAnsi="Times New Roman"/>
          <w:sz w:val="24"/>
          <w:szCs w:val="24"/>
        </w:rPr>
        <w:t xml:space="preserve">further </w:t>
      </w:r>
      <w:r w:rsidR="007170D7">
        <w:rPr>
          <w:rFonts w:ascii="Times New Roman" w:hAnsi="Times New Roman"/>
          <w:sz w:val="24"/>
          <w:szCs w:val="24"/>
        </w:rPr>
        <w:t xml:space="preserve">changes </w:t>
      </w:r>
      <w:r w:rsidR="00DC00E5">
        <w:rPr>
          <w:rFonts w:ascii="Times New Roman" w:hAnsi="Times New Roman"/>
          <w:sz w:val="24"/>
          <w:szCs w:val="24"/>
        </w:rPr>
        <w:t>were announced</w:t>
      </w:r>
      <w:r w:rsidR="007170D7">
        <w:rPr>
          <w:rFonts w:ascii="Times New Roman" w:hAnsi="Times New Roman"/>
          <w:sz w:val="24"/>
          <w:szCs w:val="24"/>
        </w:rPr>
        <w:t>:</w:t>
      </w:r>
    </w:p>
    <w:p w:rsidR="00777390" w:rsidRDefault="00777390" w:rsidP="003F40F7">
      <w:pPr>
        <w:spacing w:after="0" w:line="240" w:lineRule="auto"/>
        <w:jc w:val="both"/>
        <w:rPr>
          <w:rFonts w:ascii="Times New Roman" w:hAnsi="Times New Roman"/>
          <w:sz w:val="24"/>
          <w:szCs w:val="24"/>
        </w:rPr>
      </w:pPr>
    </w:p>
    <w:p w:rsidR="00F0301C" w:rsidRDefault="007170D7" w:rsidP="00A557D0">
      <w:pPr>
        <w:pStyle w:val="ListParagraph"/>
        <w:numPr>
          <w:ilvl w:val="0"/>
          <w:numId w:val="30"/>
        </w:numPr>
        <w:rPr>
          <w:rFonts w:ascii="Times New Roman" w:hAnsi="Times New Roman"/>
          <w:sz w:val="24"/>
          <w:szCs w:val="24"/>
        </w:rPr>
      </w:pPr>
      <w:r w:rsidRPr="007170D7">
        <w:rPr>
          <w:rFonts w:ascii="Times New Roman" w:hAnsi="Times New Roman"/>
          <w:sz w:val="24"/>
          <w:szCs w:val="24"/>
        </w:rPr>
        <w:t>Vendors and purchasers will be required to provide their IRD numbers (</w:t>
      </w:r>
      <w:r>
        <w:rPr>
          <w:rFonts w:ascii="Times New Roman" w:hAnsi="Times New Roman"/>
          <w:sz w:val="24"/>
          <w:szCs w:val="24"/>
        </w:rPr>
        <w:t xml:space="preserve">and, if they </w:t>
      </w:r>
      <w:r w:rsidR="007A0108">
        <w:rPr>
          <w:rFonts w:ascii="Times New Roman" w:hAnsi="Times New Roman"/>
          <w:sz w:val="24"/>
          <w:szCs w:val="24"/>
        </w:rPr>
        <w:t xml:space="preserve">are </w:t>
      </w:r>
      <w:r>
        <w:rPr>
          <w:rFonts w:ascii="Times New Roman" w:hAnsi="Times New Roman"/>
          <w:sz w:val="24"/>
          <w:szCs w:val="24"/>
        </w:rPr>
        <w:t>tax residents</w:t>
      </w:r>
      <w:r w:rsidR="007A0108">
        <w:rPr>
          <w:rFonts w:ascii="Times New Roman" w:hAnsi="Times New Roman"/>
          <w:sz w:val="24"/>
          <w:szCs w:val="24"/>
        </w:rPr>
        <w:t xml:space="preserve"> of another jurisdiction</w:t>
      </w:r>
      <w:r>
        <w:rPr>
          <w:rFonts w:ascii="Times New Roman" w:hAnsi="Times New Roman"/>
          <w:sz w:val="24"/>
          <w:szCs w:val="24"/>
        </w:rPr>
        <w:t xml:space="preserve">, </w:t>
      </w:r>
      <w:r w:rsidR="00EB7402">
        <w:rPr>
          <w:rFonts w:ascii="Times New Roman" w:hAnsi="Times New Roman"/>
          <w:sz w:val="24"/>
          <w:szCs w:val="24"/>
        </w:rPr>
        <w:t xml:space="preserve">also provide </w:t>
      </w:r>
      <w:r w:rsidRPr="007170D7">
        <w:rPr>
          <w:rFonts w:ascii="Times New Roman" w:hAnsi="Times New Roman"/>
          <w:sz w:val="24"/>
          <w:szCs w:val="24"/>
        </w:rPr>
        <w:t>their foreign tax identification number) at the time of transfer</w:t>
      </w:r>
      <w:r>
        <w:rPr>
          <w:rFonts w:ascii="Times New Roman" w:hAnsi="Times New Roman"/>
          <w:sz w:val="24"/>
          <w:szCs w:val="24"/>
        </w:rPr>
        <w:t xml:space="preserve">.  This information will be provided to Land Information New Zealand (LINZ) as part of the transfer documentation and then forwarded to Inland Revenue.  As such a requirement would be given effect by changes to the Land Transfer Act, </w:t>
      </w:r>
      <w:r w:rsidR="00A557D0">
        <w:rPr>
          <w:rFonts w:ascii="Times New Roman" w:hAnsi="Times New Roman"/>
          <w:sz w:val="24"/>
          <w:szCs w:val="24"/>
        </w:rPr>
        <w:t>Inland Revenue has prepared</w:t>
      </w:r>
      <w:r>
        <w:rPr>
          <w:rFonts w:ascii="Times New Roman" w:hAnsi="Times New Roman"/>
          <w:sz w:val="24"/>
          <w:szCs w:val="24"/>
        </w:rPr>
        <w:t xml:space="preserve"> a separate regulatory impact statement on this proposal</w:t>
      </w:r>
      <w:r w:rsidR="00A557D0">
        <w:rPr>
          <w:rFonts w:ascii="Times New Roman" w:hAnsi="Times New Roman"/>
          <w:sz w:val="24"/>
          <w:szCs w:val="24"/>
        </w:rPr>
        <w:t xml:space="preserve">: </w:t>
      </w:r>
      <w:r w:rsidR="00A557D0" w:rsidRPr="002727AE">
        <w:rPr>
          <w:rFonts w:ascii="Times New Roman" w:hAnsi="Times New Roman"/>
          <w:i/>
          <w:sz w:val="24"/>
          <w:szCs w:val="24"/>
        </w:rPr>
        <w:t>Sellers and purchasers of real property required to supply their IRD numbers and tax information numbers</w:t>
      </w:r>
      <w:r>
        <w:rPr>
          <w:rFonts w:ascii="Times New Roman" w:hAnsi="Times New Roman"/>
          <w:sz w:val="24"/>
          <w:szCs w:val="24"/>
        </w:rPr>
        <w:t xml:space="preserve">.  An important feature of the proposal to provide IRD numbers is that all parties to a </w:t>
      </w:r>
      <w:r w:rsidR="00DC00E5">
        <w:rPr>
          <w:rFonts w:ascii="Times New Roman" w:hAnsi="Times New Roman"/>
          <w:sz w:val="24"/>
          <w:szCs w:val="24"/>
        </w:rPr>
        <w:t xml:space="preserve">relevant </w:t>
      </w:r>
      <w:r>
        <w:rPr>
          <w:rFonts w:ascii="Times New Roman" w:hAnsi="Times New Roman"/>
          <w:sz w:val="24"/>
          <w:szCs w:val="24"/>
        </w:rPr>
        <w:t xml:space="preserve">land transaction will be expected to have an IRD number, even if they are </w:t>
      </w:r>
      <w:r w:rsidR="007B5948">
        <w:rPr>
          <w:rFonts w:ascii="Times New Roman" w:hAnsi="Times New Roman"/>
          <w:sz w:val="24"/>
          <w:szCs w:val="24"/>
        </w:rPr>
        <w:t>offshore persons</w:t>
      </w:r>
      <w:r>
        <w:rPr>
          <w:rFonts w:ascii="Times New Roman" w:hAnsi="Times New Roman"/>
          <w:sz w:val="24"/>
          <w:szCs w:val="24"/>
        </w:rPr>
        <w:t xml:space="preserve">.  </w:t>
      </w:r>
    </w:p>
    <w:p w:rsidR="00777390" w:rsidRDefault="00777390" w:rsidP="002727AE">
      <w:pPr>
        <w:pStyle w:val="ListParagraph"/>
        <w:rPr>
          <w:rFonts w:ascii="Times New Roman" w:hAnsi="Times New Roman"/>
          <w:sz w:val="24"/>
          <w:szCs w:val="24"/>
        </w:rPr>
      </w:pPr>
    </w:p>
    <w:p w:rsidR="003C4AAE" w:rsidRDefault="007170D7" w:rsidP="008E0C21">
      <w:pPr>
        <w:pStyle w:val="ListParagraph"/>
        <w:numPr>
          <w:ilvl w:val="0"/>
          <w:numId w:val="30"/>
        </w:numPr>
        <w:rPr>
          <w:rFonts w:ascii="Times New Roman" w:hAnsi="Times New Roman"/>
          <w:sz w:val="24"/>
          <w:szCs w:val="24"/>
        </w:rPr>
      </w:pPr>
      <w:r>
        <w:rPr>
          <w:rFonts w:ascii="Times New Roman" w:hAnsi="Times New Roman"/>
          <w:sz w:val="24"/>
          <w:szCs w:val="24"/>
        </w:rPr>
        <w:t>The second proposal is that a</w:t>
      </w:r>
      <w:r w:rsidR="007B5948">
        <w:rPr>
          <w:rFonts w:ascii="Times New Roman" w:hAnsi="Times New Roman"/>
          <w:sz w:val="24"/>
          <w:szCs w:val="24"/>
        </w:rPr>
        <w:t>n offshore person</w:t>
      </w:r>
      <w:r>
        <w:rPr>
          <w:rFonts w:ascii="Times New Roman" w:hAnsi="Times New Roman"/>
          <w:sz w:val="24"/>
          <w:szCs w:val="24"/>
        </w:rPr>
        <w:t xml:space="preserve"> will be required to provide evidence of a New Zealand bank account as a prerequisite to obtaining an IRD number.  </w:t>
      </w:r>
    </w:p>
    <w:p w:rsidR="003C4AAE" w:rsidRDefault="003C4AAE" w:rsidP="003C4AAE">
      <w:pPr>
        <w:pStyle w:val="ListParagraph"/>
        <w:rPr>
          <w:rFonts w:ascii="Times New Roman" w:hAnsi="Times New Roman"/>
          <w:sz w:val="24"/>
          <w:szCs w:val="24"/>
        </w:rPr>
      </w:pPr>
    </w:p>
    <w:p w:rsidR="003C4AAE" w:rsidRPr="002B7B9A" w:rsidRDefault="00623DC6" w:rsidP="002B7B9A">
      <w:pPr>
        <w:spacing w:after="0" w:line="240" w:lineRule="auto"/>
        <w:jc w:val="both"/>
        <w:rPr>
          <w:rFonts w:ascii="Times New Roman" w:hAnsi="Times New Roman"/>
          <w:sz w:val="24"/>
          <w:szCs w:val="24"/>
        </w:rPr>
      </w:pPr>
      <w:r w:rsidRPr="00BE170E">
        <w:rPr>
          <w:rFonts w:ascii="Times New Roman" w:hAnsi="Times New Roman"/>
          <w:sz w:val="24"/>
          <w:szCs w:val="24"/>
        </w:rPr>
        <w:lastRenderedPageBreak/>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8E0C21" w:rsidRPr="003C4AAE">
        <w:rPr>
          <w:rFonts w:ascii="Times New Roman" w:hAnsi="Times New Roman"/>
          <w:sz w:val="24"/>
          <w:szCs w:val="24"/>
        </w:rPr>
        <w:t>This regulatory impact statement deals with the second proposal: the requirement to have a New Zealand bank account.</w:t>
      </w:r>
      <w:r w:rsidR="00FF426B">
        <w:rPr>
          <w:rFonts w:ascii="Times New Roman" w:hAnsi="Times New Roman"/>
          <w:sz w:val="24"/>
          <w:szCs w:val="24"/>
        </w:rPr>
        <w:t xml:space="preserve"> </w:t>
      </w:r>
      <w:r w:rsidR="003C4AAE" w:rsidRPr="003C4AAE">
        <w:rPr>
          <w:rFonts w:ascii="Times New Roman" w:hAnsi="Times New Roman"/>
          <w:sz w:val="24"/>
          <w:szCs w:val="24"/>
        </w:rPr>
        <w:t xml:space="preserve"> </w:t>
      </w:r>
      <w:r w:rsidR="00FF426B">
        <w:rPr>
          <w:rFonts w:ascii="Times New Roman" w:hAnsi="Times New Roman"/>
          <w:sz w:val="24"/>
          <w:szCs w:val="24"/>
        </w:rPr>
        <w:t xml:space="preserve">The </w:t>
      </w:r>
      <w:r w:rsidR="003C4AAE">
        <w:rPr>
          <w:rFonts w:ascii="Times New Roman" w:hAnsi="Times New Roman"/>
          <w:sz w:val="24"/>
          <w:szCs w:val="24"/>
        </w:rPr>
        <w:t xml:space="preserve">Government considers that requiring </w:t>
      </w:r>
      <w:r w:rsidR="007B5948">
        <w:rPr>
          <w:rFonts w:ascii="Times New Roman" w:hAnsi="Times New Roman"/>
          <w:sz w:val="24"/>
          <w:szCs w:val="24"/>
        </w:rPr>
        <w:t>offshore persons</w:t>
      </w:r>
      <w:r w:rsidR="003C4AAE">
        <w:rPr>
          <w:rFonts w:ascii="Times New Roman" w:hAnsi="Times New Roman"/>
          <w:sz w:val="24"/>
          <w:szCs w:val="24"/>
        </w:rPr>
        <w:t xml:space="preserve"> to have a New Zealand bank account will assist in improving compliance </w:t>
      </w:r>
      <w:r w:rsidR="006E0C45" w:rsidRPr="002B7B9A">
        <w:rPr>
          <w:rFonts w:ascii="Times New Roman" w:hAnsi="Times New Roman"/>
          <w:sz w:val="24"/>
          <w:szCs w:val="24"/>
        </w:rPr>
        <w:t xml:space="preserve">by providing </w:t>
      </w:r>
      <w:r w:rsidR="003C4AAE" w:rsidRPr="002B7B9A">
        <w:rPr>
          <w:rFonts w:ascii="Times New Roman" w:hAnsi="Times New Roman"/>
          <w:sz w:val="24"/>
          <w:szCs w:val="24"/>
        </w:rPr>
        <w:t xml:space="preserve">Inland Revenue with more confidence that it knows who it is dealing with by first ensuring that a person has first satisfied a financial institution’s anti-money laundering (AML) </w:t>
      </w:r>
      <w:r w:rsidR="0023016D">
        <w:rPr>
          <w:rFonts w:ascii="Times New Roman" w:hAnsi="Times New Roman"/>
          <w:sz w:val="24"/>
          <w:szCs w:val="24"/>
        </w:rPr>
        <w:t>verification</w:t>
      </w:r>
      <w:r w:rsidR="0023016D" w:rsidRPr="002B7B9A">
        <w:rPr>
          <w:rFonts w:ascii="Times New Roman" w:hAnsi="Times New Roman"/>
          <w:sz w:val="24"/>
          <w:szCs w:val="24"/>
        </w:rPr>
        <w:t xml:space="preserve"> </w:t>
      </w:r>
      <w:r w:rsidR="003C4AAE" w:rsidRPr="002B7B9A">
        <w:rPr>
          <w:rFonts w:ascii="Times New Roman" w:hAnsi="Times New Roman"/>
          <w:sz w:val="24"/>
          <w:szCs w:val="24"/>
        </w:rPr>
        <w:t>of identity requirements</w:t>
      </w:r>
      <w:r w:rsidR="006E0C45">
        <w:rPr>
          <w:rFonts w:ascii="Times New Roman" w:hAnsi="Times New Roman"/>
          <w:sz w:val="24"/>
          <w:szCs w:val="24"/>
        </w:rPr>
        <w:t>.</w:t>
      </w:r>
      <w:r w:rsidR="003C4AAE" w:rsidRPr="002B7B9A">
        <w:rPr>
          <w:rFonts w:ascii="Times New Roman" w:hAnsi="Times New Roman"/>
          <w:sz w:val="24"/>
          <w:szCs w:val="24"/>
        </w:rPr>
        <w:t xml:space="preserve"> </w:t>
      </w:r>
    </w:p>
    <w:p w:rsidR="003C4AAE" w:rsidRPr="003C4AAE" w:rsidRDefault="003C4AAE" w:rsidP="003C4AAE">
      <w:pPr>
        <w:pStyle w:val="Numberparagraph"/>
        <w:numPr>
          <w:ilvl w:val="0"/>
          <w:numId w:val="0"/>
        </w:numPr>
        <w:ind w:left="927"/>
      </w:pPr>
    </w:p>
    <w:p w:rsidR="007170D7" w:rsidRDefault="007305E5" w:rsidP="008E0C21">
      <w:pPr>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7170D7" w:rsidRPr="008E0C21">
        <w:rPr>
          <w:rFonts w:ascii="Times New Roman" w:hAnsi="Times New Roman"/>
          <w:sz w:val="24"/>
          <w:szCs w:val="24"/>
        </w:rPr>
        <w:t>The net effect of these changes will be that in order to purchase property, a</w:t>
      </w:r>
      <w:r w:rsidR="007B5948">
        <w:rPr>
          <w:rFonts w:ascii="Times New Roman" w:hAnsi="Times New Roman"/>
          <w:sz w:val="24"/>
          <w:szCs w:val="24"/>
        </w:rPr>
        <w:t>n offshore person</w:t>
      </w:r>
      <w:r w:rsidR="007170D7" w:rsidRPr="008E0C21">
        <w:rPr>
          <w:rFonts w:ascii="Times New Roman" w:hAnsi="Times New Roman"/>
          <w:sz w:val="24"/>
          <w:szCs w:val="24"/>
        </w:rPr>
        <w:t xml:space="preserve"> must have an IRD number and in order </w:t>
      </w:r>
      <w:r w:rsidR="008E0C21" w:rsidRPr="008E0C21">
        <w:rPr>
          <w:rFonts w:ascii="Times New Roman" w:hAnsi="Times New Roman"/>
          <w:sz w:val="24"/>
          <w:szCs w:val="24"/>
        </w:rPr>
        <w:t>to</w:t>
      </w:r>
      <w:r w:rsidR="007170D7" w:rsidRPr="008E0C21">
        <w:rPr>
          <w:rFonts w:ascii="Times New Roman" w:hAnsi="Times New Roman"/>
          <w:sz w:val="24"/>
          <w:szCs w:val="24"/>
        </w:rPr>
        <w:t xml:space="preserve"> get the IRD number they must first have a New Zealand bank account.</w:t>
      </w:r>
      <w:r w:rsidR="008E0C21" w:rsidRPr="008E0C21">
        <w:rPr>
          <w:rFonts w:ascii="Times New Roman" w:hAnsi="Times New Roman"/>
          <w:sz w:val="24"/>
          <w:szCs w:val="24"/>
        </w:rPr>
        <w:t xml:space="preserve">  </w:t>
      </w:r>
    </w:p>
    <w:p w:rsidR="003C4AAE" w:rsidRPr="003C4AAE" w:rsidRDefault="003C4AAE" w:rsidP="008E0C21">
      <w:pPr>
        <w:rPr>
          <w:rFonts w:ascii="Times New Roman" w:hAnsi="Times New Roman"/>
          <w:i/>
          <w:sz w:val="24"/>
          <w:szCs w:val="24"/>
        </w:rPr>
      </w:pPr>
      <w:r>
        <w:rPr>
          <w:rFonts w:ascii="Times New Roman" w:hAnsi="Times New Roman"/>
          <w:i/>
          <w:sz w:val="24"/>
          <w:szCs w:val="24"/>
        </w:rPr>
        <w:t>Status quo</w:t>
      </w:r>
    </w:p>
    <w:p w:rsidR="00C9337A" w:rsidRDefault="007305E5" w:rsidP="007170D7">
      <w:pPr>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8E0C21">
        <w:rPr>
          <w:rFonts w:ascii="Times New Roman" w:hAnsi="Times New Roman"/>
          <w:sz w:val="24"/>
          <w:szCs w:val="24"/>
        </w:rPr>
        <w:t xml:space="preserve">Under </w:t>
      </w:r>
      <w:r w:rsidR="00C9337A">
        <w:rPr>
          <w:rFonts w:ascii="Times New Roman" w:hAnsi="Times New Roman"/>
          <w:sz w:val="24"/>
          <w:szCs w:val="24"/>
        </w:rPr>
        <w:t>section 35 of the Tax Administration Act 1994</w:t>
      </w:r>
      <w:r w:rsidR="008E0C21">
        <w:rPr>
          <w:rFonts w:ascii="Times New Roman" w:hAnsi="Times New Roman"/>
          <w:sz w:val="24"/>
          <w:szCs w:val="24"/>
        </w:rPr>
        <w:t>, the Commiss</w:t>
      </w:r>
      <w:r w:rsidR="004C4CFE">
        <w:rPr>
          <w:rFonts w:ascii="Times New Roman" w:hAnsi="Times New Roman"/>
          <w:sz w:val="24"/>
          <w:szCs w:val="24"/>
        </w:rPr>
        <w:t>ioner of Inland Revenue has a power to prescribe forms</w:t>
      </w:r>
      <w:r w:rsidR="00C9337A">
        <w:rPr>
          <w:rFonts w:ascii="Times New Roman" w:hAnsi="Times New Roman"/>
          <w:sz w:val="24"/>
          <w:szCs w:val="24"/>
        </w:rPr>
        <w:t xml:space="preserve">.  Section 35 </w:t>
      </w:r>
      <w:r w:rsidR="00DC00E5">
        <w:rPr>
          <w:rFonts w:ascii="Times New Roman" w:hAnsi="Times New Roman"/>
          <w:sz w:val="24"/>
          <w:szCs w:val="24"/>
        </w:rPr>
        <w:t xml:space="preserve">has a </w:t>
      </w:r>
      <w:r w:rsidR="00C9337A">
        <w:rPr>
          <w:rFonts w:ascii="Times New Roman" w:hAnsi="Times New Roman"/>
          <w:sz w:val="24"/>
          <w:szCs w:val="24"/>
        </w:rPr>
        <w:t xml:space="preserve">broad ambit </w:t>
      </w:r>
      <w:r w:rsidR="003C4AAE">
        <w:rPr>
          <w:rFonts w:ascii="Times New Roman" w:hAnsi="Times New Roman"/>
          <w:sz w:val="24"/>
          <w:szCs w:val="24"/>
        </w:rPr>
        <w:t>–</w:t>
      </w:r>
      <w:r w:rsidR="00C9337A">
        <w:rPr>
          <w:rFonts w:ascii="Times New Roman" w:hAnsi="Times New Roman"/>
          <w:sz w:val="24"/>
          <w:szCs w:val="24"/>
        </w:rPr>
        <w:t xml:space="preserve"> </w:t>
      </w:r>
      <w:r w:rsidR="003C4AAE">
        <w:rPr>
          <w:rFonts w:ascii="Times New Roman" w:hAnsi="Times New Roman"/>
          <w:sz w:val="24"/>
          <w:szCs w:val="24"/>
        </w:rPr>
        <w:t>unless the</w:t>
      </w:r>
      <w:r w:rsidR="00C9337A">
        <w:rPr>
          <w:rFonts w:ascii="Times New Roman" w:hAnsi="Times New Roman"/>
          <w:sz w:val="24"/>
          <w:szCs w:val="24"/>
        </w:rPr>
        <w:t xml:space="preserve"> forms are </w:t>
      </w:r>
      <w:r w:rsidR="003C4AAE">
        <w:rPr>
          <w:rFonts w:ascii="Times New Roman" w:hAnsi="Times New Roman"/>
          <w:sz w:val="24"/>
          <w:szCs w:val="24"/>
        </w:rPr>
        <w:t xml:space="preserve">prescribed elsewhere (such as in regulation), the content of the form is </w:t>
      </w:r>
      <w:r w:rsidR="00C9337A">
        <w:rPr>
          <w:rFonts w:ascii="Times New Roman" w:hAnsi="Times New Roman"/>
          <w:sz w:val="24"/>
          <w:szCs w:val="24"/>
        </w:rPr>
        <w:t>simply required to be related to the administration of the Inland Revenue Acts.  The current IRD number application form is prescribed under this authority, as are other standard forms that taxpayers are familiar with, such as income tax and GST returns.</w:t>
      </w:r>
    </w:p>
    <w:p w:rsidR="006A282F" w:rsidRDefault="007305E5" w:rsidP="007170D7">
      <w:pPr>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C9337A">
        <w:rPr>
          <w:rFonts w:ascii="Times New Roman" w:hAnsi="Times New Roman"/>
          <w:sz w:val="24"/>
          <w:szCs w:val="24"/>
        </w:rPr>
        <w:t>Under this authority, the Commissioner has previously determined that a person applying for an IRD number must provide documentation to support their assertion of identity.  The relevant IR595 (application for IRD number by an individual) requires the applicant to provide at least one “Category A” document and one “Category B</w:t>
      </w:r>
      <w:r w:rsidR="00FF426B">
        <w:rPr>
          <w:rFonts w:ascii="Times New Roman" w:hAnsi="Times New Roman"/>
          <w:sz w:val="24"/>
          <w:szCs w:val="24"/>
        </w:rPr>
        <w:t>”</w:t>
      </w:r>
      <w:r w:rsidR="00C9337A">
        <w:rPr>
          <w:rFonts w:ascii="Times New Roman" w:hAnsi="Times New Roman"/>
          <w:sz w:val="24"/>
          <w:szCs w:val="24"/>
        </w:rPr>
        <w:t xml:space="preserve"> document.  Category A documents are </w:t>
      </w:r>
      <w:r w:rsidR="000708D5">
        <w:rPr>
          <w:rFonts w:ascii="Times New Roman" w:hAnsi="Times New Roman"/>
          <w:sz w:val="24"/>
          <w:szCs w:val="24"/>
        </w:rPr>
        <w:t xml:space="preserve">formal government-issued documents such as </w:t>
      </w:r>
      <w:r w:rsidR="00EB7402">
        <w:rPr>
          <w:rFonts w:ascii="Times New Roman" w:hAnsi="Times New Roman"/>
          <w:sz w:val="24"/>
          <w:szCs w:val="24"/>
        </w:rPr>
        <w:t xml:space="preserve">a </w:t>
      </w:r>
      <w:r w:rsidR="000708D5">
        <w:rPr>
          <w:rFonts w:ascii="Times New Roman" w:hAnsi="Times New Roman"/>
          <w:sz w:val="24"/>
          <w:szCs w:val="24"/>
        </w:rPr>
        <w:t>passport or birth certificate.  Category B documents are identification documents of a slightly less formal variety, such as a student identification card or a</w:t>
      </w:r>
      <w:r w:rsidR="006A282F">
        <w:rPr>
          <w:rFonts w:ascii="Times New Roman" w:hAnsi="Times New Roman"/>
          <w:sz w:val="24"/>
          <w:szCs w:val="24"/>
        </w:rPr>
        <w:t>n</w:t>
      </w:r>
      <w:r w:rsidR="000708D5">
        <w:rPr>
          <w:rFonts w:ascii="Times New Roman" w:hAnsi="Times New Roman"/>
          <w:sz w:val="24"/>
          <w:szCs w:val="24"/>
        </w:rPr>
        <w:t xml:space="preserve"> “offer of employment letter”. </w:t>
      </w:r>
      <w:r w:rsidR="006A282F">
        <w:rPr>
          <w:rFonts w:ascii="Times New Roman" w:hAnsi="Times New Roman"/>
          <w:sz w:val="24"/>
          <w:szCs w:val="24"/>
        </w:rPr>
        <w:t xml:space="preserve"> </w:t>
      </w:r>
      <w:r w:rsidR="00DC00E5">
        <w:rPr>
          <w:rFonts w:ascii="Times New Roman" w:hAnsi="Times New Roman"/>
          <w:sz w:val="24"/>
          <w:szCs w:val="24"/>
        </w:rPr>
        <w:t xml:space="preserve">In order to </w:t>
      </w:r>
      <w:r w:rsidR="00FF426B">
        <w:rPr>
          <w:rFonts w:ascii="Times New Roman" w:hAnsi="Times New Roman"/>
          <w:sz w:val="24"/>
          <w:szCs w:val="24"/>
        </w:rPr>
        <w:t xml:space="preserve">cater </w:t>
      </w:r>
      <w:r w:rsidR="006A282F">
        <w:rPr>
          <w:rFonts w:ascii="Times New Roman" w:hAnsi="Times New Roman"/>
          <w:sz w:val="24"/>
          <w:szCs w:val="24"/>
        </w:rPr>
        <w:t xml:space="preserve">for </w:t>
      </w:r>
      <w:r w:rsidR="007B5948">
        <w:rPr>
          <w:rFonts w:ascii="Times New Roman" w:hAnsi="Times New Roman"/>
          <w:sz w:val="24"/>
          <w:szCs w:val="24"/>
        </w:rPr>
        <w:t>offshore</w:t>
      </w:r>
      <w:r w:rsidR="006A282F">
        <w:rPr>
          <w:rFonts w:ascii="Times New Roman" w:hAnsi="Times New Roman"/>
          <w:sz w:val="24"/>
          <w:szCs w:val="24"/>
        </w:rPr>
        <w:t xml:space="preserve"> applicants, </w:t>
      </w:r>
      <w:r w:rsidR="00DC00E5">
        <w:rPr>
          <w:rFonts w:ascii="Times New Roman" w:hAnsi="Times New Roman"/>
          <w:sz w:val="24"/>
          <w:szCs w:val="24"/>
        </w:rPr>
        <w:t xml:space="preserve">Inland Revenue will accept “non-New Zealand” documentation </w:t>
      </w:r>
      <w:r w:rsidR="006A282F">
        <w:rPr>
          <w:rFonts w:ascii="Times New Roman" w:hAnsi="Times New Roman"/>
          <w:sz w:val="24"/>
          <w:szCs w:val="24"/>
        </w:rPr>
        <w:t>such as foreign passports and drivers</w:t>
      </w:r>
      <w:r w:rsidR="00FE78C4">
        <w:rPr>
          <w:rFonts w:ascii="Times New Roman" w:hAnsi="Times New Roman"/>
          <w:sz w:val="24"/>
          <w:szCs w:val="24"/>
        </w:rPr>
        <w:t>’</w:t>
      </w:r>
      <w:r w:rsidR="006A282F">
        <w:rPr>
          <w:rFonts w:ascii="Times New Roman" w:hAnsi="Times New Roman"/>
          <w:sz w:val="24"/>
          <w:szCs w:val="24"/>
        </w:rPr>
        <w:t xml:space="preserve"> licences.</w:t>
      </w:r>
    </w:p>
    <w:p w:rsidR="00C9337A" w:rsidRDefault="007305E5" w:rsidP="007170D7">
      <w:pPr>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6A282F">
        <w:rPr>
          <w:rFonts w:ascii="Times New Roman" w:hAnsi="Times New Roman"/>
          <w:sz w:val="24"/>
          <w:szCs w:val="24"/>
        </w:rPr>
        <w:t>Similar requirements exist for “non-individuals” (such as companies and trusts) that apply for an IRD number.</w:t>
      </w:r>
      <w:r w:rsidR="00FE78C4">
        <w:rPr>
          <w:rFonts w:ascii="Times New Roman" w:hAnsi="Times New Roman"/>
          <w:sz w:val="24"/>
          <w:szCs w:val="24"/>
        </w:rPr>
        <w:t xml:space="preserve">  </w:t>
      </w:r>
    </w:p>
    <w:p w:rsidR="00357190" w:rsidRDefault="007305E5" w:rsidP="006A282F">
      <w:pPr>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6A282F">
        <w:rPr>
          <w:rFonts w:ascii="Times New Roman" w:hAnsi="Times New Roman"/>
          <w:sz w:val="24"/>
          <w:szCs w:val="24"/>
        </w:rPr>
        <w:t>The current administrative practice is not to issue an IRD number to an applicant unless the relevant documentation is in order.</w:t>
      </w:r>
    </w:p>
    <w:p w:rsidR="00777390" w:rsidRPr="00412CC4" w:rsidRDefault="00D90C27" w:rsidP="006A282F">
      <w:pPr>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7B5948">
        <w:rPr>
          <w:rFonts w:ascii="Times New Roman" w:hAnsi="Times New Roman"/>
          <w:sz w:val="24"/>
          <w:szCs w:val="24"/>
        </w:rPr>
        <w:t xml:space="preserve">Under current </w:t>
      </w:r>
      <w:r w:rsidR="001157C7">
        <w:rPr>
          <w:rFonts w:ascii="Times New Roman" w:hAnsi="Times New Roman"/>
          <w:sz w:val="24"/>
          <w:szCs w:val="24"/>
        </w:rPr>
        <w:t xml:space="preserve">AML </w:t>
      </w:r>
      <w:r w:rsidR="007B5948">
        <w:rPr>
          <w:rFonts w:ascii="Times New Roman" w:hAnsi="Times New Roman"/>
          <w:sz w:val="24"/>
          <w:szCs w:val="24"/>
        </w:rPr>
        <w:t xml:space="preserve">rules, </w:t>
      </w:r>
      <w:r>
        <w:rPr>
          <w:rFonts w:ascii="Times New Roman" w:hAnsi="Times New Roman"/>
          <w:sz w:val="24"/>
          <w:szCs w:val="24"/>
        </w:rPr>
        <w:t>financial institutions</w:t>
      </w:r>
      <w:r w:rsidR="007B5948">
        <w:rPr>
          <w:rFonts w:ascii="Times New Roman" w:hAnsi="Times New Roman"/>
          <w:sz w:val="24"/>
          <w:szCs w:val="24"/>
        </w:rPr>
        <w:t xml:space="preserve"> are required to perform customer due diligence and report suspicious transactions</w:t>
      </w:r>
      <w:r>
        <w:rPr>
          <w:rFonts w:ascii="Times New Roman" w:hAnsi="Times New Roman"/>
          <w:sz w:val="24"/>
          <w:szCs w:val="24"/>
        </w:rPr>
        <w:t xml:space="preserve">.  </w:t>
      </w:r>
      <w:r w:rsidR="00D11A9C">
        <w:rPr>
          <w:rFonts w:ascii="Times New Roman" w:hAnsi="Times New Roman"/>
          <w:sz w:val="24"/>
          <w:szCs w:val="24"/>
        </w:rPr>
        <w:t>There is a proposed Phase 2 of the AML that will cover other relevant professionals such as real estate agents, conveyancers and solicitors.</w:t>
      </w:r>
    </w:p>
    <w:p w:rsidR="00C608D7" w:rsidRPr="00412CC4" w:rsidRDefault="00C608D7" w:rsidP="003F40F7">
      <w:pPr>
        <w:spacing w:after="0" w:line="240" w:lineRule="auto"/>
        <w:jc w:val="both"/>
        <w:rPr>
          <w:rFonts w:ascii="Times New Roman" w:hAnsi="Times New Roman"/>
          <w:b/>
          <w:sz w:val="24"/>
          <w:szCs w:val="24"/>
        </w:rPr>
      </w:pPr>
      <w:r w:rsidRPr="00412CC4">
        <w:rPr>
          <w:rFonts w:ascii="Times New Roman" w:hAnsi="Times New Roman"/>
          <w:b/>
          <w:sz w:val="24"/>
          <w:szCs w:val="24"/>
        </w:rPr>
        <w:t>Objective</w:t>
      </w:r>
      <w:r w:rsidR="00777390">
        <w:rPr>
          <w:rFonts w:ascii="Times New Roman" w:hAnsi="Times New Roman"/>
          <w:b/>
          <w:sz w:val="24"/>
          <w:szCs w:val="24"/>
        </w:rPr>
        <w:t>s</w:t>
      </w:r>
    </w:p>
    <w:p w:rsidR="00F60E57" w:rsidRPr="00412CC4" w:rsidRDefault="00F60E57" w:rsidP="003F40F7">
      <w:pPr>
        <w:spacing w:after="0" w:line="240" w:lineRule="auto"/>
        <w:jc w:val="both"/>
        <w:rPr>
          <w:rFonts w:ascii="Times New Roman" w:hAnsi="Times New Roman"/>
          <w:sz w:val="24"/>
          <w:szCs w:val="24"/>
        </w:rPr>
      </w:pPr>
    </w:p>
    <w:p w:rsidR="00357190" w:rsidRDefault="00412CC4" w:rsidP="002B7B9A">
      <w:pPr>
        <w:rPr>
          <w:rFonts w:ascii="Times New Roman" w:hAnsi="Times New Roman"/>
          <w:sz w:val="24"/>
          <w:szCs w:val="24"/>
        </w:rPr>
      </w:pPr>
      <w:r w:rsidRPr="002B7B9A">
        <w:rPr>
          <w:rFonts w:ascii="Times New Roman" w:hAnsi="Times New Roman"/>
          <w:sz w:val="24"/>
          <w:szCs w:val="24"/>
          <w:lang w:val="en-NZ"/>
        </w:rPr>
        <w:fldChar w:fldCharType="begin"/>
      </w:r>
      <w:r w:rsidRPr="002B7B9A">
        <w:rPr>
          <w:rFonts w:ascii="Times New Roman" w:hAnsi="Times New Roman"/>
          <w:sz w:val="24"/>
          <w:szCs w:val="24"/>
          <w:lang w:val="en-NZ"/>
        </w:rPr>
        <w:instrText xml:space="preserve"> AUTONUM  </w:instrText>
      </w:r>
      <w:r w:rsidRPr="002B7B9A">
        <w:rPr>
          <w:rFonts w:ascii="Times New Roman" w:hAnsi="Times New Roman"/>
          <w:sz w:val="24"/>
          <w:szCs w:val="24"/>
        </w:rPr>
        <w:fldChar w:fldCharType="end"/>
      </w:r>
      <w:r w:rsidRPr="002B7B9A">
        <w:rPr>
          <w:rFonts w:ascii="Times New Roman" w:hAnsi="Times New Roman"/>
          <w:sz w:val="24"/>
          <w:szCs w:val="24"/>
          <w:lang w:val="en-NZ"/>
        </w:rPr>
        <w:tab/>
      </w:r>
      <w:r w:rsidR="002D4D01" w:rsidRPr="002B7B9A">
        <w:rPr>
          <w:rFonts w:ascii="Times New Roman" w:hAnsi="Times New Roman"/>
          <w:sz w:val="24"/>
          <w:szCs w:val="24"/>
        </w:rPr>
        <w:t xml:space="preserve">The key objective is to increase the effective enforcement of current tax rules related to property transactions, as supplemented by changes </w:t>
      </w:r>
      <w:r w:rsidR="00DC00E5">
        <w:rPr>
          <w:rFonts w:ascii="Times New Roman" w:hAnsi="Times New Roman"/>
          <w:sz w:val="24"/>
          <w:szCs w:val="24"/>
        </w:rPr>
        <w:t>announced</w:t>
      </w:r>
      <w:r w:rsidR="00DC00E5" w:rsidRPr="002B7B9A">
        <w:rPr>
          <w:rFonts w:ascii="Times New Roman" w:hAnsi="Times New Roman"/>
          <w:sz w:val="24"/>
          <w:szCs w:val="24"/>
        </w:rPr>
        <w:t xml:space="preserve"> </w:t>
      </w:r>
      <w:r w:rsidR="002D4D01" w:rsidRPr="002B7B9A">
        <w:rPr>
          <w:rFonts w:ascii="Times New Roman" w:hAnsi="Times New Roman"/>
          <w:sz w:val="24"/>
          <w:szCs w:val="24"/>
        </w:rPr>
        <w:t>as part of Budget 2015</w:t>
      </w:r>
      <w:r w:rsidR="006A282F" w:rsidRPr="002B7B9A">
        <w:rPr>
          <w:rFonts w:ascii="Times New Roman" w:hAnsi="Times New Roman"/>
          <w:sz w:val="24"/>
          <w:szCs w:val="24"/>
        </w:rPr>
        <w:t>.  The requirement for a New Zealand bank account could achieve this</w:t>
      </w:r>
      <w:r w:rsidR="002D4D01" w:rsidRPr="002B7B9A">
        <w:rPr>
          <w:rFonts w:ascii="Times New Roman" w:hAnsi="Times New Roman"/>
          <w:sz w:val="24"/>
          <w:szCs w:val="24"/>
        </w:rPr>
        <w:t xml:space="preserve"> by</w:t>
      </w:r>
      <w:r w:rsidR="002B7B9A">
        <w:rPr>
          <w:rFonts w:ascii="Times New Roman" w:hAnsi="Times New Roman"/>
          <w:sz w:val="24"/>
          <w:szCs w:val="24"/>
        </w:rPr>
        <w:t xml:space="preserve"> </w:t>
      </w:r>
      <w:r w:rsidR="00BF1502" w:rsidRPr="002B7B9A">
        <w:rPr>
          <w:rFonts w:ascii="Times New Roman" w:hAnsi="Times New Roman"/>
          <w:sz w:val="24"/>
          <w:szCs w:val="24"/>
        </w:rPr>
        <w:t>p</w:t>
      </w:r>
      <w:r w:rsidR="002D4D01" w:rsidRPr="002B7B9A">
        <w:rPr>
          <w:rFonts w:ascii="Times New Roman" w:hAnsi="Times New Roman"/>
          <w:sz w:val="24"/>
          <w:szCs w:val="24"/>
        </w:rPr>
        <w:t>roviding increased confidence that Inland Revenue knows who it is dealing with by first ensuring that a person has satisfied a financial institution</w:t>
      </w:r>
      <w:r w:rsidR="00AF49AB">
        <w:rPr>
          <w:rFonts w:ascii="Times New Roman" w:hAnsi="Times New Roman"/>
          <w:sz w:val="24"/>
          <w:szCs w:val="24"/>
        </w:rPr>
        <w:t>’</w:t>
      </w:r>
      <w:r w:rsidR="002D4D01" w:rsidRPr="002B7B9A">
        <w:rPr>
          <w:rFonts w:ascii="Times New Roman" w:hAnsi="Times New Roman"/>
          <w:sz w:val="24"/>
          <w:szCs w:val="24"/>
        </w:rPr>
        <w:t xml:space="preserve">s anti-money laundering (AML) </w:t>
      </w:r>
      <w:r w:rsidR="0023016D">
        <w:rPr>
          <w:rFonts w:ascii="Times New Roman" w:hAnsi="Times New Roman"/>
          <w:sz w:val="24"/>
          <w:szCs w:val="24"/>
        </w:rPr>
        <w:t>verification</w:t>
      </w:r>
      <w:r w:rsidR="0023016D" w:rsidRPr="002B7B9A">
        <w:rPr>
          <w:rFonts w:ascii="Times New Roman" w:hAnsi="Times New Roman"/>
          <w:sz w:val="24"/>
          <w:szCs w:val="24"/>
        </w:rPr>
        <w:t xml:space="preserve"> </w:t>
      </w:r>
      <w:r w:rsidR="00BF1502" w:rsidRPr="002B7B9A">
        <w:rPr>
          <w:rFonts w:ascii="Times New Roman" w:hAnsi="Times New Roman"/>
          <w:sz w:val="24"/>
          <w:szCs w:val="24"/>
        </w:rPr>
        <w:t xml:space="preserve">of identity </w:t>
      </w:r>
      <w:r w:rsidR="002D4D01" w:rsidRPr="002B7B9A">
        <w:rPr>
          <w:rFonts w:ascii="Times New Roman" w:hAnsi="Times New Roman"/>
          <w:sz w:val="24"/>
          <w:szCs w:val="24"/>
        </w:rPr>
        <w:t>requirements.</w:t>
      </w:r>
      <w:r w:rsidR="002B7B9A">
        <w:rPr>
          <w:rFonts w:ascii="Times New Roman" w:hAnsi="Times New Roman"/>
          <w:sz w:val="24"/>
          <w:szCs w:val="24"/>
        </w:rPr>
        <w:t xml:space="preserve"> </w:t>
      </w:r>
    </w:p>
    <w:p w:rsidR="00357190" w:rsidRDefault="00357190" w:rsidP="003F40F7">
      <w:pPr>
        <w:spacing w:after="0" w:line="240" w:lineRule="auto"/>
        <w:jc w:val="both"/>
        <w:rPr>
          <w:rFonts w:ascii="Times New Roman" w:hAnsi="Times New Roman"/>
          <w:sz w:val="24"/>
          <w:szCs w:val="24"/>
        </w:rPr>
      </w:pPr>
      <w:r w:rsidRPr="00357190">
        <w:rPr>
          <w:rFonts w:ascii="Times New Roman" w:hAnsi="Times New Roman"/>
          <w:sz w:val="24"/>
          <w:szCs w:val="24"/>
        </w:rPr>
        <w:fldChar w:fldCharType="begin"/>
      </w:r>
      <w:r w:rsidRPr="00357190">
        <w:rPr>
          <w:rFonts w:ascii="Times New Roman" w:hAnsi="Times New Roman"/>
          <w:sz w:val="24"/>
          <w:szCs w:val="24"/>
        </w:rPr>
        <w:instrText xml:space="preserve"> AUTONUM  </w:instrText>
      </w:r>
      <w:r w:rsidRPr="00357190">
        <w:rPr>
          <w:rFonts w:ascii="Times New Roman" w:hAnsi="Times New Roman"/>
          <w:sz w:val="24"/>
          <w:szCs w:val="24"/>
        </w:rPr>
        <w:fldChar w:fldCharType="end"/>
      </w:r>
      <w:r w:rsidRPr="00357190">
        <w:rPr>
          <w:rFonts w:ascii="Times New Roman" w:hAnsi="Times New Roman"/>
          <w:sz w:val="24"/>
          <w:szCs w:val="24"/>
        </w:rPr>
        <w:tab/>
      </w:r>
      <w:r w:rsidR="00BF1502">
        <w:rPr>
          <w:rFonts w:ascii="Times New Roman" w:hAnsi="Times New Roman"/>
          <w:sz w:val="24"/>
          <w:szCs w:val="24"/>
        </w:rPr>
        <w:t xml:space="preserve">This </w:t>
      </w:r>
      <w:r w:rsidR="002D4D01">
        <w:rPr>
          <w:rFonts w:ascii="Times New Roman" w:hAnsi="Times New Roman"/>
          <w:sz w:val="24"/>
          <w:szCs w:val="24"/>
        </w:rPr>
        <w:t>objective need</w:t>
      </w:r>
      <w:r w:rsidR="00BF1502">
        <w:rPr>
          <w:rFonts w:ascii="Times New Roman" w:hAnsi="Times New Roman"/>
          <w:sz w:val="24"/>
          <w:szCs w:val="24"/>
        </w:rPr>
        <w:t>s</w:t>
      </w:r>
      <w:r w:rsidR="002D4D01">
        <w:rPr>
          <w:rFonts w:ascii="Times New Roman" w:hAnsi="Times New Roman"/>
          <w:sz w:val="24"/>
          <w:szCs w:val="24"/>
        </w:rPr>
        <w:t xml:space="preserve"> to be considered in light of the </w:t>
      </w:r>
      <w:r w:rsidRPr="00357190">
        <w:rPr>
          <w:rFonts w:ascii="Times New Roman" w:hAnsi="Times New Roman"/>
          <w:sz w:val="24"/>
          <w:szCs w:val="24"/>
        </w:rPr>
        <w:t>additional constraint faced by Inland Revenue at the present time</w:t>
      </w:r>
      <w:r w:rsidR="002D4D01">
        <w:rPr>
          <w:rFonts w:ascii="Times New Roman" w:hAnsi="Times New Roman"/>
          <w:sz w:val="24"/>
          <w:szCs w:val="24"/>
        </w:rPr>
        <w:t>, which is</w:t>
      </w:r>
      <w:r w:rsidRPr="00357190">
        <w:rPr>
          <w:rFonts w:ascii="Times New Roman" w:hAnsi="Times New Roman"/>
          <w:sz w:val="24"/>
          <w:szCs w:val="24"/>
        </w:rPr>
        <w:t xml:space="preserve"> its inability to make significant system changes in advance of the relevant stage of development of its Business Transformation.</w:t>
      </w:r>
    </w:p>
    <w:p w:rsidR="00FF426B" w:rsidRDefault="00FF426B" w:rsidP="003F40F7">
      <w:pPr>
        <w:spacing w:after="0" w:line="240" w:lineRule="auto"/>
        <w:jc w:val="both"/>
        <w:rPr>
          <w:rFonts w:ascii="Times New Roman" w:hAnsi="Times New Roman"/>
          <w:sz w:val="24"/>
          <w:szCs w:val="24"/>
        </w:rPr>
      </w:pPr>
    </w:p>
    <w:p w:rsidR="002057D7" w:rsidRPr="00412CC4" w:rsidRDefault="002057D7" w:rsidP="003F40F7">
      <w:pPr>
        <w:spacing w:after="0" w:line="240" w:lineRule="auto"/>
        <w:jc w:val="both"/>
        <w:rPr>
          <w:rFonts w:ascii="Times New Roman" w:hAnsi="Times New Roman"/>
          <w:b/>
          <w:sz w:val="24"/>
          <w:szCs w:val="24"/>
        </w:rPr>
      </w:pPr>
      <w:r w:rsidRPr="00412CC4">
        <w:rPr>
          <w:rFonts w:ascii="Times New Roman" w:hAnsi="Times New Roman"/>
          <w:b/>
          <w:sz w:val="24"/>
          <w:szCs w:val="24"/>
        </w:rPr>
        <w:t>Regulatory impact analysis</w:t>
      </w:r>
    </w:p>
    <w:p w:rsidR="007A57A1" w:rsidRDefault="007A57A1" w:rsidP="003F40F7">
      <w:pPr>
        <w:spacing w:after="0" w:line="240" w:lineRule="auto"/>
        <w:jc w:val="both"/>
        <w:rPr>
          <w:rFonts w:ascii="Times New Roman" w:hAnsi="Times New Roman"/>
          <w:sz w:val="24"/>
          <w:szCs w:val="24"/>
        </w:rPr>
      </w:pPr>
    </w:p>
    <w:p w:rsidR="00E041DE" w:rsidRDefault="00412CC4" w:rsidP="003F40F7">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60025E">
        <w:rPr>
          <w:rFonts w:ascii="Times New Roman" w:hAnsi="Times New Roman"/>
          <w:sz w:val="24"/>
          <w:szCs w:val="24"/>
        </w:rPr>
        <w:t xml:space="preserve">The Government has directed that the bank account option be considered as part of the package of Budget 2015 changes.  </w:t>
      </w:r>
      <w:r w:rsidR="00E041DE">
        <w:rPr>
          <w:rFonts w:ascii="Times New Roman" w:hAnsi="Times New Roman"/>
          <w:sz w:val="24"/>
          <w:szCs w:val="24"/>
        </w:rPr>
        <w:t>The</w:t>
      </w:r>
      <w:r w:rsidR="0060025E">
        <w:rPr>
          <w:rFonts w:ascii="Times New Roman" w:hAnsi="Times New Roman"/>
          <w:sz w:val="24"/>
          <w:szCs w:val="24"/>
        </w:rPr>
        <w:t>refore, the</w:t>
      </w:r>
      <w:r w:rsidR="00E041DE">
        <w:rPr>
          <w:rFonts w:ascii="Times New Roman" w:hAnsi="Times New Roman"/>
          <w:sz w:val="24"/>
          <w:szCs w:val="24"/>
        </w:rPr>
        <w:t xml:space="preserve"> options considered </w:t>
      </w:r>
      <w:r w:rsidR="00642C70">
        <w:rPr>
          <w:rFonts w:ascii="Times New Roman" w:hAnsi="Times New Roman"/>
          <w:sz w:val="24"/>
          <w:szCs w:val="24"/>
        </w:rPr>
        <w:t>are</w:t>
      </w:r>
      <w:r w:rsidR="00E041DE">
        <w:rPr>
          <w:rFonts w:ascii="Times New Roman" w:hAnsi="Times New Roman"/>
          <w:sz w:val="24"/>
          <w:szCs w:val="24"/>
        </w:rPr>
        <w:t>:</w:t>
      </w:r>
    </w:p>
    <w:p w:rsidR="00E041DE" w:rsidRDefault="00E041DE" w:rsidP="003F40F7">
      <w:pPr>
        <w:spacing w:after="0" w:line="240" w:lineRule="auto"/>
        <w:jc w:val="both"/>
        <w:rPr>
          <w:rFonts w:ascii="Times New Roman" w:hAnsi="Times New Roman"/>
          <w:sz w:val="24"/>
          <w:szCs w:val="24"/>
        </w:rPr>
      </w:pPr>
    </w:p>
    <w:p w:rsidR="00E041DE" w:rsidRDefault="000D3A60" w:rsidP="00642C70">
      <w:pPr>
        <w:pStyle w:val="Numberparagraph"/>
        <w:numPr>
          <w:ilvl w:val="0"/>
          <w:numId w:val="34"/>
        </w:numPr>
      </w:pPr>
      <w:r>
        <w:t xml:space="preserve">Option 1 - </w:t>
      </w:r>
      <w:r w:rsidR="00E041DE">
        <w:t xml:space="preserve">Not requiring evidence of a New Zealand bank account </w:t>
      </w:r>
      <w:r>
        <w:t xml:space="preserve">as a prerequisite to </w:t>
      </w:r>
      <w:r w:rsidR="007934F0">
        <w:t>a</w:t>
      </w:r>
      <w:r w:rsidR="007B5948">
        <w:t xml:space="preserve">n offshore </w:t>
      </w:r>
      <w:r w:rsidR="00D11A9C">
        <w:t>person</w:t>
      </w:r>
      <w:r w:rsidR="00D11A9C" w:rsidDel="007B5948">
        <w:t xml:space="preserve"> </w:t>
      </w:r>
      <w:r w:rsidR="00D11A9C">
        <w:t>obtaining</w:t>
      </w:r>
      <w:r>
        <w:t xml:space="preserve"> an IRD number (the status quo and preferred option).</w:t>
      </w:r>
    </w:p>
    <w:p w:rsidR="000D3A60" w:rsidRDefault="000D3A60" w:rsidP="000D3A60">
      <w:pPr>
        <w:pStyle w:val="ListParagraph"/>
        <w:ind w:left="927"/>
        <w:rPr>
          <w:rFonts w:ascii="Times New Roman" w:hAnsi="Times New Roman"/>
          <w:sz w:val="24"/>
          <w:szCs w:val="24"/>
        </w:rPr>
      </w:pPr>
    </w:p>
    <w:p w:rsidR="000D3A60" w:rsidRDefault="000D3A60" w:rsidP="00642C70">
      <w:pPr>
        <w:pStyle w:val="Numberparagraph"/>
        <w:numPr>
          <w:ilvl w:val="0"/>
          <w:numId w:val="34"/>
        </w:numPr>
      </w:pPr>
      <w:r>
        <w:t xml:space="preserve">Option 2 - Legislating to require evidence of a New Zealand bank account as a prerequisite to </w:t>
      </w:r>
      <w:r w:rsidR="001908C3">
        <w:t>a</w:t>
      </w:r>
      <w:r w:rsidR="007B5948">
        <w:t>n offshore person</w:t>
      </w:r>
      <w:r w:rsidR="001908C3">
        <w:t xml:space="preserve"> </w:t>
      </w:r>
      <w:r>
        <w:t>obtaining an IRD number.</w:t>
      </w:r>
    </w:p>
    <w:p w:rsidR="00412CC4" w:rsidRDefault="00412CC4" w:rsidP="003F40F7">
      <w:pPr>
        <w:spacing w:after="0" w:line="240" w:lineRule="auto"/>
        <w:jc w:val="both"/>
        <w:rPr>
          <w:rFonts w:ascii="Times New Roman" w:hAnsi="Times New Roman"/>
          <w:sz w:val="24"/>
          <w:szCs w:val="24"/>
        </w:rPr>
      </w:pPr>
    </w:p>
    <w:p w:rsidR="00412CC4" w:rsidRPr="00A86912" w:rsidRDefault="000D3A60" w:rsidP="003F40F7">
      <w:pPr>
        <w:spacing w:after="0" w:line="240" w:lineRule="auto"/>
        <w:jc w:val="both"/>
        <w:rPr>
          <w:rFonts w:ascii="Times New Roman" w:hAnsi="Times New Roman"/>
          <w:b/>
          <w:i/>
          <w:sz w:val="24"/>
          <w:szCs w:val="24"/>
        </w:rPr>
      </w:pPr>
      <w:r>
        <w:rPr>
          <w:rFonts w:ascii="Times New Roman" w:hAnsi="Times New Roman"/>
          <w:b/>
          <w:i/>
          <w:sz w:val="24"/>
          <w:szCs w:val="24"/>
        </w:rPr>
        <w:t>Option 1 – S</w:t>
      </w:r>
      <w:r w:rsidR="00412CC4" w:rsidRPr="00A86912">
        <w:rPr>
          <w:rFonts w:ascii="Times New Roman" w:hAnsi="Times New Roman"/>
          <w:b/>
          <w:i/>
          <w:sz w:val="24"/>
          <w:szCs w:val="24"/>
        </w:rPr>
        <w:t>tatus quo</w:t>
      </w:r>
    </w:p>
    <w:p w:rsidR="00412CC4" w:rsidRDefault="00412CC4" w:rsidP="003F40F7">
      <w:pPr>
        <w:spacing w:after="0" w:line="240" w:lineRule="auto"/>
        <w:jc w:val="both"/>
        <w:rPr>
          <w:rFonts w:ascii="Times New Roman" w:hAnsi="Times New Roman"/>
          <w:sz w:val="24"/>
          <w:szCs w:val="24"/>
        </w:rPr>
      </w:pPr>
    </w:p>
    <w:p w:rsidR="001C6AFF" w:rsidRDefault="00412CC4" w:rsidP="000D3A60">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1C6AFF">
        <w:rPr>
          <w:rFonts w:ascii="Times New Roman" w:hAnsi="Times New Roman"/>
          <w:sz w:val="24"/>
          <w:szCs w:val="24"/>
        </w:rPr>
        <w:t xml:space="preserve">Under </w:t>
      </w:r>
      <w:r w:rsidR="00864A97">
        <w:rPr>
          <w:rFonts w:ascii="Times New Roman" w:hAnsi="Times New Roman"/>
          <w:sz w:val="24"/>
          <w:szCs w:val="24"/>
        </w:rPr>
        <w:t>the status quo</w:t>
      </w:r>
      <w:r w:rsidR="000D3A60">
        <w:rPr>
          <w:rFonts w:ascii="Times New Roman" w:hAnsi="Times New Roman"/>
          <w:sz w:val="24"/>
          <w:szCs w:val="24"/>
        </w:rPr>
        <w:t xml:space="preserve"> t</w:t>
      </w:r>
      <w:r w:rsidR="000D3A60" w:rsidRPr="000D3A60">
        <w:rPr>
          <w:rFonts w:ascii="Times New Roman" w:hAnsi="Times New Roman"/>
          <w:sz w:val="24"/>
          <w:szCs w:val="24"/>
        </w:rPr>
        <w:t xml:space="preserve">he Commissioner of Inland Revenue will continue to use her power </w:t>
      </w:r>
      <w:r w:rsidR="006A282F">
        <w:rPr>
          <w:rFonts w:ascii="Times New Roman" w:hAnsi="Times New Roman"/>
          <w:sz w:val="24"/>
          <w:szCs w:val="24"/>
        </w:rPr>
        <w:t xml:space="preserve">under section 35 of the Tax Administration Act 1994 </w:t>
      </w:r>
      <w:r w:rsidR="000D3A60" w:rsidRPr="000D3A60">
        <w:rPr>
          <w:rFonts w:ascii="Times New Roman" w:hAnsi="Times New Roman"/>
          <w:sz w:val="24"/>
          <w:szCs w:val="24"/>
        </w:rPr>
        <w:t>to prescribe forms to collect the information she feels necessary to fulfil her statutory obligation to protect the integrity of the tax system</w:t>
      </w:r>
      <w:r w:rsidR="00864A97" w:rsidRPr="000D3A60">
        <w:rPr>
          <w:rFonts w:ascii="Times New Roman" w:hAnsi="Times New Roman"/>
          <w:sz w:val="24"/>
          <w:szCs w:val="24"/>
        </w:rPr>
        <w:t>.</w:t>
      </w:r>
      <w:r w:rsidR="0023016D">
        <w:rPr>
          <w:rStyle w:val="FootnoteReference"/>
          <w:szCs w:val="24"/>
        </w:rPr>
        <w:footnoteReference w:id="2"/>
      </w:r>
      <w:r w:rsidR="00A557D0">
        <w:rPr>
          <w:rFonts w:ascii="Times New Roman" w:hAnsi="Times New Roman"/>
          <w:sz w:val="24"/>
          <w:szCs w:val="24"/>
        </w:rPr>
        <w:t xml:space="preserve">  </w:t>
      </w:r>
    </w:p>
    <w:p w:rsidR="000D3A60" w:rsidRDefault="000D3A60" w:rsidP="000D3A60">
      <w:pPr>
        <w:spacing w:after="0" w:line="240" w:lineRule="auto"/>
        <w:jc w:val="both"/>
        <w:rPr>
          <w:rFonts w:ascii="Times New Roman" w:hAnsi="Times New Roman"/>
          <w:sz w:val="24"/>
          <w:szCs w:val="24"/>
        </w:rPr>
      </w:pPr>
    </w:p>
    <w:p w:rsidR="000D3A60" w:rsidRPr="000D3A60" w:rsidRDefault="000D3A60" w:rsidP="000D3A60">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rPr>
        <w:t xml:space="preserve">This is the option preferred by Inland Revenue.  </w:t>
      </w:r>
    </w:p>
    <w:p w:rsidR="001C6AFF" w:rsidRDefault="001C6AFF" w:rsidP="003F40F7">
      <w:pPr>
        <w:spacing w:after="0" w:line="240" w:lineRule="auto"/>
        <w:jc w:val="both"/>
        <w:rPr>
          <w:rFonts w:ascii="Times New Roman" w:hAnsi="Times New Roman"/>
          <w:sz w:val="24"/>
          <w:szCs w:val="24"/>
        </w:rPr>
      </w:pPr>
    </w:p>
    <w:p w:rsidR="009A02B9" w:rsidRPr="00A86912" w:rsidRDefault="009A02B9" w:rsidP="003F40F7">
      <w:pPr>
        <w:spacing w:after="0" w:line="240" w:lineRule="auto"/>
        <w:jc w:val="both"/>
        <w:rPr>
          <w:rFonts w:ascii="Times New Roman" w:hAnsi="Times New Roman"/>
          <w:b/>
          <w:i/>
          <w:sz w:val="24"/>
          <w:szCs w:val="24"/>
        </w:rPr>
      </w:pPr>
      <w:r w:rsidRPr="00A86912">
        <w:rPr>
          <w:rFonts w:ascii="Times New Roman" w:hAnsi="Times New Roman"/>
          <w:b/>
          <w:i/>
          <w:sz w:val="24"/>
          <w:szCs w:val="24"/>
        </w:rPr>
        <w:t xml:space="preserve">Option 2 – </w:t>
      </w:r>
      <w:r w:rsidR="000D3A60">
        <w:rPr>
          <w:rFonts w:ascii="Times New Roman" w:hAnsi="Times New Roman"/>
          <w:b/>
          <w:i/>
          <w:sz w:val="24"/>
          <w:szCs w:val="24"/>
        </w:rPr>
        <w:t xml:space="preserve">Legislating </w:t>
      </w:r>
      <w:r w:rsidR="00DC6C38">
        <w:rPr>
          <w:rFonts w:ascii="Times New Roman" w:hAnsi="Times New Roman"/>
          <w:b/>
          <w:i/>
          <w:sz w:val="24"/>
          <w:szCs w:val="24"/>
        </w:rPr>
        <w:t>a bank account requirement</w:t>
      </w:r>
    </w:p>
    <w:p w:rsidR="009A02B9" w:rsidRDefault="009A02B9" w:rsidP="003F40F7">
      <w:pPr>
        <w:spacing w:after="0" w:line="240" w:lineRule="auto"/>
        <w:jc w:val="both"/>
        <w:rPr>
          <w:rFonts w:ascii="Times New Roman" w:hAnsi="Times New Roman"/>
          <w:sz w:val="24"/>
          <w:szCs w:val="24"/>
        </w:rPr>
      </w:pPr>
    </w:p>
    <w:p w:rsidR="00032ABA" w:rsidRDefault="009A02B9" w:rsidP="003F40F7">
      <w:pPr>
        <w:spacing w:after="0" w:line="240" w:lineRule="auto"/>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Pr>
          <w:rFonts w:ascii="Times New Roman" w:hAnsi="Times New Roman"/>
          <w:sz w:val="24"/>
          <w:szCs w:val="24"/>
        </w:rPr>
        <w:t>Under this option</w:t>
      </w:r>
      <w:r w:rsidR="00DC6C38">
        <w:rPr>
          <w:rFonts w:ascii="Times New Roman" w:hAnsi="Times New Roman"/>
          <w:sz w:val="24"/>
          <w:szCs w:val="24"/>
        </w:rPr>
        <w:t xml:space="preserve"> the Tax Administration Act 1994 would be amended to specifically provide that evidence of a New Zealand bank account must be provided </w:t>
      </w:r>
      <w:r w:rsidR="006F36E4">
        <w:rPr>
          <w:rFonts w:ascii="Times New Roman" w:hAnsi="Times New Roman"/>
          <w:sz w:val="24"/>
          <w:szCs w:val="24"/>
        </w:rPr>
        <w:t xml:space="preserve">by an offshore person </w:t>
      </w:r>
      <w:r w:rsidR="00DC6C38">
        <w:rPr>
          <w:rFonts w:ascii="Times New Roman" w:hAnsi="Times New Roman"/>
          <w:sz w:val="24"/>
          <w:szCs w:val="24"/>
        </w:rPr>
        <w:t>to the Commissioner as a prerequisite to obtaining an IRD number.</w:t>
      </w:r>
    </w:p>
    <w:p w:rsidR="00BF1502" w:rsidRDefault="00BF1502" w:rsidP="003F40F7">
      <w:pPr>
        <w:spacing w:after="0" w:line="240" w:lineRule="auto"/>
        <w:jc w:val="both"/>
        <w:rPr>
          <w:rFonts w:ascii="Times New Roman" w:hAnsi="Times New Roman"/>
          <w:sz w:val="24"/>
          <w:szCs w:val="24"/>
        </w:rPr>
      </w:pPr>
    </w:p>
    <w:p w:rsidR="00BF1502" w:rsidRDefault="00BF1502" w:rsidP="003F40F7">
      <w:pPr>
        <w:spacing w:after="0" w:line="240" w:lineRule="auto"/>
        <w:jc w:val="both"/>
        <w:rPr>
          <w:rFonts w:ascii="Times New Roman" w:hAnsi="Times New Roman"/>
          <w:sz w:val="24"/>
          <w:szCs w:val="24"/>
          <w:lang w:val="en-NZ"/>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A728CA">
        <w:rPr>
          <w:rFonts w:ascii="Times New Roman" w:hAnsi="Times New Roman"/>
          <w:sz w:val="24"/>
          <w:szCs w:val="24"/>
          <w:lang w:val="en-NZ"/>
        </w:rPr>
        <w:t>On balance, t</w:t>
      </w:r>
      <w:r>
        <w:rPr>
          <w:rFonts w:ascii="Times New Roman" w:hAnsi="Times New Roman"/>
          <w:sz w:val="24"/>
          <w:szCs w:val="24"/>
          <w:lang w:val="en-NZ"/>
        </w:rPr>
        <w:t>his option is not preferred, principally because:</w:t>
      </w:r>
    </w:p>
    <w:p w:rsidR="00BF1502" w:rsidRDefault="00BF1502" w:rsidP="00BF1502">
      <w:pPr>
        <w:pStyle w:val="ListParagraph"/>
        <w:numPr>
          <w:ilvl w:val="0"/>
          <w:numId w:val="37"/>
        </w:numPr>
        <w:ind w:right="170"/>
        <w:contextualSpacing w:val="0"/>
        <w:rPr>
          <w:rFonts w:ascii="Times New Roman" w:hAnsi="Times New Roman"/>
          <w:sz w:val="24"/>
          <w:szCs w:val="24"/>
        </w:rPr>
      </w:pPr>
      <w:r>
        <w:rPr>
          <w:rFonts w:ascii="Times New Roman" w:hAnsi="Times New Roman"/>
          <w:sz w:val="24"/>
          <w:szCs w:val="24"/>
        </w:rPr>
        <w:t>It is not apparent that</w:t>
      </w:r>
      <w:r w:rsidR="001C6789">
        <w:rPr>
          <w:rFonts w:ascii="Times New Roman" w:hAnsi="Times New Roman"/>
          <w:sz w:val="24"/>
          <w:szCs w:val="24"/>
        </w:rPr>
        <w:t xml:space="preserve">, for individuals, </w:t>
      </w:r>
      <w:r>
        <w:rPr>
          <w:rFonts w:ascii="Times New Roman" w:hAnsi="Times New Roman"/>
          <w:sz w:val="24"/>
          <w:szCs w:val="24"/>
        </w:rPr>
        <w:t xml:space="preserve">the general anti-money laundering checks that a New Zealand financial institution would carry out would yield significantly more information than Inland Revenue collects as part of the current IRD number application process; </w:t>
      </w:r>
    </w:p>
    <w:p w:rsidR="00B2740D" w:rsidRDefault="00B2740D" w:rsidP="00B2740D">
      <w:pPr>
        <w:pStyle w:val="ListParagraph"/>
        <w:numPr>
          <w:ilvl w:val="0"/>
          <w:numId w:val="37"/>
        </w:numPr>
        <w:ind w:right="170"/>
        <w:contextualSpacing w:val="0"/>
        <w:rPr>
          <w:rFonts w:ascii="Times New Roman" w:hAnsi="Times New Roman"/>
          <w:sz w:val="24"/>
          <w:szCs w:val="24"/>
        </w:rPr>
      </w:pPr>
      <w:r>
        <w:rPr>
          <w:rFonts w:ascii="Times New Roman" w:hAnsi="Times New Roman"/>
          <w:sz w:val="24"/>
          <w:szCs w:val="24"/>
        </w:rPr>
        <w:t xml:space="preserve">It is likely that the information obtained on bank account opening will be collected in any event once </w:t>
      </w:r>
      <w:r w:rsidR="001157C7">
        <w:rPr>
          <w:rFonts w:ascii="Times New Roman" w:hAnsi="Times New Roman"/>
          <w:sz w:val="24"/>
          <w:szCs w:val="24"/>
        </w:rPr>
        <w:t>P</w:t>
      </w:r>
      <w:r>
        <w:rPr>
          <w:rFonts w:ascii="Times New Roman" w:hAnsi="Times New Roman"/>
          <w:sz w:val="24"/>
          <w:szCs w:val="24"/>
        </w:rPr>
        <w:t>hase 2 of the planned AML roll-out occurs.  Any advantage that is obtained is therefore only likely to be temporary in nature.</w:t>
      </w:r>
    </w:p>
    <w:p w:rsidR="002B7B9A" w:rsidRPr="002B7B9A" w:rsidRDefault="002B7B9A" w:rsidP="002B7B9A">
      <w:pPr>
        <w:pStyle w:val="ListParagraph"/>
        <w:ind w:right="170"/>
        <w:contextualSpacing w:val="0"/>
        <w:rPr>
          <w:rFonts w:ascii="Times New Roman" w:hAnsi="Times New Roman"/>
          <w:sz w:val="24"/>
          <w:szCs w:val="24"/>
        </w:rPr>
      </w:pPr>
    </w:p>
    <w:p w:rsidR="00006652" w:rsidRDefault="00EB7619" w:rsidP="003F40F7">
      <w:pPr>
        <w:spacing w:after="0" w:line="240" w:lineRule="auto"/>
        <w:jc w:val="both"/>
        <w:rPr>
          <w:rFonts w:ascii="Times New Roman" w:hAnsi="Times New Roman"/>
          <w:b/>
          <w:sz w:val="24"/>
          <w:szCs w:val="24"/>
        </w:rPr>
      </w:pPr>
      <w:r>
        <w:rPr>
          <w:rFonts w:ascii="Times New Roman" w:hAnsi="Times New Roman"/>
          <w:b/>
          <w:sz w:val="24"/>
          <w:szCs w:val="24"/>
        </w:rPr>
        <w:t>I</w:t>
      </w:r>
      <w:r w:rsidR="00E1736A">
        <w:rPr>
          <w:rFonts w:ascii="Times New Roman" w:hAnsi="Times New Roman"/>
          <w:b/>
          <w:sz w:val="24"/>
          <w:szCs w:val="24"/>
        </w:rPr>
        <w:t>mpact analysis</w:t>
      </w:r>
    </w:p>
    <w:p w:rsidR="00F307D9" w:rsidRPr="00412CC4" w:rsidRDefault="00F307D9" w:rsidP="003F40F7">
      <w:pPr>
        <w:spacing w:after="0" w:line="240" w:lineRule="auto"/>
        <w:jc w:val="both"/>
        <w:rPr>
          <w:rFonts w:ascii="Times New Roman" w:hAnsi="Times New Roman"/>
          <w:b/>
          <w:sz w:val="24"/>
          <w:szCs w:val="24"/>
        </w:rPr>
      </w:pPr>
    </w:p>
    <w:p w:rsidR="00412CC4" w:rsidRDefault="00232AFE" w:rsidP="003F40F7">
      <w:pPr>
        <w:spacing w:after="0" w:line="240" w:lineRule="auto"/>
        <w:jc w:val="both"/>
        <w:rPr>
          <w:rFonts w:ascii="Times New Roman" w:hAnsi="Times New Roman"/>
          <w:sz w:val="24"/>
          <w:szCs w:val="24"/>
        </w:rPr>
      </w:pPr>
      <w:r>
        <w:rPr>
          <w:rFonts w:ascii="Times New Roman" w:hAnsi="Times New Roman"/>
          <w:i/>
          <w:sz w:val="24"/>
          <w:szCs w:val="24"/>
        </w:rPr>
        <w:t>Option 1 – Status quo</w:t>
      </w:r>
    </w:p>
    <w:p w:rsidR="00232AFE" w:rsidRDefault="00232AFE" w:rsidP="003F40F7">
      <w:pPr>
        <w:spacing w:after="0" w:line="240" w:lineRule="auto"/>
        <w:jc w:val="both"/>
        <w:rPr>
          <w:rFonts w:ascii="Times New Roman" w:hAnsi="Times New Roman"/>
          <w:sz w:val="24"/>
          <w:szCs w:val="24"/>
        </w:rPr>
      </w:pPr>
    </w:p>
    <w:p w:rsidR="00232AFE" w:rsidRDefault="00D90C27" w:rsidP="00232AFE">
      <w:pPr>
        <w:spacing w:after="0" w:line="240" w:lineRule="auto"/>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232AFE">
        <w:rPr>
          <w:rFonts w:ascii="Times New Roman" w:hAnsi="Times New Roman"/>
          <w:sz w:val="24"/>
          <w:szCs w:val="24"/>
        </w:rPr>
        <w:t>The status quo does not require a</w:t>
      </w:r>
      <w:r w:rsidR="007B5948">
        <w:rPr>
          <w:rFonts w:ascii="Times New Roman" w:hAnsi="Times New Roman"/>
          <w:sz w:val="24"/>
          <w:szCs w:val="24"/>
        </w:rPr>
        <w:t xml:space="preserve">n offshore </w:t>
      </w:r>
      <w:r w:rsidR="00D11A9C">
        <w:rPr>
          <w:rFonts w:ascii="Times New Roman" w:hAnsi="Times New Roman"/>
          <w:sz w:val="24"/>
          <w:szCs w:val="24"/>
        </w:rPr>
        <w:t>person</w:t>
      </w:r>
      <w:r w:rsidR="00D11A9C" w:rsidDel="007B5948">
        <w:rPr>
          <w:rFonts w:ascii="Times New Roman" w:hAnsi="Times New Roman"/>
          <w:sz w:val="24"/>
          <w:szCs w:val="24"/>
        </w:rPr>
        <w:t xml:space="preserve"> </w:t>
      </w:r>
      <w:r w:rsidR="00D11A9C">
        <w:rPr>
          <w:rFonts w:ascii="Times New Roman" w:hAnsi="Times New Roman"/>
          <w:sz w:val="24"/>
          <w:szCs w:val="24"/>
        </w:rPr>
        <w:t>to</w:t>
      </w:r>
      <w:r w:rsidR="00232AFE">
        <w:rPr>
          <w:rFonts w:ascii="Times New Roman" w:hAnsi="Times New Roman"/>
          <w:sz w:val="24"/>
          <w:szCs w:val="24"/>
        </w:rPr>
        <w:t xml:space="preserve"> be subject to the AML rules before obtaining an IRD number.</w:t>
      </w:r>
    </w:p>
    <w:p w:rsidR="00232AFE" w:rsidRDefault="00232AFE" w:rsidP="00232AFE">
      <w:pPr>
        <w:spacing w:after="0" w:line="240" w:lineRule="auto"/>
        <w:jc w:val="both"/>
        <w:rPr>
          <w:rFonts w:ascii="Times New Roman" w:hAnsi="Times New Roman"/>
          <w:sz w:val="24"/>
          <w:szCs w:val="24"/>
        </w:rPr>
      </w:pPr>
    </w:p>
    <w:p w:rsidR="00232AFE" w:rsidRPr="00232AFE" w:rsidRDefault="00D90C27" w:rsidP="00232AFE">
      <w:pPr>
        <w:spacing w:after="0" w:line="240" w:lineRule="auto"/>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232AFE" w:rsidRPr="00232AFE">
        <w:rPr>
          <w:rFonts w:ascii="Times New Roman" w:hAnsi="Times New Roman"/>
          <w:sz w:val="24"/>
          <w:szCs w:val="24"/>
        </w:rPr>
        <w:t xml:space="preserve">The Commissioner has an ability to prescribe forms necessary for the administration of the tax system.  This means she can collect information she considers necessary, </w:t>
      </w:r>
      <w:r w:rsidR="00232AFE" w:rsidRPr="00232AFE">
        <w:rPr>
          <w:rFonts w:ascii="Times New Roman" w:hAnsi="Times New Roman"/>
          <w:sz w:val="24"/>
          <w:szCs w:val="24"/>
        </w:rPr>
        <w:lastRenderedPageBreak/>
        <w:t xml:space="preserve">including information that a New Zealand financial institution would ordinarily collect under its AML obligations.  </w:t>
      </w:r>
    </w:p>
    <w:p w:rsidR="00232AFE" w:rsidRPr="00232AFE" w:rsidRDefault="00232AFE" w:rsidP="00232AFE">
      <w:pPr>
        <w:spacing w:after="0" w:line="240" w:lineRule="auto"/>
        <w:jc w:val="both"/>
        <w:rPr>
          <w:rFonts w:ascii="Times New Roman" w:hAnsi="Times New Roman"/>
          <w:sz w:val="24"/>
          <w:szCs w:val="24"/>
        </w:rPr>
      </w:pPr>
    </w:p>
    <w:p w:rsidR="00232AFE" w:rsidRDefault="006F36E4" w:rsidP="00232AFE">
      <w:pPr>
        <w:spacing w:after="0" w:line="240" w:lineRule="auto"/>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232AFE" w:rsidRPr="00232AFE">
        <w:rPr>
          <w:rFonts w:ascii="Times New Roman" w:hAnsi="Times New Roman"/>
          <w:sz w:val="24"/>
          <w:szCs w:val="24"/>
        </w:rPr>
        <w:t>It is Inland Revenue’s view that there is no impediment to the Commissioner requiring evidence of a bank account under the current law.  However, it is not considered a desirable requirement given the extra compliance burden it would impose for relatively little gain in terms of the administration of the tax system.</w:t>
      </w:r>
    </w:p>
    <w:p w:rsidR="00A728CA" w:rsidRDefault="00A728CA" w:rsidP="00232AFE">
      <w:pPr>
        <w:spacing w:after="0" w:line="240" w:lineRule="auto"/>
        <w:jc w:val="both"/>
        <w:rPr>
          <w:rFonts w:ascii="Times New Roman" w:hAnsi="Times New Roman"/>
          <w:sz w:val="24"/>
          <w:szCs w:val="24"/>
        </w:rPr>
      </w:pPr>
    </w:p>
    <w:p w:rsidR="00A728CA" w:rsidRDefault="00A728CA" w:rsidP="00A728CA">
      <w:pPr>
        <w:rPr>
          <w:rFonts w:ascii="Times New Roman" w:hAnsi="Times New Roman"/>
          <w:sz w:val="24"/>
          <w:szCs w:val="24"/>
          <w:lang w:val="en-NZ"/>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Pr>
          <w:rFonts w:ascii="Times New Roman" w:hAnsi="Times New Roman"/>
          <w:sz w:val="24"/>
          <w:szCs w:val="24"/>
          <w:lang w:val="en-NZ"/>
        </w:rPr>
        <w:t>As mentioned above, an individual applying for an IRD number currently has to</w:t>
      </w:r>
      <w:r>
        <w:rPr>
          <w:rFonts w:ascii="Times New Roman" w:hAnsi="Times New Roman"/>
          <w:sz w:val="24"/>
          <w:szCs w:val="24"/>
        </w:rPr>
        <w:t xml:space="preserve"> provide at least one “Category A” document and one “Category B” document.  It is Inland Revenue’s view that this form of identity verification is broadly similar to that undertaken by financial institutions as part of its standard AML customer due diligence.</w:t>
      </w:r>
    </w:p>
    <w:p w:rsidR="00A728CA" w:rsidRDefault="00A728CA" w:rsidP="00A728CA">
      <w:pPr>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Pr>
          <w:rFonts w:ascii="Times New Roman" w:hAnsi="Times New Roman"/>
          <w:sz w:val="24"/>
          <w:szCs w:val="24"/>
        </w:rPr>
        <w:t>Non-individual applicants also have to provide identity documents related to the applicant.  A company, for example, will need to provide their certificate of incorporation.  In saying this, it is recognised that the information gathered by Inland Revenue on the underlying controllers or shareholders of a non-individual applicant is not currently comprehensive. This is because such information is not strictly necessary to the administration of the tax system – the applicant (in this case, the trust or company) is a New Zealand tax resident and it is at that level that any tax liability will arise.</w:t>
      </w:r>
    </w:p>
    <w:p w:rsidR="00232AFE" w:rsidRPr="002727AE" w:rsidRDefault="00D90C27" w:rsidP="00232AFE">
      <w:pPr>
        <w:spacing w:after="0" w:line="240" w:lineRule="auto"/>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232AFE" w:rsidRPr="00D73883">
        <w:rPr>
          <w:rFonts w:ascii="Times New Roman" w:hAnsi="Times New Roman"/>
          <w:sz w:val="24"/>
          <w:szCs w:val="24"/>
        </w:rPr>
        <w:t xml:space="preserve">The identity of individuals that control other entities </w:t>
      </w:r>
      <w:r w:rsidR="00232AFE">
        <w:rPr>
          <w:rFonts w:ascii="Times New Roman" w:hAnsi="Times New Roman"/>
          <w:sz w:val="24"/>
          <w:szCs w:val="24"/>
        </w:rPr>
        <w:t>may not</w:t>
      </w:r>
      <w:r w:rsidR="00232AFE" w:rsidRPr="00D73883">
        <w:rPr>
          <w:rFonts w:ascii="Times New Roman" w:hAnsi="Times New Roman"/>
          <w:sz w:val="24"/>
          <w:szCs w:val="24"/>
        </w:rPr>
        <w:t xml:space="preserve"> be easy to obtain in the event of default on tax obligations</w:t>
      </w:r>
      <w:r w:rsidR="00232AFE">
        <w:rPr>
          <w:rFonts w:ascii="Times New Roman" w:hAnsi="Times New Roman"/>
          <w:sz w:val="24"/>
          <w:szCs w:val="24"/>
        </w:rPr>
        <w:t xml:space="preserve"> – especially if publically available records, such as the Companies Register, did not contain information on these individuals</w:t>
      </w:r>
      <w:r w:rsidR="00232AFE" w:rsidRPr="00D73883">
        <w:rPr>
          <w:rFonts w:ascii="Times New Roman" w:hAnsi="Times New Roman"/>
          <w:sz w:val="24"/>
          <w:szCs w:val="24"/>
        </w:rPr>
        <w:t>.</w:t>
      </w:r>
      <w:r w:rsidR="00232AFE">
        <w:rPr>
          <w:rFonts w:ascii="Times New Roman" w:hAnsi="Times New Roman"/>
          <w:sz w:val="24"/>
          <w:szCs w:val="24"/>
        </w:rPr>
        <w:t xml:space="preserve">  </w:t>
      </w:r>
      <w:r w:rsidR="00232AFE" w:rsidRPr="00232AFE">
        <w:rPr>
          <w:rFonts w:ascii="Times New Roman" w:hAnsi="Times New Roman"/>
          <w:sz w:val="24"/>
          <w:szCs w:val="24"/>
        </w:rPr>
        <w:t xml:space="preserve">The information that a financial institution would obtain in respect of natural persons that control a “non-individual”, such as a trust or company, is </w:t>
      </w:r>
      <w:r w:rsidR="00232AFE">
        <w:rPr>
          <w:rFonts w:ascii="Times New Roman" w:hAnsi="Times New Roman"/>
          <w:sz w:val="24"/>
          <w:szCs w:val="24"/>
        </w:rPr>
        <w:t xml:space="preserve">therefore </w:t>
      </w:r>
      <w:r w:rsidR="00232AFE" w:rsidRPr="00232AFE">
        <w:rPr>
          <w:rFonts w:ascii="Times New Roman" w:hAnsi="Times New Roman"/>
          <w:sz w:val="24"/>
          <w:szCs w:val="24"/>
        </w:rPr>
        <w:t>likely to be more complete than that obtained by Inland Revenue</w:t>
      </w:r>
      <w:r w:rsidR="00232AFE">
        <w:rPr>
          <w:rFonts w:ascii="Times New Roman" w:hAnsi="Times New Roman"/>
          <w:sz w:val="24"/>
          <w:szCs w:val="24"/>
        </w:rPr>
        <w:t xml:space="preserve">.  </w:t>
      </w:r>
    </w:p>
    <w:p w:rsidR="00232AFE" w:rsidRPr="00232AFE" w:rsidRDefault="00232AFE" w:rsidP="00232AFE">
      <w:pPr>
        <w:spacing w:after="0" w:line="240" w:lineRule="auto"/>
        <w:jc w:val="both"/>
        <w:rPr>
          <w:rFonts w:ascii="Times New Roman" w:hAnsi="Times New Roman"/>
          <w:sz w:val="24"/>
          <w:szCs w:val="24"/>
        </w:rPr>
      </w:pPr>
    </w:p>
    <w:p w:rsidR="00232AFE" w:rsidRDefault="00825F6E" w:rsidP="003F40F7">
      <w:pPr>
        <w:spacing w:after="0" w:line="240" w:lineRule="auto"/>
        <w:jc w:val="both"/>
        <w:rPr>
          <w:rFonts w:ascii="Times New Roman" w:hAnsi="Times New Roman"/>
          <w:sz w:val="24"/>
          <w:szCs w:val="24"/>
        </w:rPr>
      </w:pPr>
      <w:r>
        <w:rPr>
          <w:rFonts w:ascii="Times New Roman" w:hAnsi="Times New Roman"/>
          <w:i/>
          <w:sz w:val="24"/>
          <w:szCs w:val="24"/>
        </w:rPr>
        <w:t>Option 2 – Legislating a bank account requirement</w:t>
      </w:r>
    </w:p>
    <w:p w:rsidR="00825F6E" w:rsidRDefault="00825F6E" w:rsidP="003F40F7">
      <w:pPr>
        <w:spacing w:after="0" w:line="240" w:lineRule="auto"/>
        <w:jc w:val="both"/>
        <w:rPr>
          <w:rFonts w:ascii="Times New Roman" w:hAnsi="Times New Roman"/>
          <w:sz w:val="24"/>
          <w:szCs w:val="24"/>
        </w:rPr>
      </w:pPr>
    </w:p>
    <w:p w:rsidR="00825F6E" w:rsidRPr="00825F6E" w:rsidRDefault="00D90C27" w:rsidP="00825F6E">
      <w:pPr>
        <w:spacing w:after="0" w:line="240" w:lineRule="auto"/>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A728CA">
        <w:rPr>
          <w:rFonts w:ascii="Times New Roman" w:hAnsi="Times New Roman"/>
          <w:sz w:val="24"/>
          <w:szCs w:val="24"/>
        </w:rPr>
        <w:t xml:space="preserve">As set out in the preceding paragraphs, the </w:t>
      </w:r>
      <w:r w:rsidR="00825F6E" w:rsidRPr="00825F6E">
        <w:rPr>
          <w:rFonts w:ascii="Times New Roman" w:hAnsi="Times New Roman"/>
          <w:sz w:val="24"/>
          <w:szCs w:val="24"/>
        </w:rPr>
        <w:t xml:space="preserve">degree to which the bank account requirement </w:t>
      </w:r>
      <w:r w:rsidR="007B5948">
        <w:rPr>
          <w:rFonts w:ascii="Times New Roman" w:hAnsi="Times New Roman"/>
          <w:sz w:val="24"/>
          <w:szCs w:val="24"/>
        </w:rPr>
        <w:t>provides additional verification of identity</w:t>
      </w:r>
      <w:r w:rsidR="00825F6E" w:rsidRPr="00825F6E">
        <w:rPr>
          <w:rFonts w:ascii="Times New Roman" w:hAnsi="Times New Roman"/>
          <w:sz w:val="24"/>
          <w:szCs w:val="24"/>
        </w:rPr>
        <w:t xml:space="preserve"> depends on whether the bank account holder will be an individual or non-individual.</w:t>
      </w:r>
    </w:p>
    <w:p w:rsidR="00825F6E" w:rsidRPr="00825F6E" w:rsidRDefault="00825F6E" w:rsidP="00825F6E">
      <w:pPr>
        <w:spacing w:after="0" w:line="240" w:lineRule="auto"/>
        <w:jc w:val="both"/>
        <w:rPr>
          <w:rFonts w:ascii="Times New Roman" w:hAnsi="Times New Roman"/>
          <w:sz w:val="24"/>
          <w:szCs w:val="24"/>
        </w:rPr>
      </w:pPr>
    </w:p>
    <w:p w:rsidR="00825F6E" w:rsidRPr="00825F6E" w:rsidRDefault="00D90C27" w:rsidP="00825F6E">
      <w:pPr>
        <w:spacing w:after="0" w:line="240" w:lineRule="auto"/>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825F6E" w:rsidRPr="00825F6E">
        <w:rPr>
          <w:rFonts w:ascii="Times New Roman" w:hAnsi="Times New Roman"/>
          <w:sz w:val="24"/>
          <w:szCs w:val="24"/>
        </w:rPr>
        <w:t>In the case of individuals, there is the benefit that identity is verified against an independent source under AML procedures. However, the information that a financial institution obtains under its standard AML procedures would not provide materially more information than the standard IRD number application would yield in any event.</w:t>
      </w:r>
    </w:p>
    <w:p w:rsidR="00825F6E" w:rsidRPr="00825F6E" w:rsidRDefault="00825F6E" w:rsidP="00825F6E">
      <w:pPr>
        <w:spacing w:after="0" w:line="240" w:lineRule="auto"/>
        <w:jc w:val="both"/>
        <w:rPr>
          <w:rFonts w:ascii="Times New Roman" w:hAnsi="Times New Roman"/>
          <w:sz w:val="24"/>
          <w:szCs w:val="24"/>
        </w:rPr>
      </w:pPr>
    </w:p>
    <w:p w:rsidR="00825F6E" w:rsidRPr="00825F6E" w:rsidRDefault="00D90C27" w:rsidP="00825F6E">
      <w:pPr>
        <w:spacing w:after="0" w:line="240" w:lineRule="auto"/>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825F6E" w:rsidRPr="00825F6E">
        <w:rPr>
          <w:rFonts w:ascii="Times New Roman" w:hAnsi="Times New Roman"/>
          <w:sz w:val="24"/>
          <w:szCs w:val="24"/>
        </w:rPr>
        <w:t xml:space="preserve">On the other hand, the case for the bank account requirement seems to be stronger for non-individuals. AML procedures require a financial institution to also conduct customer due diligence on the “beneficial owners” (which is a defined term in the AML rules) of such entities including, in the case of companies, individuals with effective control over the company and individuals that ultimately own more than 25% of the company.  This information is greater than that required by Inland Revenue as part of its standard IRD number application process for non-individuals.  </w:t>
      </w:r>
    </w:p>
    <w:p w:rsidR="00825F6E" w:rsidRPr="00825F6E" w:rsidRDefault="00825F6E" w:rsidP="00825F6E">
      <w:pPr>
        <w:spacing w:after="0" w:line="240" w:lineRule="auto"/>
        <w:jc w:val="both"/>
        <w:rPr>
          <w:rFonts w:ascii="Times New Roman" w:hAnsi="Times New Roman"/>
          <w:sz w:val="24"/>
          <w:szCs w:val="24"/>
        </w:rPr>
      </w:pPr>
    </w:p>
    <w:p w:rsidR="00825F6E" w:rsidRDefault="00D90C27" w:rsidP="00825F6E">
      <w:pPr>
        <w:spacing w:after="0" w:line="240" w:lineRule="auto"/>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A728CA">
        <w:rPr>
          <w:rFonts w:ascii="Times New Roman" w:hAnsi="Times New Roman"/>
          <w:sz w:val="24"/>
          <w:szCs w:val="24"/>
          <w:lang w:val="en-NZ"/>
        </w:rPr>
        <w:t xml:space="preserve">On this basis, there is a strong argument for imposing the bank account requirement, at least in respect of non-individual IRD number applicants.  However, </w:t>
      </w:r>
      <w:r w:rsidR="00A728CA">
        <w:rPr>
          <w:rFonts w:ascii="Times New Roman" w:hAnsi="Times New Roman"/>
          <w:sz w:val="24"/>
          <w:szCs w:val="24"/>
        </w:rPr>
        <w:t>there are</w:t>
      </w:r>
      <w:r w:rsidR="00825F6E" w:rsidRPr="00825F6E">
        <w:rPr>
          <w:rFonts w:ascii="Times New Roman" w:hAnsi="Times New Roman"/>
          <w:sz w:val="24"/>
          <w:szCs w:val="24"/>
        </w:rPr>
        <w:t xml:space="preserve"> other important considerations</w:t>
      </w:r>
      <w:r w:rsidR="00A728CA">
        <w:rPr>
          <w:rFonts w:ascii="Times New Roman" w:hAnsi="Times New Roman"/>
          <w:sz w:val="24"/>
          <w:szCs w:val="24"/>
        </w:rPr>
        <w:t xml:space="preserve"> that factor against that argument</w:t>
      </w:r>
      <w:r w:rsidR="00825F6E" w:rsidRPr="00825F6E">
        <w:rPr>
          <w:rFonts w:ascii="Times New Roman" w:hAnsi="Times New Roman"/>
          <w:sz w:val="24"/>
          <w:szCs w:val="24"/>
        </w:rPr>
        <w:t xml:space="preserve">: </w:t>
      </w:r>
    </w:p>
    <w:p w:rsidR="00D90C27" w:rsidRPr="00825F6E" w:rsidRDefault="00D90C27" w:rsidP="00825F6E">
      <w:pPr>
        <w:spacing w:after="0" w:line="240" w:lineRule="auto"/>
        <w:jc w:val="both"/>
        <w:rPr>
          <w:rFonts w:ascii="Times New Roman" w:hAnsi="Times New Roman"/>
          <w:sz w:val="24"/>
          <w:szCs w:val="24"/>
        </w:rPr>
      </w:pPr>
    </w:p>
    <w:p w:rsidR="00825F6E" w:rsidRPr="002727AE" w:rsidRDefault="00825F6E" w:rsidP="002727AE">
      <w:pPr>
        <w:pStyle w:val="ListParagraph"/>
        <w:numPr>
          <w:ilvl w:val="0"/>
          <w:numId w:val="40"/>
        </w:numPr>
        <w:rPr>
          <w:rFonts w:ascii="Times New Roman" w:hAnsi="Times New Roman"/>
          <w:sz w:val="24"/>
          <w:szCs w:val="24"/>
        </w:rPr>
      </w:pPr>
      <w:r w:rsidRPr="002727AE">
        <w:rPr>
          <w:rFonts w:ascii="Times New Roman" w:hAnsi="Times New Roman"/>
          <w:sz w:val="24"/>
          <w:szCs w:val="24"/>
        </w:rPr>
        <w:t xml:space="preserve">Land Information New Zealand’s “Standard for verification of identity for registration under the Land Transfer Act 1952” document similarly requires the </w:t>
      </w:r>
      <w:r w:rsidRPr="002727AE">
        <w:rPr>
          <w:rFonts w:ascii="Times New Roman" w:hAnsi="Times New Roman"/>
          <w:sz w:val="24"/>
          <w:szCs w:val="24"/>
        </w:rPr>
        <w:lastRenderedPageBreak/>
        <w:t xml:space="preserve">practitioner giving effect to a land transaction to verify the identity of the interested party; </w:t>
      </w:r>
      <w:r w:rsidRPr="002727AE">
        <w:rPr>
          <w:rFonts w:ascii="Times New Roman" w:hAnsi="Times New Roman"/>
          <w:sz w:val="24"/>
          <w:szCs w:val="24"/>
        </w:rPr>
        <w:cr/>
      </w:r>
    </w:p>
    <w:p w:rsidR="00825F6E" w:rsidRDefault="00825F6E" w:rsidP="002727AE">
      <w:pPr>
        <w:pStyle w:val="ListParagraph"/>
        <w:numPr>
          <w:ilvl w:val="0"/>
          <w:numId w:val="40"/>
        </w:numPr>
        <w:rPr>
          <w:rFonts w:ascii="Times New Roman" w:hAnsi="Times New Roman"/>
          <w:sz w:val="24"/>
          <w:szCs w:val="24"/>
        </w:rPr>
      </w:pPr>
      <w:r w:rsidRPr="00825F6E">
        <w:rPr>
          <w:rFonts w:ascii="Times New Roman" w:hAnsi="Times New Roman"/>
          <w:sz w:val="24"/>
          <w:szCs w:val="24"/>
        </w:rPr>
        <w:t xml:space="preserve">Phase 2 of the AML roll-out has yet to occur.  Inland Revenue understands that </w:t>
      </w:r>
      <w:r w:rsidR="001157C7">
        <w:rPr>
          <w:rFonts w:ascii="Times New Roman" w:hAnsi="Times New Roman"/>
          <w:sz w:val="24"/>
          <w:szCs w:val="24"/>
        </w:rPr>
        <w:t>P</w:t>
      </w:r>
      <w:r w:rsidRPr="00825F6E">
        <w:rPr>
          <w:rFonts w:ascii="Times New Roman" w:hAnsi="Times New Roman"/>
          <w:sz w:val="24"/>
          <w:szCs w:val="24"/>
        </w:rPr>
        <w:t>hase 2 will impose AML obligations on a broader group of professional bodies, including solicitors, conveyancers and real estate agents.  As the majority of land transactions occur with the assistance of one of these professionals, AML requirements will in the future be applied to parties to a land transaction in any event</w:t>
      </w:r>
      <w:r w:rsidR="006F36E4">
        <w:rPr>
          <w:rFonts w:ascii="Times New Roman" w:hAnsi="Times New Roman"/>
          <w:sz w:val="24"/>
          <w:szCs w:val="24"/>
        </w:rPr>
        <w:t>.</w:t>
      </w:r>
    </w:p>
    <w:p w:rsidR="00424EB8" w:rsidRPr="00825F6E" w:rsidRDefault="00424EB8" w:rsidP="008072FB">
      <w:pPr>
        <w:pStyle w:val="ListParagraph"/>
        <w:ind w:left="930"/>
        <w:rPr>
          <w:rFonts w:ascii="Times New Roman" w:hAnsi="Times New Roman"/>
          <w:sz w:val="24"/>
          <w:szCs w:val="24"/>
        </w:rPr>
      </w:pPr>
    </w:p>
    <w:p w:rsidR="00825F6E" w:rsidRPr="00825F6E" w:rsidRDefault="00825F6E" w:rsidP="00825F6E">
      <w:pPr>
        <w:spacing w:after="0" w:line="240" w:lineRule="auto"/>
        <w:jc w:val="both"/>
        <w:rPr>
          <w:rFonts w:ascii="Times New Roman" w:hAnsi="Times New Roman"/>
          <w:sz w:val="24"/>
          <w:szCs w:val="24"/>
        </w:rPr>
      </w:pPr>
    </w:p>
    <w:p w:rsidR="00825F6E" w:rsidRPr="00825F6E" w:rsidRDefault="00424EB8" w:rsidP="00825F6E">
      <w:pPr>
        <w:spacing w:after="0" w:line="240" w:lineRule="auto"/>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6F36E4">
        <w:rPr>
          <w:rFonts w:ascii="Times New Roman" w:hAnsi="Times New Roman"/>
          <w:sz w:val="24"/>
          <w:szCs w:val="24"/>
        </w:rPr>
        <w:t>Finally, t</w:t>
      </w:r>
      <w:r w:rsidR="006F36E4" w:rsidRPr="00825F6E">
        <w:rPr>
          <w:rFonts w:ascii="Times New Roman" w:hAnsi="Times New Roman"/>
          <w:sz w:val="24"/>
          <w:szCs w:val="24"/>
        </w:rPr>
        <w:t xml:space="preserve">here </w:t>
      </w:r>
      <w:r w:rsidR="00825F6E" w:rsidRPr="00825F6E">
        <w:rPr>
          <w:rFonts w:ascii="Times New Roman" w:hAnsi="Times New Roman"/>
          <w:sz w:val="24"/>
          <w:szCs w:val="24"/>
        </w:rPr>
        <w:t>is a proposal to impose a positive obligation on a person that becomes an “</w:t>
      </w:r>
      <w:r w:rsidR="00311594">
        <w:rPr>
          <w:rFonts w:ascii="Times New Roman" w:hAnsi="Times New Roman"/>
          <w:sz w:val="24"/>
          <w:szCs w:val="24"/>
        </w:rPr>
        <w:t>offshore</w:t>
      </w:r>
      <w:r w:rsidR="00311594" w:rsidRPr="00825F6E">
        <w:rPr>
          <w:rFonts w:ascii="Times New Roman" w:hAnsi="Times New Roman"/>
          <w:sz w:val="24"/>
          <w:szCs w:val="24"/>
        </w:rPr>
        <w:t xml:space="preserve"> </w:t>
      </w:r>
      <w:r w:rsidR="00825F6E" w:rsidRPr="00825F6E">
        <w:rPr>
          <w:rFonts w:ascii="Times New Roman" w:hAnsi="Times New Roman"/>
          <w:sz w:val="24"/>
          <w:szCs w:val="24"/>
        </w:rPr>
        <w:t>person” to provide the Commissioner with a bank account at that point.  Although this provides a theoretical robustness to the rules, there is a risk that this obligation will not be complied with and therefore the proposed rule will be circumvented.</w:t>
      </w:r>
    </w:p>
    <w:p w:rsidR="00232AFE" w:rsidRDefault="00232AFE" w:rsidP="003F40F7">
      <w:pPr>
        <w:spacing w:after="0" w:line="240" w:lineRule="auto"/>
        <w:jc w:val="both"/>
        <w:rPr>
          <w:rFonts w:ascii="Times New Roman" w:hAnsi="Times New Roman"/>
          <w:sz w:val="24"/>
          <w:szCs w:val="24"/>
        </w:rPr>
      </w:pPr>
    </w:p>
    <w:p w:rsidR="001B44F7" w:rsidRDefault="00424EB8" w:rsidP="00424EB8">
      <w:pPr>
        <w:spacing w:after="0" w:line="240" w:lineRule="auto"/>
        <w:jc w:val="both"/>
        <w:rPr>
          <w:rFonts w:ascii="Times New Roman" w:hAnsi="Times New Roman"/>
          <w:sz w:val="24"/>
          <w:szCs w:val="24"/>
          <w:lang w:val="en-NZ"/>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Pr>
          <w:rFonts w:ascii="Times New Roman" w:hAnsi="Times New Roman"/>
          <w:sz w:val="24"/>
          <w:szCs w:val="24"/>
          <w:lang w:val="en-NZ"/>
        </w:rPr>
        <w:t>After taking these factors into account, Inland Revenue considers that</w:t>
      </w:r>
      <w:r w:rsidR="001B44F7">
        <w:rPr>
          <w:rFonts w:ascii="Times New Roman" w:hAnsi="Times New Roman"/>
          <w:sz w:val="24"/>
          <w:szCs w:val="24"/>
          <w:lang w:val="en-NZ"/>
        </w:rPr>
        <w:t xml:space="preserve"> the proposed bank account requirement would:</w:t>
      </w:r>
    </w:p>
    <w:p w:rsidR="001B44F7" w:rsidRDefault="001B44F7" w:rsidP="00D11A9C">
      <w:pPr>
        <w:pStyle w:val="ListParagraph"/>
        <w:numPr>
          <w:ilvl w:val="0"/>
          <w:numId w:val="41"/>
        </w:numPr>
        <w:rPr>
          <w:rFonts w:ascii="Times New Roman" w:hAnsi="Times New Roman"/>
          <w:sz w:val="24"/>
          <w:szCs w:val="24"/>
        </w:rPr>
      </w:pPr>
      <w:r>
        <w:rPr>
          <w:rFonts w:ascii="Times New Roman" w:hAnsi="Times New Roman"/>
          <w:sz w:val="24"/>
          <w:szCs w:val="24"/>
        </w:rPr>
        <w:t>for individuals, be of no real benefit; and</w:t>
      </w:r>
    </w:p>
    <w:p w:rsidR="001B44F7" w:rsidRDefault="001B44F7" w:rsidP="00D11A9C">
      <w:pPr>
        <w:pStyle w:val="ListParagraph"/>
        <w:numPr>
          <w:ilvl w:val="0"/>
          <w:numId w:val="41"/>
        </w:numPr>
        <w:rPr>
          <w:rFonts w:ascii="Times New Roman" w:hAnsi="Times New Roman"/>
          <w:sz w:val="24"/>
          <w:szCs w:val="24"/>
        </w:rPr>
      </w:pPr>
      <w:r>
        <w:rPr>
          <w:rFonts w:ascii="Times New Roman" w:hAnsi="Times New Roman"/>
          <w:sz w:val="24"/>
          <w:szCs w:val="24"/>
        </w:rPr>
        <w:t xml:space="preserve">for non-individuals, be of benefit, but this would only be temporary. </w:t>
      </w:r>
      <w:r>
        <w:rPr>
          <w:rFonts w:ascii="Times New Roman" w:hAnsi="Times New Roman"/>
          <w:sz w:val="24"/>
          <w:szCs w:val="24"/>
        </w:rPr>
        <w:br/>
      </w:r>
    </w:p>
    <w:p w:rsidR="00424EB8" w:rsidRPr="00D11A9C" w:rsidRDefault="001B44F7" w:rsidP="00D11A9C">
      <w:pPr>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424EB8" w:rsidRPr="00D11A9C">
        <w:rPr>
          <w:rFonts w:ascii="Times New Roman" w:hAnsi="Times New Roman"/>
          <w:sz w:val="24"/>
          <w:szCs w:val="24"/>
        </w:rPr>
        <w:t>Although information obtained</w:t>
      </w:r>
      <w:r>
        <w:rPr>
          <w:rFonts w:ascii="Times New Roman" w:hAnsi="Times New Roman"/>
          <w:sz w:val="24"/>
          <w:szCs w:val="24"/>
        </w:rPr>
        <w:t>, particularly on non-individuals,</w:t>
      </w:r>
      <w:r w:rsidR="00424EB8" w:rsidRPr="00D11A9C">
        <w:rPr>
          <w:rFonts w:ascii="Times New Roman" w:hAnsi="Times New Roman"/>
          <w:sz w:val="24"/>
          <w:szCs w:val="24"/>
        </w:rPr>
        <w:t xml:space="preserve"> may be useful during that window, on balance, it is not considered desirable to introduce rules to address an issue that will almost certainly be addressed through other means in the near future.</w:t>
      </w:r>
    </w:p>
    <w:p w:rsidR="00AD50FA" w:rsidRPr="00AD50FA" w:rsidRDefault="00424EB8" w:rsidP="003F40F7">
      <w:pPr>
        <w:spacing w:after="0" w:line="240" w:lineRule="auto"/>
        <w:jc w:val="both"/>
        <w:rPr>
          <w:rFonts w:ascii="Times New Roman" w:hAnsi="Times New Roman"/>
          <w:sz w:val="24"/>
          <w:szCs w:val="24"/>
          <w:lang w:val="en-NZ"/>
        </w:rPr>
      </w:pPr>
      <w:r w:rsidRPr="00E1736A">
        <w:rPr>
          <w:rFonts w:ascii="Times New Roman" w:hAnsi="Times New Roman"/>
          <w:sz w:val="24"/>
          <w:szCs w:val="24"/>
          <w:lang w:val="en-NZ"/>
        </w:rPr>
        <w:fldChar w:fldCharType="begin"/>
      </w:r>
      <w:r w:rsidRPr="00E1736A">
        <w:rPr>
          <w:rFonts w:ascii="Times New Roman" w:hAnsi="Times New Roman"/>
          <w:sz w:val="24"/>
          <w:szCs w:val="24"/>
          <w:lang w:val="en-NZ"/>
        </w:rPr>
        <w:instrText xml:space="preserve"> AUTONUM  </w:instrText>
      </w:r>
      <w:r w:rsidRPr="00E1736A">
        <w:rPr>
          <w:rFonts w:ascii="Times New Roman" w:hAnsi="Times New Roman"/>
          <w:sz w:val="24"/>
          <w:szCs w:val="24"/>
        </w:rPr>
        <w:fldChar w:fldCharType="end"/>
      </w:r>
      <w:r w:rsidRPr="00E1736A">
        <w:rPr>
          <w:rFonts w:ascii="Times New Roman" w:hAnsi="Times New Roman"/>
          <w:sz w:val="24"/>
          <w:szCs w:val="24"/>
          <w:lang w:val="en-NZ"/>
        </w:rPr>
        <w:tab/>
      </w:r>
      <w:r w:rsidR="00E1736A">
        <w:rPr>
          <w:rFonts w:ascii="Times New Roman" w:hAnsi="Times New Roman"/>
          <w:sz w:val="24"/>
          <w:szCs w:val="24"/>
        </w:rPr>
        <w:t xml:space="preserve">The table below </w:t>
      </w:r>
      <w:r w:rsidR="00D90C27">
        <w:rPr>
          <w:rFonts w:ascii="Times New Roman" w:hAnsi="Times New Roman"/>
          <w:sz w:val="24"/>
          <w:szCs w:val="24"/>
        </w:rPr>
        <w:t xml:space="preserve">summarises </w:t>
      </w:r>
      <w:r w:rsidR="00E1736A">
        <w:rPr>
          <w:rFonts w:ascii="Times New Roman" w:hAnsi="Times New Roman"/>
          <w:sz w:val="24"/>
          <w:szCs w:val="24"/>
        </w:rPr>
        <w:t xml:space="preserve">our analysis of </w:t>
      </w:r>
      <w:r w:rsidR="00A366D2">
        <w:rPr>
          <w:rFonts w:ascii="Times New Roman" w:hAnsi="Times New Roman"/>
          <w:sz w:val="24"/>
          <w:szCs w:val="24"/>
        </w:rPr>
        <w:t xml:space="preserve">the </w:t>
      </w:r>
      <w:r w:rsidR="00E1736A">
        <w:rPr>
          <w:rFonts w:ascii="Times New Roman" w:hAnsi="Times New Roman"/>
          <w:sz w:val="24"/>
          <w:szCs w:val="24"/>
        </w:rPr>
        <w:t>options (including the status quo)</w:t>
      </w:r>
      <w:r w:rsidR="00D90C27">
        <w:rPr>
          <w:rFonts w:ascii="Times New Roman" w:hAnsi="Times New Roman"/>
          <w:sz w:val="24"/>
          <w:szCs w:val="24"/>
        </w:rPr>
        <w:t xml:space="preserve"> and includes comments on the impacts of the options on Inland Revenue and affected persons</w:t>
      </w:r>
      <w:r w:rsidR="00E1736A">
        <w:rPr>
          <w:rFonts w:ascii="Times New Roman" w:hAnsi="Times New Roman"/>
          <w:sz w:val="24"/>
          <w:szCs w:val="24"/>
        </w:rPr>
        <w:t>.</w:t>
      </w:r>
    </w:p>
    <w:p w:rsidR="00AD50FA" w:rsidRPr="00AD50FA" w:rsidRDefault="00AD50FA" w:rsidP="003F40F7">
      <w:pPr>
        <w:spacing w:after="0" w:line="240" w:lineRule="auto"/>
        <w:jc w:val="both"/>
        <w:rPr>
          <w:rFonts w:ascii="Times New Roman" w:hAnsi="Times New Roman"/>
          <w:sz w:val="24"/>
          <w:szCs w:val="24"/>
          <w:lang w:val="en-NZ"/>
        </w:rPr>
        <w:sectPr w:rsidR="00AD50FA" w:rsidRPr="00AD50FA" w:rsidSect="00AD50FA">
          <w:headerReference w:type="first" r:id="rId9"/>
          <w:footerReference w:type="first" r:id="rId10"/>
          <w:pgSz w:w="11906" w:h="16838" w:code="9"/>
          <w:pgMar w:top="1021" w:right="1588" w:bottom="1135" w:left="1418" w:header="720" w:footer="720" w:gutter="0"/>
          <w:cols w:space="720"/>
          <w:titlePg/>
          <w:docGrid w:linePitch="299"/>
        </w:sectPr>
      </w:pPr>
    </w:p>
    <w:p w:rsidR="00AD50FA" w:rsidRPr="00AD50FA" w:rsidRDefault="00AD50FA" w:rsidP="003F40F7">
      <w:pPr>
        <w:spacing w:after="0" w:line="240" w:lineRule="auto"/>
        <w:jc w:val="both"/>
        <w:rPr>
          <w:rFonts w:ascii="Times New Roman" w:hAnsi="Times New Roman"/>
          <w:b/>
          <w:sz w:val="24"/>
          <w:szCs w:val="24"/>
          <w:lang w:val="en-NZ"/>
        </w:rPr>
      </w:pPr>
      <w:r w:rsidRPr="00AD50FA">
        <w:rPr>
          <w:rFonts w:ascii="Times New Roman" w:hAnsi="Times New Roman"/>
          <w:b/>
          <w:sz w:val="24"/>
          <w:szCs w:val="24"/>
          <w:lang w:val="en-NZ"/>
        </w:rPr>
        <w:lastRenderedPageBreak/>
        <w:t xml:space="preserve">Table:  </w:t>
      </w:r>
      <w:r w:rsidR="00EB7619">
        <w:rPr>
          <w:rFonts w:ascii="Times New Roman" w:hAnsi="Times New Roman"/>
          <w:b/>
          <w:sz w:val="24"/>
          <w:szCs w:val="24"/>
          <w:lang w:val="en-NZ"/>
        </w:rPr>
        <w:t>A</w:t>
      </w:r>
      <w:r w:rsidRPr="00AD50FA">
        <w:rPr>
          <w:rFonts w:ascii="Times New Roman" w:hAnsi="Times New Roman"/>
          <w:b/>
          <w:sz w:val="24"/>
          <w:szCs w:val="24"/>
          <w:lang w:val="en-NZ"/>
        </w:rPr>
        <w:t>nalysis</w:t>
      </w:r>
    </w:p>
    <w:tbl>
      <w:tblPr>
        <w:tblStyle w:val="TableGrid"/>
        <w:tblW w:w="0" w:type="auto"/>
        <w:tblLook w:val="04A0" w:firstRow="1" w:lastRow="0" w:firstColumn="1" w:lastColumn="0" w:noHBand="0" w:noVBand="1"/>
      </w:tblPr>
      <w:tblGrid>
        <w:gridCol w:w="1905"/>
        <w:gridCol w:w="2031"/>
        <w:gridCol w:w="2551"/>
        <w:gridCol w:w="2268"/>
        <w:gridCol w:w="2410"/>
        <w:gridCol w:w="1928"/>
        <w:gridCol w:w="1695"/>
      </w:tblGrid>
      <w:tr w:rsidR="005D693A" w:rsidRPr="00AD50FA" w:rsidTr="002727AE">
        <w:tc>
          <w:tcPr>
            <w:tcW w:w="1905" w:type="dxa"/>
            <w:vMerge w:val="restart"/>
            <w:vAlign w:val="center"/>
          </w:tcPr>
          <w:p w:rsidR="00AD50FA" w:rsidRPr="00AD50FA" w:rsidRDefault="00AD50FA" w:rsidP="003F40F7">
            <w:pPr>
              <w:spacing w:after="0" w:line="240" w:lineRule="auto"/>
              <w:jc w:val="center"/>
              <w:rPr>
                <w:rFonts w:ascii="Times New Roman" w:hAnsi="Times New Roman"/>
                <w:b/>
                <w:i/>
                <w:sz w:val="20"/>
              </w:rPr>
            </w:pPr>
            <w:r w:rsidRPr="00AD50FA">
              <w:rPr>
                <w:rFonts w:ascii="Times New Roman" w:hAnsi="Times New Roman"/>
                <w:b/>
                <w:i/>
                <w:sz w:val="20"/>
              </w:rPr>
              <w:t>Option</w:t>
            </w:r>
          </w:p>
        </w:tc>
        <w:tc>
          <w:tcPr>
            <w:tcW w:w="2031" w:type="dxa"/>
            <w:vMerge w:val="restart"/>
            <w:vAlign w:val="center"/>
          </w:tcPr>
          <w:p w:rsidR="00AD50FA" w:rsidRPr="00AD50FA" w:rsidRDefault="00EB7619" w:rsidP="00BF1502">
            <w:pPr>
              <w:spacing w:after="0" w:line="240" w:lineRule="auto"/>
              <w:jc w:val="center"/>
              <w:rPr>
                <w:rFonts w:ascii="Times New Roman" w:hAnsi="Times New Roman"/>
                <w:b/>
                <w:i/>
                <w:sz w:val="20"/>
              </w:rPr>
            </w:pPr>
            <w:r>
              <w:rPr>
                <w:rFonts w:ascii="Times New Roman" w:hAnsi="Times New Roman"/>
                <w:b/>
                <w:i/>
                <w:sz w:val="20"/>
              </w:rPr>
              <w:t>Meets objective</w:t>
            </w:r>
            <w:r w:rsidR="00AD50FA" w:rsidRPr="00AD50FA">
              <w:rPr>
                <w:rFonts w:ascii="Times New Roman" w:hAnsi="Times New Roman"/>
                <w:b/>
                <w:i/>
                <w:sz w:val="20"/>
              </w:rPr>
              <w:t>?</w:t>
            </w:r>
          </w:p>
        </w:tc>
        <w:tc>
          <w:tcPr>
            <w:tcW w:w="9157" w:type="dxa"/>
            <w:gridSpan w:val="4"/>
          </w:tcPr>
          <w:p w:rsidR="004430D9" w:rsidRPr="00AD50FA" w:rsidRDefault="00AD50FA" w:rsidP="003F40F7">
            <w:pPr>
              <w:spacing w:after="0" w:line="240" w:lineRule="auto"/>
              <w:jc w:val="center"/>
              <w:rPr>
                <w:rFonts w:ascii="Times New Roman" w:hAnsi="Times New Roman"/>
                <w:b/>
                <w:i/>
                <w:sz w:val="20"/>
              </w:rPr>
            </w:pPr>
            <w:r w:rsidRPr="00AD50FA">
              <w:rPr>
                <w:rFonts w:ascii="Times New Roman" w:hAnsi="Times New Roman"/>
                <w:b/>
                <w:i/>
                <w:sz w:val="20"/>
              </w:rPr>
              <w:t>Impacts</w:t>
            </w:r>
          </w:p>
        </w:tc>
        <w:tc>
          <w:tcPr>
            <w:tcW w:w="1695" w:type="dxa"/>
            <w:vMerge w:val="restart"/>
            <w:vAlign w:val="center"/>
          </w:tcPr>
          <w:p w:rsidR="00AD50FA" w:rsidRPr="00AD50FA" w:rsidRDefault="00AD50FA" w:rsidP="003F40F7">
            <w:pPr>
              <w:spacing w:after="0" w:line="240" w:lineRule="auto"/>
              <w:jc w:val="center"/>
              <w:rPr>
                <w:rFonts w:ascii="Times New Roman" w:hAnsi="Times New Roman"/>
                <w:b/>
                <w:i/>
                <w:sz w:val="20"/>
              </w:rPr>
            </w:pPr>
            <w:r w:rsidRPr="00AD50FA">
              <w:rPr>
                <w:rFonts w:ascii="Times New Roman" w:hAnsi="Times New Roman"/>
                <w:b/>
                <w:i/>
                <w:sz w:val="20"/>
              </w:rPr>
              <w:t>Net impact</w:t>
            </w:r>
          </w:p>
        </w:tc>
      </w:tr>
      <w:tr w:rsidR="005D693A" w:rsidRPr="00AD50FA" w:rsidTr="002727AE">
        <w:trPr>
          <w:trHeight w:val="669"/>
        </w:trPr>
        <w:tc>
          <w:tcPr>
            <w:tcW w:w="1905" w:type="dxa"/>
            <w:vMerge/>
          </w:tcPr>
          <w:p w:rsidR="00AD50FA" w:rsidRPr="00AD50FA" w:rsidRDefault="00AD50FA" w:rsidP="003F40F7">
            <w:pPr>
              <w:spacing w:after="0" w:line="240" w:lineRule="auto"/>
              <w:jc w:val="center"/>
              <w:rPr>
                <w:rFonts w:ascii="Times New Roman" w:hAnsi="Times New Roman"/>
                <w:b/>
                <w:sz w:val="20"/>
              </w:rPr>
            </w:pPr>
          </w:p>
        </w:tc>
        <w:tc>
          <w:tcPr>
            <w:tcW w:w="2031" w:type="dxa"/>
            <w:vMerge/>
          </w:tcPr>
          <w:p w:rsidR="00AD50FA" w:rsidRPr="00AD50FA" w:rsidRDefault="00AD50FA" w:rsidP="003F40F7">
            <w:pPr>
              <w:spacing w:after="0" w:line="240" w:lineRule="auto"/>
              <w:jc w:val="center"/>
              <w:rPr>
                <w:rFonts w:ascii="Times New Roman" w:hAnsi="Times New Roman"/>
                <w:sz w:val="20"/>
              </w:rPr>
            </w:pPr>
          </w:p>
        </w:tc>
        <w:tc>
          <w:tcPr>
            <w:tcW w:w="2551" w:type="dxa"/>
          </w:tcPr>
          <w:p w:rsidR="00AD50FA" w:rsidRPr="00AD50FA" w:rsidRDefault="00E1736A" w:rsidP="003F40F7">
            <w:pPr>
              <w:spacing w:after="0" w:line="240" w:lineRule="auto"/>
              <w:jc w:val="center"/>
              <w:rPr>
                <w:rFonts w:ascii="Times New Roman" w:hAnsi="Times New Roman"/>
                <w:b/>
                <w:i/>
                <w:sz w:val="20"/>
              </w:rPr>
            </w:pPr>
            <w:r>
              <w:rPr>
                <w:rFonts w:ascii="Times New Roman" w:hAnsi="Times New Roman"/>
                <w:b/>
                <w:i/>
                <w:sz w:val="20"/>
              </w:rPr>
              <w:t>E</w:t>
            </w:r>
            <w:r w:rsidR="004430D9">
              <w:rPr>
                <w:rFonts w:ascii="Times New Roman" w:hAnsi="Times New Roman"/>
                <w:b/>
                <w:i/>
                <w:sz w:val="20"/>
              </w:rPr>
              <w:t xml:space="preserve">conomic </w:t>
            </w:r>
            <w:r>
              <w:rPr>
                <w:rFonts w:ascii="Times New Roman" w:hAnsi="Times New Roman"/>
                <w:b/>
                <w:i/>
                <w:sz w:val="20"/>
              </w:rPr>
              <w:t xml:space="preserve">/ revenue </w:t>
            </w:r>
            <w:r w:rsidR="004430D9">
              <w:rPr>
                <w:rFonts w:ascii="Times New Roman" w:hAnsi="Times New Roman"/>
                <w:b/>
                <w:i/>
                <w:sz w:val="20"/>
              </w:rPr>
              <w:t>impact</w:t>
            </w:r>
          </w:p>
        </w:tc>
        <w:tc>
          <w:tcPr>
            <w:tcW w:w="2268" w:type="dxa"/>
            <w:vAlign w:val="center"/>
          </w:tcPr>
          <w:p w:rsidR="00AD50FA" w:rsidRPr="00AD50FA" w:rsidRDefault="004430D9" w:rsidP="003F40F7">
            <w:pPr>
              <w:spacing w:after="0" w:line="240" w:lineRule="auto"/>
              <w:jc w:val="center"/>
              <w:rPr>
                <w:rFonts w:ascii="Times New Roman" w:hAnsi="Times New Roman"/>
                <w:b/>
                <w:i/>
                <w:sz w:val="20"/>
              </w:rPr>
            </w:pPr>
            <w:r>
              <w:rPr>
                <w:rFonts w:ascii="Times New Roman" w:hAnsi="Times New Roman"/>
                <w:b/>
                <w:i/>
                <w:sz w:val="20"/>
              </w:rPr>
              <w:t>Administrative impact</w:t>
            </w:r>
          </w:p>
        </w:tc>
        <w:tc>
          <w:tcPr>
            <w:tcW w:w="2410" w:type="dxa"/>
            <w:vAlign w:val="center"/>
          </w:tcPr>
          <w:p w:rsidR="00AD50FA" w:rsidRPr="00AD50FA" w:rsidRDefault="004430D9" w:rsidP="003F40F7">
            <w:pPr>
              <w:spacing w:after="0" w:line="240" w:lineRule="auto"/>
              <w:jc w:val="center"/>
              <w:rPr>
                <w:rFonts w:ascii="Times New Roman" w:hAnsi="Times New Roman"/>
                <w:b/>
                <w:i/>
                <w:sz w:val="20"/>
              </w:rPr>
            </w:pPr>
            <w:r>
              <w:rPr>
                <w:rFonts w:ascii="Times New Roman" w:hAnsi="Times New Roman"/>
                <w:b/>
                <w:i/>
                <w:sz w:val="20"/>
              </w:rPr>
              <w:t>Compliance impact</w:t>
            </w:r>
          </w:p>
        </w:tc>
        <w:tc>
          <w:tcPr>
            <w:tcW w:w="1928" w:type="dxa"/>
            <w:tcBorders>
              <w:bottom w:val="single" w:sz="4" w:space="0" w:color="auto"/>
            </w:tcBorders>
            <w:vAlign w:val="center"/>
          </w:tcPr>
          <w:p w:rsidR="00AD50FA" w:rsidRPr="00AD50FA" w:rsidRDefault="00E1736A" w:rsidP="003F40F7">
            <w:pPr>
              <w:spacing w:after="0" w:line="240" w:lineRule="auto"/>
              <w:jc w:val="center"/>
              <w:rPr>
                <w:rFonts w:ascii="Times New Roman" w:hAnsi="Times New Roman"/>
                <w:b/>
                <w:i/>
                <w:sz w:val="20"/>
              </w:rPr>
            </w:pPr>
            <w:r>
              <w:rPr>
                <w:rFonts w:ascii="Times New Roman" w:hAnsi="Times New Roman"/>
                <w:b/>
                <w:i/>
                <w:sz w:val="20"/>
              </w:rPr>
              <w:t>F</w:t>
            </w:r>
            <w:r w:rsidR="004430D9">
              <w:rPr>
                <w:rFonts w:ascii="Times New Roman" w:hAnsi="Times New Roman"/>
                <w:b/>
                <w:i/>
                <w:sz w:val="20"/>
              </w:rPr>
              <w:t>airness</w:t>
            </w:r>
          </w:p>
        </w:tc>
        <w:tc>
          <w:tcPr>
            <w:tcW w:w="1695" w:type="dxa"/>
            <w:vMerge/>
            <w:tcBorders>
              <w:bottom w:val="single" w:sz="4" w:space="0" w:color="auto"/>
            </w:tcBorders>
          </w:tcPr>
          <w:p w:rsidR="00AD50FA" w:rsidRPr="00AD50FA" w:rsidRDefault="00AD50FA" w:rsidP="003F40F7">
            <w:pPr>
              <w:spacing w:after="0" w:line="240" w:lineRule="auto"/>
              <w:jc w:val="center"/>
              <w:rPr>
                <w:rFonts w:ascii="Times New Roman" w:hAnsi="Times New Roman"/>
                <w:sz w:val="20"/>
              </w:rPr>
            </w:pPr>
          </w:p>
        </w:tc>
      </w:tr>
      <w:tr w:rsidR="005D693A" w:rsidRPr="00AD50FA" w:rsidTr="002727AE">
        <w:trPr>
          <w:trHeight w:val="1490"/>
        </w:trPr>
        <w:tc>
          <w:tcPr>
            <w:tcW w:w="1905" w:type="dxa"/>
          </w:tcPr>
          <w:p w:rsidR="004430D9" w:rsidRPr="00AD50FA" w:rsidRDefault="004430D9" w:rsidP="007B5948">
            <w:pPr>
              <w:spacing w:after="0" w:line="240" w:lineRule="auto"/>
              <w:jc w:val="left"/>
              <w:rPr>
                <w:rFonts w:ascii="Times New Roman" w:hAnsi="Times New Roman"/>
                <w:sz w:val="20"/>
                <w:lang w:val="en-NZ"/>
              </w:rPr>
            </w:pPr>
            <w:r w:rsidRPr="00AD50FA">
              <w:rPr>
                <w:rFonts w:ascii="Times New Roman" w:hAnsi="Times New Roman"/>
                <w:sz w:val="20"/>
              </w:rPr>
              <w:t>1</w:t>
            </w:r>
            <w:r>
              <w:rPr>
                <w:rFonts w:ascii="Times New Roman" w:hAnsi="Times New Roman"/>
                <w:sz w:val="20"/>
              </w:rPr>
              <w:t xml:space="preserve"> - </w:t>
            </w:r>
            <w:r w:rsidR="00EB7619" w:rsidRPr="00EB7619">
              <w:rPr>
                <w:rFonts w:ascii="Times New Roman" w:hAnsi="Times New Roman"/>
                <w:sz w:val="20"/>
              </w:rPr>
              <w:t xml:space="preserve">Not requiring evidence of a New Zealand bank account as a prerequisite to </w:t>
            </w:r>
            <w:r w:rsidR="007934F0">
              <w:rPr>
                <w:rFonts w:ascii="Times New Roman" w:hAnsi="Times New Roman"/>
                <w:sz w:val="20"/>
              </w:rPr>
              <w:t>a</w:t>
            </w:r>
            <w:r w:rsidR="007B5948">
              <w:rPr>
                <w:rFonts w:ascii="Times New Roman" w:hAnsi="Times New Roman"/>
                <w:sz w:val="20"/>
              </w:rPr>
              <w:t>n offshore person</w:t>
            </w:r>
            <w:r w:rsidR="007934F0">
              <w:rPr>
                <w:rFonts w:ascii="Times New Roman" w:hAnsi="Times New Roman"/>
                <w:sz w:val="20"/>
              </w:rPr>
              <w:t xml:space="preserve"> </w:t>
            </w:r>
            <w:r w:rsidR="00EB7619" w:rsidRPr="00EB7619">
              <w:rPr>
                <w:rFonts w:ascii="Times New Roman" w:hAnsi="Times New Roman"/>
                <w:sz w:val="20"/>
              </w:rPr>
              <w:t xml:space="preserve">obtaining an IRD number </w:t>
            </w:r>
            <w:r w:rsidR="00E1736A">
              <w:rPr>
                <w:rFonts w:ascii="Times New Roman" w:hAnsi="Times New Roman"/>
                <w:sz w:val="20"/>
              </w:rPr>
              <w:t>(status quo)</w:t>
            </w:r>
          </w:p>
        </w:tc>
        <w:tc>
          <w:tcPr>
            <w:tcW w:w="2031" w:type="dxa"/>
          </w:tcPr>
          <w:p w:rsidR="00424D0B" w:rsidRPr="00B2740D" w:rsidRDefault="00EB7619" w:rsidP="002727AE">
            <w:pPr>
              <w:spacing w:after="0" w:line="240" w:lineRule="auto"/>
              <w:jc w:val="left"/>
              <w:rPr>
                <w:rFonts w:ascii="Times New Roman" w:hAnsi="Times New Roman"/>
                <w:sz w:val="20"/>
                <w:lang w:val="en-NZ"/>
              </w:rPr>
            </w:pPr>
            <w:r>
              <w:rPr>
                <w:rFonts w:ascii="Times New Roman" w:hAnsi="Times New Roman"/>
                <w:sz w:val="20"/>
                <w:lang w:val="en-NZ"/>
              </w:rPr>
              <w:t xml:space="preserve">Meets </w:t>
            </w:r>
            <w:r w:rsidR="00BF1502">
              <w:rPr>
                <w:rFonts w:ascii="Times New Roman" w:hAnsi="Times New Roman"/>
                <w:sz w:val="20"/>
                <w:lang w:val="en-NZ"/>
              </w:rPr>
              <w:t>objective</w:t>
            </w:r>
            <w:r w:rsidR="00BE5C03">
              <w:rPr>
                <w:rFonts w:ascii="Times New Roman" w:hAnsi="Times New Roman"/>
                <w:sz w:val="20"/>
                <w:lang w:val="en-NZ"/>
              </w:rPr>
              <w:t xml:space="preserve"> in part.</w:t>
            </w:r>
            <w:r w:rsidR="00BF1502">
              <w:rPr>
                <w:rFonts w:ascii="Times New Roman" w:hAnsi="Times New Roman"/>
                <w:sz w:val="20"/>
                <w:lang w:val="en-NZ"/>
              </w:rPr>
              <w:t xml:space="preserve"> </w:t>
            </w:r>
            <w:r w:rsidR="00BE5C03">
              <w:rPr>
                <w:rFonts w:ascii="Times New Roman" w:hAnsi="Times New Roman"/>
                <w:sz w:val="20"/>
                <w:lang w:val="en-NZ"/>
              </w:rPr>
              <w:t xml:space="preserve"> </w:t>
            </w:r>
            <w:r w:rsidR="00D90C27">
              <w:rPr>
                <w:rFonts w:ascii="Times New Roman" w:hAnsi="Times New Roman"/>
                <w:sz w:val="20"/>
                <w:lang w:val="en-NZ"/>
              </w:rPr>
              <w:t>Inland Revenue</w:t>
            </w:r>
            <w:r w:rsidR="009C77B9">
              <w:rPr>
                <w:rFonts w:ascii="Times New Roman" w:hAnsi="Times New Roman"/>
                <w:sz w:val="20"/>
                <w:lang w:val="en-NZ"/>
              </w:rPr>
              <w:t xml:space="preserve"> has powers to enforce tax obligations and some comfort as to the iden</w:t>
            </w:r>
            <w:r w:rsidR="002727AE">
              <w:rPr>
                <w:rFonts w:ascii="Times New Roman" w:hAnsi="Times New Roman"/>
                <w:sz w:val="20"/>
                <w:lang w:val="en-NZ"/>
              </w:rPr>
              <w:t xml:space="preserve">tity of IRD number applicants </w:t>
            </w:r>
            <w:r w:rsidR="00B2740D">
              <w:rPr>
                <w:rFonts w:ascii="Times New Roman" w:hAnsi="Times New Roman"/>
                <w:sz w:val="20"/>
                <w:lang w:val="en-NZ"/>
              </w:rPr>
              <w:t>obtained by Inland Revenue</w:t>
            </w:r>
            <w:r w:rsidR="00424EB8">
              <w:rPr>
                <w:rFonts w:ascii="Times New Roman" w:hAnsi="Times New Roman"/>
                <w:sz w:val="20"/>
                <w:lang w:val="en-NZ"/>
              </w:rPr>
              <w:t>, but there are recognised deficiencies in respect of non-individual applicants</w:t>
            </w:r>
            <w:r w:rsidR="00B2740D">
              <w:rPr>
                <w:rFonts w:ascii="Times New Roman" w:hAnsi="Times New Roman"/>
                <w:sz w:val="20"/>
                <w:lang w:val="en-NZ"/>
              </w:rPr>
              <w:t>.</w:t>
            </w:r>
          </w:p>
        </w:tc>
        <w:tc>
          <w:tcPr>
            <w:tcW w:w="2551" w:type="dxa"/>
          </w:tcPr>
          <w:p w:rsidR="004430D9" w:rsidRPr="00AD50FA" w:rsidRDefault="00E1736A" w:rsidP="00B2740D">
            <w:pPr>
              <w:spacing w:after="0" w:line="240" w:lineRule="auto"/>
              <w:jc w:val="left"/>
              <w:rPr>
                <w:rFonts w:ascii="Times New Roman" w:hAnsi="Times New Roman"/>
                <w:sz w:val="20"/>
              </w:rPr>
            </w:pPr>
            <w:r>
              <w:rPr>
                <w:rFonts w:ascii="Times New Roman" w:hAnsi="Times New Roman"/>
                <w:sz w:val="20"/>
              </w:rPr>
              <w:t>None</w:t>
            </w:r>
            <w:r w:rsidR="00424D0B">
              <w:rPr>
                <w:rFonts w:ascii="Times New Roman" w:hAnsi="Times New Roman"/>
                <w:sz w:val="20"/>
              </w:rPr>
              <w:t xml:space="preserve">, other than those identified as part of the broader suite of property tax measures </w:t>
            </w:r>
            <w:r w:rsidR="00B2740D">
              <w:rPr>
                <w:rFonts w:ascii="Times New Roman" w:hAnsi="Times New Roman"/>
                <w:sz w:val="20"/>
              </w:rPr>
              <w:t xml:space="preserve">announced </w:t>
            </w:r>
            <w:r w:rsidR="00424D0B">
              <w:rPr>
                <w:rFonts w:ascii="Times New Roman" w:hAnsi="Times New Roman"/>
                <w:sz w:val="20"/>
              </w:rPr>
              <w:t>as part of Budget 2015</w:t>
            </w:r>
            <w:r w:rsidR="003561E4">
              <w:rPr>
                <w:rFonts w:ascii="Times New Roman" w:hAnsi="Times New Roman"/>
                <w:sz w:val="20"/>
              </w:rPr>
              <w:t>.</w:t>
            </w:r>
          </w:p>
        </w:tc>
        <w:tc>
          <w:tcPr>
            <w:tcW w:w="2268" w:type="dxa"/>
          </w:tcPr>
          <w:p w:rsidR="004430D9" w:rsidRDefault="006A282F" w:rsidP="003F40F7">
            <w:pPr>
              <w:spacing w:after="0" w:line="240" w:lineRule="auto"/>
              <w:jc w:val="left"/>
              <w:rPr>
                <w:rFonts w:ascii="Times New Roman" w:hAnsi="Times New Roman"/>
                <w:sz w:val="20"/>
                <w:lang w:val="en-NZ"/>
              </w:rPr>
            </w:pPr>
            <w:r>
              <w:rPr>
                <w:rFonts w:ascii="Times New Roman" w:hAnsi="Times New Roman"/>
                <w:sz w:val="20"/>
                <w:lang w:val="en-NZ"/>
              </w:rPr>
              <w:t>No change.  Inland Revenue continues to use the current application forms and processes.</w:t>
            </w:r>
          </w:p>
          <w:p w:rsidR="006A282F" w:rsidRPr="00AD50FA" w:rsidRDefault="006A282F" w:rsidP="003F40F7">
            <w:pPr>
              <w:spacing w:after="0" w:line="240" w:lineRule="auto"/>
              <w:jc w:val="left"/>
              <w:rPr>
                <w:rFonts w:ascii="Times New Roman" w:hAnsi="Times New Roman"/>
                <w:sz w:val="20"/>
              </w:rPr>
            </w:pPr>
          </w:p>
        </w:tc>
        <w:tc>
          <w:tcPr>
            <w:tcW w:w="2410" w:type="dxa"/>
            <w:tcBorders>
              <w:right w:val="single" w:sz="4" w:space="0" w:color="auto"/>
            </w:tcBorders>
          </w:tcPr>
          <w:p w:rsidR="004430D9" w:rsidRPr="00AD50FA" w:rsidRDefault="006A282F" w:rsidP="006A282F">
            <w:pPr>
              <w:spacing w:after="0" w:line="240" w:lineRule="auto"/>
              <w:jc w:val="left"/>
              <w:rPr>
                <w:rFonts w:ascii="Times New Roman" w:hAnsi="Times New Roman"/>
                <w:sz w:val="20"/>
              </w:rPr>
            </w:pPr>
            <w:r>
              <w:rPr>
                <w:rFonts w:ascii="Times New Roman" w:hAnsi="Times New Roman"/>
                <w:sz w:val="20"/>
                <w:lang w:val="en-NZ"/>
              </w:rPr>
              <w:t xml:space="preserve">No change.  Applicants must provide documentation set out in the relevant IRD number application form.  </w:t>
            </w:r>
          </w:p>
        </w:tc>
        <w:tc>
          <w:tcPr>
            <w:tcW w:w="1928" w:type="dxa"/>
            <w:tcBorders>
              <w:top w:val="single" w:sz="4" w:space="0" w:color="auto"/>
              <w:left w:val="single" w:sz="4" w:space="0" w:color="auto"/>
              <w:right w:val="single" w:sz="4" w:space="0" w:color="auto"/>
            </w:tcBorders>
          </w:tcPr>
          <w:p w:rsidR="004430D9" w:rsidRDefault="006A282F" w:rsidP="007B5948">
            <w:pPr>
              <w:spacing w:after="0" w:line="240" w:lineRule="auto"/>
              <w:jc w:val="left"/>
              <w:rPr>
                <w:rFonts w:ascii="Verdana" w:hAnsi="Verdana"/>
                <w:sz w:val="20"/>
              </w:rPr>
            </w:pPr>
            <w:r>
              <w:rPr>
                <w:rFonts w:ascii="Times New Roman" w:hAnsi="Times New Roman"/>
                <w:sz w:val="20"/>
                <w:lang w:val="en-NZ"/>
              </w:rPr>
              <w:t xml:space="preserve">Applicants are required to provide relevant documentation, some of which is tailored for </w:t>
            </w:r>
            <w:r w:rsidR="007B5948">
              <w:rPr>
                <w:rFonts w:ascii="Times New Roman" w:hAnsi="Times New Roman"/>
                <w:sz w:val="20"/>
                <w:lang w:val="en-NZ"/>
              </w:rPr>
              <w:t>offshore</w:t>
            </w:r>
            <w:r>
              <w:rPr>
                <w:rFonts w:ascii="Times New Roman" w:hAnsi="Times New Roman"/>
                <w:sz w:val="20"/>
                <w:lang w:val="en-NZ"/>
              </w:rPr>
              <w:t xml:space="preserve"> applicants</w:t>
            </w:r>
            <w:r w:rsidR="00642C70">
              <w:rPr>
                <w:rFonts w:ascii="Times New Roman" w:hAnsi="Times New Roman"/>
                <w:sz w:val="20"/>
                <w:lang w:val="en-NZ"/>
              </w:rPr>
              <w:t xml:space="preserve"> (such as foreign passports)</w:t>
            </w:r>
            <w:r>
              <w:rPr>
                <w:rFonts w:ascii="Times New Roman" w:hAnsi="Times New Roman"/>
                <w:sz w:val="20"/>
                <w:lang w:val="en-NZ"/>
              </w:rPr>
              <w:t>.</w:t>
            </w:r>
          </w:p>
        </w:tc>
        <w:tc>
          <w:tcPr>
            <w:tcW w:w="1695" w:type="dxa"/>
            <w:tcBorders>
              <w:top w:val="single" w:sz="4" w:space="0" w:color="auto"/>
              <w:left w:val="single" w:sz="4" w:space="0" w:color="auto"/>
              <w:right w:val="single" w:sz="4" w:space="0" w:color="auto"/>
            </w:tcBorders>
          </w:tcPr>
          <w:p w:rsidR="00B2740D" w:rsidRDefault="00D90C27" w:rsidP="00B2740D">
            <w:pPr>
              <w:spacing w:after="0" w:line="240" w:lineRule="auto"/>
              <w:jc w:val="left"/>
              <w:rPr>
                <w:rFonts w:ascii="Times New Roman" w:hAnsi="Times New Roman"/>
                <w:sz w:val="20"/>
              </w:rPr>
            </w:pPr>
            <w:r>
              <w:rPr>
                <w:rFonts w:ascii="Times New Roman" w:hAnsi="Times New Roman"/>
                <w:sz w:val="20"/>
              </w:rPr>
              <w:t xml:space="preserve">Addresses the problem definition in part because Inland </w:t>
            </w:r>
            <w:r w:rsidR="009C77B9">
              <w:rPr>
                <w:rFonts w:ascii="Times New Roman" w:hAnsi="Times New Roman"/>
                <w:sz w:val="20"/>
              </w:rPr>
              <w:t>R</w:t>
            </w:r>
            <w:r>
              <w:rPr>
                <w:rFonts w:ascii="Times New Roman" w:hAnsi="Times New Roman"/>
                <w:sz w:val="20"/>
              </w:rPr>
              <w:t xml:space="preserve">evenue already collects information on IRD number applicants.  </w:t>
            </w:r>
            <w:r w:rsidR="00623DC6">
              <w:rPr>
                <w:rFonts w:ascii="Times New Roman" w:hAnsi="Times New Roman"/>
                <w:sz w:val="20"/>
              </w:rPr>
              <w:t xml:space="preserve">Meets the objective in </w:t>
            </w:r>
            <w:r w:rsidR="00B2740D">
              <w:rPr>
                <w:rFonts w:ascii="Times New Roman" w:hAnsi="Times New Roman"/>
                <w:sz w:val="20"/>
              </w:rPr>
              <w:t>part. For individuals</w:t>
            </w:r>
            <w:r w:rsidR="00623DC6">
              <w:rPr>
                <w:rFonts w:ascii="Times New Roman" w:hAnsi="Times New Roman"/>
                <w:sz w:val="20"/>
              </w:rPr>
              <w:t xml:space="preserve"> it </w:t>
            </w:r>
            <w:r w:rsidR="00166AD0">
              <w:rPr>
                <w:rFonts w:ascii="Times New Roman" w:hAnsi="Times New Roman"/>
                <w:sz w:val="20"/>
              </w:rPr>
              <w:t xml:space="preserve">is </w:t>
            </w:r>
            <w:r w:rsidR="00623DC6">
              <w:rPr>
                <w:rFonts w:ascii="Times New Roman" w:hAnsi="Times New Roman"/>
                <w:sz w:val="20"/>
              </w:rPr>
              <w:t xml:space="preserve">considered that the Commissioner already obtains adequate </w:t>
            </w:r>
            <w:r w:rsidR="0023016D">
              <w:rPr>
                <w:rFonts w:ascii="Times New Roman" w:hAnsi="Times New Roman"/>
                <w:sz w:val="20"/>
              </w:rPr>
              <w:t xml:space="preserve">verification </w:t>
            </w:r>
            <w:r w:rsidR="00623DC6">
              <w:rPr>
                <w:rFonts w:ascii="Times New Roman" w:hAnsi="Times New Roman"/>
                <w:sz w:val="20"/>
              </w:rPr>
              <w:t>of identity as part of the current IRD number application process</w:t>
            </w:r>
            <w:r w:rsidR="001908C3">
              <w:rPr>
                <w:rFonts w:ascii="Times New Roman" w:hAnsi="Times New Roman"/>
                <w:sz w:val="20"/>
              </w:rPr>
              <w:t xml:space="preserve">.  </w:t>
            </w:r>
          </w:p>
          <w:p w:rsidR="00B2740D" w:rsidRDefault="00B2740D" w:rsidP="00B2740D">
            <w:pPr>
              <w:spacing w:after="0" w:line="240" w:lineRule="auto"/>
              <w:jc w:val="left"/>
              <w:rPr>
                <w:rFonts w:ascii="Times New Roman" w:hAnsi="Times New Roman"/>
                <w:sz w:val="20"/>
              </w:rPr>
            </w:pPr>
          </w:p>
          <w:p w:rsidR="004430D9" w:rsidRPr="00AD50FA" w:rsidRDefault="004430D9" w:rsidP="009C77B9">
            <w:pPr>
              <w:spacing w:after="0" w:line="240" w:lineRule="auto"/>
              <w:jc w:val="left"/>
              <w:rPr>
                <w:rFonts w:ascii="Times New Roman" w:hAnsi="Times New Roman"/>
                <w:sz w:val="20"/>
              </w:rPr>
            </w:pPr>
          </w:p>
        </w:tc>
      </w:tr>
    </w:tbl>
    <w:p w:rsidR="00433EE1" w:rsidRDefault="00433EE1">
      <w:r>
        <w:br w:type="page"/>
      </w:r>
    </w:p>
    <w:tbl>
      <w:tblPr>
        <w:tblStyle w:val="TableGrid"/>
        <w:tblW w:w="15276" w:type="dxa"/>
        <w:tblLook w:val="04A0" w:firstRow="1" w:lastRow="0" w:firstColumn="1" w:lastColumn="0" w:noHBand="0" w:noVBand="1"/>
      </w:tblPr>
      <w:tblGrid>
        <w:gridCol w:w="1526"/>
        <w:gridCol w:w="2410"/>
        <w:gridCol w:w="2551"/>
        <w:gridCol w:w="2268"/>
        <w:gridCol w:w="2410"/>
        <w:gridCol w:w="2484"/>
        <w:gridCol w:w="1627"/>
      </w:tblGrid>
      <w:tr w:rsidR="00166AD0" w:rsidRPr="00AD50FA" w:rsidTr="002727AE">
        <w:tc>
          <w:tcPr>
            <w:tcW w:w="1526" w:type="dxa"/>
            <w:vMerge w:val="restart"/>
            <w:vAlign w:val="center"/>
          </w:tcPr>
          <w:p w:rsidR="00166AD0" w:rsidRPr="00AD50FA" w:rsidRDefault="00166AD0" w:rsidP="00166AD0">
            <w:pPr>
              <w:spacing w:after="0" w:line="240" w:lineRule="auto"/>
              <w:jc w:val="center"/>
              <w:rPr>
                <w:rFonts w:ascii="Times New Roman" w:hAnsi="Times New Roman"/>
                <w:b/>
                <w:i/>
                <w:sz w:val="20"/>
              </w:rPr>
            </w:pPr>
            <w:r w:rsidRPr="00AD50FA">
              <w:rPr>
                <w:rFonts w:ascii="Times New Roman" w:hAnsi="Times New Roman"/>
                <w:b/>
                <w:i/>
                <w:sz w:val="20"/>
              </w:rPr>
              <w:lastRenderedPageBreak/>
              <w:t>Option</w:t>
            </w:r>
          </w:p>
        </w:tc>
        <w:tc>
          <w:tcPr>
            <w:tcW w:w="2410" w:type="dxa"/>
            <w:vMerge w:val="restart"/>
            <w:vAlign w:val="center"/>
          </w:tcPr>
          <w:p w:rsidR="00166AD0" w:rsidRPr="00AD50FA" w:rsidRDefault="00166AD0" w:rsidP="00166AD0">
            <w:pPr>
              <w:spacing w:after="0" w:line="240" w:lineRule="auto"/>
              <w:jc w:val="center"/>
              <w:rPr>
                <w:rFonts w:ascii="Times New Roman" w:hAnsi="Times New Roman"/>
                <w:b/>
                <w:i/>
                <w:sz w:val="20"/>
              </w:rPr>
            </w:pPr>
            <w:r>
              <w:rPr>
                <w:rFonts w:ascii="Times New Roman" w:hAnsi="Times New Roman"/>
                <w:b/>
                <w:i/>
                <w:sz w:val="20"/>
              </w:rPr>
              <w:t>Meets objective</w:t>
            </w:r>
            <w:r w:rsidRPr="00AD50FA">
              <w:rPr>
                <w:rFonts w:ascii="Times New Roman" w:hAnsi="Times New Roman"/>
                <w:b/>
                <w:i/>
                <w:sz w:val="20"/>
              </w:rPr>
              <w:t>?</w:t>
            </w:r>
          </w:p>
        </w:tc>
        <w:tc>
          <w:tcPr>
            <w:tcW w:w="9713" w:type="dxa"/>
            <w:gridSpan w:val="4"/>
          </w:tcPr>
          <w:p w:rsidR="00166AD0" w:rsidRPr="00AD50FA" w:rsidRDefault="00166AD0" w:rsidP="00166AD0">
            <w:pPr>
              <w:spacing w:after="0" w:line="240" w:lineRule="auto"/>
              <w:jc w:val="center"/>
              <w:rPr>
                <w:rFonts w:ascii="Times New Roman" w:hAnsi="Times New Roman"/>
                <w:b/>
                <w:i/>
                <w:sz w:val="20"/>
              </w:rPr>
            </w:pPr>
            <w:r w:rsidRPr="00AD50FA">
              <w:rPr>
                <w:rFonts w:ascii="Times New Roman" w:hAnsi="Times New Roman"/>
                <w:b/>
                <w:i/>
                <w:sz w:val="20"/>
              </w:rPr>
              <w:t>Impacts</w:t>
            </w:r>
          </w:p>
        </w:tc>
        <w:tc>
          <w:tcPr>
            <w:tcW w:w="1627" w:type="dxa"/>
            <w:vMerge w:val="restart"/>
            <w:vAlign w:val="center"/>
          </w:tcPr>
          <w:p w:rsidR="00166AD0" w:rsidRPr="00AD50FA" w:rsidRDefault="00166AD0" w:rsidP="00166AD0">
            <w:pPr>
              <w:spacing w:after="0" w:line="240" w:lineRule="auto"/>
              <w:jc w:val="center"/>
              <w:rPr>
                <w:rFonts w:ascii="Times New Roman" w:hAnsi="Times New Roman"/>
                <w:b/>
                <w:i/>
                <w:sz w:val="20"/>
              </w:rPr>
            </w:pPr>
            <w:r w:rsidRPr="00AD50FA">
              <w:rPr>
                <w:rFonts w:ascii="Times New Roman" w:hAnsi="Times New Roman"/>
                <w:b/>
                <w:i/>
                <w:sz w:val="20"/>
              </w:rPr>
              <w:t>Net impact</w:t>
            </w:r>
          </w:p>
        </w:tc>
      </w:tr>
      <w:tr w:rsidR="009C77B9" w:rsidRPr="00AD50FA" w:rsidTr="002727AE">
        <w:trPr>
          <w:trHeight w:val="669"/>
        </w:trPr>
        <w:tc>
          <w:tcPr>
            <w:tcW w:w="1526" w:type="dxa"/>
            <w:vMerge/>
          </w:tcPr>
          <w:p w:rsidR="00166AD0" w:rsidRPr="00AD50FA" w:rsidRDefault="00166AD0" w:rsidP="00166AD0">
            <w:pPr>
              <w:spacing w:after="0" w:line="240" w:lineRule="auto"/>
              <w:jc w:val="center"/>
              <w:rPr>
                <w:rFonts w:ascii="Times New Roman" w:hAnsi="Times New Roman"/>
                <w:b/>
                <w:sz w:val="20"/>
              </w:rPr>
            </w:pPr>
          </w:p>
        </w:tc>
        <w:tc>
          <w:tcPr>
            <w:tcW w:w="2410" w:type="dxa"/>
            <w:vMerge/>
          </w:tcPr>
          <w:p w:rsidR="00166AD0" w:rsidRPr="00AD50FA" w:rsidRDefault="00166AD0" w:rsidP="00166AD0">
            <w:pPr>
              <w:spacing w:after="0" w:line="240" w:lineRule="auto"/>
              <w:jc w:val="center"/>
              <w:rPr>
                <w:rFonts w:ascii="Times New Roman" w:hAnsi="Times New Roman"/>
                <w:sz w:val="20"/>
              </w:rPr>
            </w:pPr>
          </w:p>
        </w:tc>
        <w:tc>
          <w:tcPr>
            <w:tcW w:w="2551" w:type="dxa"/>
          </w:tcPr>
          <w:p w:rsidR="00166AD0" w:rsidRPr="00AD50FA" w:rsidRDefault="00166AD0" w:rsidP="00166AD0">
            <w:pPr>
              <w:spacing w:after="0" w:line="240" w:lineRule="auto"/>
              <w:jc w:val="center"/>
              <w:rPr>
                <w:rFonts w:ascii="Times New Roman" w:hAnsi="Times New Roman"/>
                <w:b/>
                <w:i/>
                <w:sz w:val="20"/>
              </w:rPr>
            </w:pPr>
            <w:r>
              <w:rPr>
                <w:rFonts w:ascii="Times New Roman" w:hAnsi="Times New Roman"/>
                <w:b/>
                <w:i/>
                <w:sz w:val="20"/>
              </w:rPr>
              <w:t>Economic / revenue impact</w:t>
            </w:r>
          </w:p>
        </w:tc>
        <w:tc>
          <w:tcPr>
            <w:tcW w:w="2268" w:type="dxa"/>
            <w:vAlign w:val="center"/>
          </w:tcPr>
          <w:p w:rsidR="00166AD0" w:rsidRPr="00AD50FA" w:rsidRDefault="00166AD0" w:rsidP="00166AD0">
            <w:pPr>
              <w:spacing w:after="0" w:line="240" w:lineRule="auto"/>
              <w:jc w:val="center"/>
              <w:rPr>
                <w:rFonts w:ascii="Times New Roman" w:hAnsi="Times New Roman"/>
                <w:b/>
                <w:i/>
                <w:sz w:val="20"/>
              </w:rPr>
            </w:pPr>
            <w:r>
              <w:rPr>
                <w:rFonts w:ascii="Times New Roman" w:hAnsi="Times New Roman"/>
                <w:b/>
                <w:i/>
                <w:sz w:val="20"/>
              </w:rPr>
              <w:t>Administrative impact</w:t>
            </w:r>
          </w:p>
        </w:tc>
        <w:tc>
          <w:tcPr>
            <w:tcW w:w="2410" w:type="dxa"/>
            <w:vAlign w:val="center"/>
          </w:tcPr>
          <w:p w:rsidR="00166AD0" w:rsidRPr="00AD50FA" w:rsidRDefault="00166AD0" w:rsidP="00166AD0">
            <w:pPr>
              <w:spacing w:after="0" w:line="240" w:lineRule="auto"/>
              <w:jc w:val="center"/>
              <w:rPr>
                <w:rFonts w:ascii="Times New Roman" w:hAnsi="Times New Roman"/>
                <w:b/>
                <w:i/>
                <w:sz w:val="20"/>
              </w:rPr>
            </w:pPr>
            <w:r>
              <w:rPr>
                <w:rFonts w:ascii="Times New Roman" w:hAnsi="Times New Roman"/>
                <w:b/>
                <w:i/>
                <w:sz w:val="20"/>
              </w:rPr>
              <w:t>Compliance impact</w:t>
            </w:r>
          </w:p>
        </w:tc>
        <w:tc>
          <w:tcPr>
            <w:tcW w:w="2484" w:type="dxa"/>
            <w:tcBorders>
              <w:bottom w:val="single" w:sz="4" w:space="0" w:color="auto"/>
            </w:tcBorders>
            <w:vAlign w:val="center"/>
          </w:tcPr>
          <w:p w:rsidR="00166AD0" w:rsidRPr="00AD50FA" w:rsidRDefault="00166AD0" w:rsidP="00166AD0">
            <w:pPr>
              <w:spacing w:after="0" w:line="240" w:lineRule="auto"/>
              <w:jc w:val="center"/>
              <w:rPr>
                <w:rFonts w:ascii="Times New Roman" w:hAnsi="Times New Roman"/>
                <w:b/>
                <w:i/>
                <w:sz w:val="20"/>
              </w:rPr>
            </w:pPr>
            <w:r>
              <w:rPr>
                <w:rFonts w:ascii="Times New Roman" w:hAnsi="Times New Roman"/>
                <w:b/>
                <w:i/>
                <w:sz w:val="20"/>
              </w:rPr>
              <w:t>Fairness</w:t>
            </w:r>
          </w:p>
        </w:tc>
        <w:tc>
          <w:tcPr>
            <w:tcW w:w="1627" w:type="dxa"/>
            <w:vMerge/>
            <w:tcBorders>
              <w:bottom w:val="single" w:sz="4" w:space="0" w:color="auto"/>
            </w:tcBorders>
          </w:tcPr>
          <w:p w:rsidR="00166AD0" w:rsidRPr="00AD50FA" w:rsidRDefault="00166AD0" w:rsidP="00166AD0">
            <w:pPr>
              <w:spacing w:after="0" w:line="240" w:lineRule="auto"/>
              <w:jc w:val="center"/>
              <w:rPr>
                <w:rFonts w:ascii="Times New Roman" w:hAnsi="Times New Roman"/>
                <w:sz w:val="20"/>
              </w:rPr>
            </w:pPr>
          </w:p>
        </w:tc>
      </w:tr>
      <w:tr w:rsidR="009C77B9" w:rsidRPr="00AD50FA" w:rsidTr="002727AE">
        <w:trPr>
          <w:trHeight w:val="1553"/>
        </w:trPr>
        <w:tc>
          <w:tcPr>
            <w:tcW w:w="1526" w:type="dxa"/>
            <w:tcBorders>
              <w:top w:val="single" w:sz="4" w:space="0" w:color="auto"/>
              <w:left w:val="single" w:sz="4" w:space="0" w:color="auto"/>
            </w:tcBorders>
          </w:tcPr>
          <w:p w:rsidR="004430D9" w:rsidRPr="00AD50FA" w:rsidRDefault="004430D9" w:rsidP="007B5948">
            <w:pPr>
              <w:spacing w:after="0" w:line="240" w:lineRule="auto"/>
              <w:jc w:val="left"/>
              <w:rPr>
                <w:rFonts w:ascii="Times New Roman" w:hAnsi="Times New Roman"/>
                <w:sz w:val="20"/>
                <w:lang w:val="en-NZ"/>
              </w:rPr>
            </w:pPr>
            <w:r>
              <w:rPr>
                <w:rFonts w:ascii="Times New Roman" w:hAnsi="Times New Roman"/>
                <w:sz w:val="20"/>
              </w:rPr>
              <w:t>2</w:t>
            </w:r>
            <w:r w:rsidRPr="00E1736A">
              <w:rPr>
                <w:rFonts w:ascii="Times New Roman" w:hAnsi="Times New Roman"/>
                <w:sz w:val="20"/>
              </w:rPr>
              <w:t xml:space="preserve"> - </w:t>
            </w:r>
            <w:r w:rsidR="001908C3" w:rsidRPr="001908C3">
              <w:rPr>
                <w:rFonts w:ascii="Times New Roman" w:hAnsi="Times New Roman"/>
                <w:sz w:val="20"/>
              </w:rPr>
              <w:t xml:space="preserve">Legislating to require evidence of a New Zealand bank account as a prerequisite to </w:t>
            </w:r>
            <w:r w:rsidR="001908C3">
              <w:rPr>
                <w:rFonts w:ascii="Times New Roman" w:hAnsi="Times New Roman"/>
                <w:sz w:val="20"/>
              </w:rPr>
              <w:t>a</w:t>
            </w:r>
            <w:r w:rsidR="007B5948">
              <w:rPr>
                <w:rFonts w:ascii="Times New Roman" w:hAnsi="Times New Roman"/>
                <w:sz w:val="20"/>
              </w:rPr>
              <w:t xml:space="preserve">n offshore </w:t>
            </w:r>
            <w:r w:rsidR="00D11A9C">
              <w:rPr>
                <w:rFonts w:ascii="Times New Roman" w:hAnsi="Times New Roman"/>
                <w:sz w:val="20"/>
              </w:rPr>
              <w:t>person</w:t>
            </w:r>
            <w:r w:rsidR="00D11A9C" w:rsidDel="007B5948">
              <w:rPr>
                <w:rFonts w:ascii="Times New Roman" w:hAnsi="Times New Roman"/>
                <w:sz w:val="20"/>
              </w:rPr>
              <w:t xml:space="preserve"> </w:t>
            </w:r>
            <w:r w:rsidR="00D11A9C">
              <w:rPr>
                <w:rFonts w:ascii="Times New Roman" w:hAnsi="Times New Roman"/>
                <w:sz w:val="20"/>
              </w:rPr>
              <w:t>obtaining</w:t>
            </w:r>
            <w:r w:rsidR="001908C3" w:rsidRPr="001908C3">
              <w:rPr>
                <w:rFonts w:ascii="Times New Roman" w:hAnsi="Times New Roman"/>
                <w:sz w:val="20"/>
              </w:rPr>
              <w:t xml:space="preserve"> an IRD number.</w:t>
            </w:r>
          </w:p>
        </w:tc>
        <w:tc>
          <w:tcPr>
            <w:tcW w:w="2410" w:type="dxa"/>
            <w:tcBorders>
              <w:top w:val="single" w:sz="4" w:space="0" w:color="auto"/>
            </w:tcBorders>
          </w:tcPr>
          <w:p w:rsidR="001908C3" w:rsidRPr="00AD50FA" w:rsidRDefault="009C77B9" w:rsidP="002727AE">
            <w:pPr>
              <w:jc w:val="left"/>
              <w:rPr>
                <w:rFonts w:ascii="Times New Roman" w:hAnsi="Times New Roman"/>
                <w:sz w:val="20"/>
              </w:rPr>
            </w:pPr>
            <w:r>
              <w:rPr>
                <w:rFonts w:ascii="Times New Roman" w:hAnsi="Times New Roman"/>
                <w:sz w:val="20"/>
                <w:lang w:val="en-NZ"/>
              </w:rPr>
              <w:t>Meets the objective in part.  As discussed above, will provide more complete information on individuals that control entity/trust structures, but this information deficit seems likely to be filled in the near future in any event when AML Phase 2 takes effect</w:t>
            </w:r>
          </w:p>
        </w:tc>
        <w:tc>
          <w:tcPr>
            <w:tcW w:w="2551" w:type="dxa"/>
            <w:tcBorders>
              <w:top w:val="single" w:sz="4" w:space="0" w:color="auto"/>
            </w:tcBorders>
          </w:tcPr>
          <w:p w:rsidR="004430D9" w:rsidRDefault="00AC378A" w:rsidP="003F40F7">
            <w:pPr>
              <w:spacing w:after="0" w:line="240" w:lineRule="auto"/>
              <w:jc w:val="left"/>
              <w:rPr>
                <w:rFonts w:ascii="Times New Roman" w:hAnsi="Times New Roman"/>
                <w:sz w:val="20"/>
              </w:rPr>
            </w:pPr>
            <w:r>
              <w:rPr>
                <w:rFonts w:ascii="Times New Roman" w:hAnsi="Times New Roman"/>
                <w:sz w:val="20"/>
              </w:rPr>
              <w:t>No direct impact</w:t>
            </w:r>
            <w:r w:rsidR="003561E4">
              <w:rPr>
                <w:rFonts w:ascii="Times New Roman" w:hAnsi="Times New Roman"/>
                <w:sz w:val="20"/>
              </w:rPr>
              <w:t xml:space="preserve"> other than those identified as part of the broader suite of property tax measures introduced as part of Budget 2015.</w:t>
            </w:r>
          </w:p>
          <w:p w:rsidR="00AC378A" w:rsidRDefault="00AC378A" w:rsidP="003F40F7">
            <w:pPr>
              <w:spacing w:after="0" w:line="240" w:lineRule="auto"/>
              <w:jc w:val="left"/>
              <w:rPr>
                <w:rFonts w:ascii="Times New Roman" w:hAnsi="Times New Roman"/>
                <w:sz w:val="20"/>
              </w:rPr>
            </w:pPr>
          </w:p>
          <w:p w:rsidR="00AC378A" w:rsidRPr="00AD50FA" w:rsidRDefault="00AC378A" w:rsidP="002727AE">
            <w:pPr>
              <w:spacing w:after="0" w:line="240" w:lineRule="auto"/>
              <w:rPr>
                <w:rFonts w:ascii="Times New Roman" w:hAnsi="Times New Roman"/>
                <w:sz w:val="20"/>
              </w:rPr>
            </w:pPr>
          </w:p>
        </w:tc>
        <w:tc>
          <w:tcPr>
            <w:tcW w:w="2268" w:type="dxa"/>
            <w:tcBorders>
              <w:top w:val="single" w:sz="4" w:space="0" w:color="auto"/>
            </w:tcBorders>
          </w:tcPr>
          <w:p w:rsidR="004430D9" w:rsidRDefault="003561E4" w:rsidP="003F40F7">
            <w:pPr>
              <w:spacing w:after="0" w:line="240" w:lineRule="auto"/>
              <w:jc w:val="left"/>
              <w:rPr>
                <w:rFonts w:ascii="Times New Roman" w:hAnsi="Times New Roman"/>
                <w:sz w:val="20"/>
              </w:rPr>
            </w:pPr>
            <w:r>
              <w:rPr>
                <w:rFonts w:ascii="Times New Roman" w:hAnsi="Times New Roman"/>
                <w:sz w:val="20"/>
              </w:rPr>
              <w:t>Increased administration costs for Inland Revenue.  The existing forms would need to be altered to reflect the legislative requirement</w:t>
            </w:r>
            <w:r w:rsidR="00642C70">
              <w:rPr>
                <w:rFonts w:ascii="Times New Roman" w:hAnsi="Times New Roman"/>
                <w:sz w:val="20"/>
              </w:rPr>
              <w:t>.  The primary legislation will need to be amended</w:t>
            </w:r>
            <w:r>
              <w:rPr>
                <w:rFonts w:ascii="Times New Roman" w:hAnsi="Times New Roman"/>
                <w:sz w:val="20"/>
              </w:rPr>
              <w:t>.</w:t>
            </w:r>
          </w:p>
          <w:p w:rsidR="00D232ED" w:rsidRDefault="00D232ED" w:rsidP="003F40F7">
            <w:pPr>
              <w:spacing w:after="0" w:line="240" w:lineRule="auto"/>
              <w:jc w:val="left"/>
              <w:rPr>
                <w:rFonts w:ascii="Times New Roman" w:hAnsi="Times New Roman"/>
                <w:sz w:val="20"/>
              </w:rPr>
            </w:pPr>
          </w:p>
          <w:p w:rsidR="00D232ED" w:rsidRPr="00AD50FA" w:rsidRDefault="00D232ED" w:rsidP="00311594">
            <w:pPr>
              <w:spacing w:after="0" w:line="240" w:lineRule="auto"/>
              <w:jc w:val="left"/>
              <w:rPr>
                <w:rFonts w:ascii="Times New Roman" w:hAnsi="Times New Roman"/>
                <w:sz w:val="20"/>
              </w:rPr>
            </w:pPr>
            <w:r>
              <w:rPr>
                <w:rFonts w:ascii="Times New Roman" w:hAnsi="Times New Roman"/>
                <w:sz w:val="20"/>
              </w:rPr>
              <w:t>The requirement for a person to provide a bank account to the Commissioner in the event that they become an “</w:t>
            </w:r>
            <w:r w:rsidR="00311594">
              <w:rPr>
                <w:rFonts w:ascii="Times New Roman" w:hAnsi="Times New Roman"/>
                <w:sz w:val="20"/>
              </w:rPr>
              <w:t xml:space="preserve">offshore </w:t>
            </w:r>
            <w:r>
              <w:rPr>
                <w:rFonts w:ascii="Times New Roman" w:hAnsi="Times New Roman"/>
                <w:sz w:val="20"/>
              </w:rPr>
              <w:t>person” will require a separate process to be established to process and record these disclosures.</w:t>
            </w:r>
          </w:p>
        </w:tc>
        <w:tc>
          <w:tcPr>
            <w:tcW w:w="2410" w:type="dxa"/>
            <w:tcBorders>
              <w:top w:val="single" w:sz="4" w:space="0" w:color="auto"/>
              <w:right w:val="single" w:sz="4" w:space="0" w:color="auto"/>
            </w:tcBorders>
          </w:tcPr>
          <w:p w:rsidR="004430D9" w:rsidRDefault="003561E4" w:rsidP="003F40F7">
            <w:pPr>
              <w:spacing w:after="0" w:line="240" w:lineRule="auto"/>
              <w:jc w:val="left"/>
              <w:rPr>
                <w:rFonts w:ascii="Times New Roman" w:hAnsi="Times New Roman"/>
                <w:sz w:val="20"/>
              </w:rPr>
            </w:pPr>
            <w:r>
              <w:rPr>
                <w:rFonts w:ascii="Times New Roman" w:hAnsi="Times New Roman"/>
                <w:sz w:val="20"/>
              </w:rPr>
              <w:t xml:space="preserve">Increased.  </w:t>
            </w:r>
            <w:r w:rsidR="007B5948">
              <w:rPr>
                <w:rFonts w:ascii="Times New Roman" w:hAnsi="Times New Roman"/>
                <w:sz w:val="20"/>
              </w:rPr>
              <w:t>Offshore persons</w:t>
            </w:r>
            <w:r>
              <w:rPr>
                <w:rFonts w:ascii="Times New Roman" w:hAnsi="Times New Roman"/>
                <w:sz w:val="20"/>
              </w:rPr>
              <w:t xml:space="preserve"> </w:t>
            </w:r>
            <w:r w:rsidR="00433EE1">
              <w:rPr>
                <w:rFonts w:ascii="Times New Roman" w:hAnsi="Times New Roman"/>
                <w:sz w:val="20"/>
              </w:rPr>
              <w:t>would need to establish a New Zealand bank account that me</w:t>
            </w:r>
            <w:r w:rsidR="00BF6FD9">
              <w:rPr>
                <w:rFonts w:ascii="Times New Roman" w:hAnsi="Times New Roman"/>
                <w:sz w:val="20"/>
              </w:rPr>
              <w:t>e</w:t>
            </w:r>
            <w:r w:rsidR="00433EE1">
              <w:rPr>
                <w:rFonts w:ascii="Times New Roman" w:hAnsi="Times New Roman"/>
                <w:sz w:val="20"/>
              </w:rPr>
              <w:t>t</w:t>
            </w:r>
            <w:r w:rsidR="00BF6FD9">
              <w:rPr>
                <w:rFonts w:ascii="Times New Roman" w:hAnsi="Times New Roman"/>
                <w:sz w:val="20"/>
              </w:rPr>
              <w:t>s</w:t>
            </w:r>
            <w:r w:rsidR="00433EE1">
              <w:rPr>
                <w:rFonts w:ascii="Times New Roman" w:hAnsi="Times New Roman"/>
                <w:sz w:val="20"/>
              </w:rPr>
              <w:t xml:space="preserve"> the statutory requirements and provide evidence of that account to Inland Revenue.</w:t>
            </w:r>
          </w:p>
          <w:p w:rsidR="00AC378A" w:rsidRDefault="00AC378A" w:rsidP="003F40F7">
            <w:pPr>
              <w:spacing w:after="0" w:line="240" w:lineRule="auto"/>
              <w:jc w:val="left"/>
              <w:rPr>
                <w:rFonts w:ascii="Times New Roman" w:hAnsi="Times New Roman"/>
                <w:sz w:val="20"/>
              </w:rPr>
            </w:pPr>
          </w:p>
          <w:p w:rsidR="00F87CE0" w:rsidRDefault="00F87CE0" w:rsidP="003F40F7">
            <w:pPr>
              <w:spacing w:after="0" w:line="240" w:lineRule="auto"/>
              <w:jc w:val="left"/>
              <w:rPr>
                <w:rFonts w:ascii="Times New Roman" w:hAnsi="Times New Roman"/>
                <w:sz w:val="20"/>
              </w:rPr>
            </w:pPr>
            <w:r>
              <w:rPr>
                <w:rFonts w:ascii="Times New Roman" w:hAnsi="Times New Roman"/>
                <w:sz w:val="20"/>
              </w:rPr>
              <w:t xml:space="preserve">These costs </w:t>
            </w:r>
            <w:r w:rsidR="008F558B">
              <w:rPr>
                <w:rFonts w:ascii="Times New Roman" w:hAnsi="Times New Roman"/>
                <w:sz w:val="20"/>
              </w:rPr>
              <w:t>are not expected to be significant, but will require a</w:t>
            </w:r>
            <w:r w:rsidR="007B5948">
              <w:rPr>
                <w:rFonts w:ascii="Times New Roman" w:hAnsi="Times New Roman"/>
                <w:sz w:val="20"/>
              </w:rPr>
              <w:t>n offshore person</w:t>
            </w:r>
            <w:r w:rsidR="008F558B">
              <w:rPr>
                <w:rFonts w:ascii="Times New Roman" w:hAnsi="Times New Roman"/>
                <w:sz w:val="20"/>
              </w:rPr>
              <w:t xml:space="preserve"> to at least either go through the standard AML checks with a New Zealand institution</w:t>
            </w:r>
            <w:r w:rsidR="008E2DB8">
              <w:rPr>
                <w:rFonts w:ascii="Times New Roman" w:hAnsi="Times New Roman"/>
                <w:sz w:val="20"/>
              </w:rPr>
              <w:t xml:space="preserve"> or</w:t>
            </w:r>
            <w:r w:rsidR="008F558B">
              <w:rPr>
                <w:rFonts w:ascii="Times New Roman" w:hAnsi="Times New Roman"/>
                <w:sz w:val="20"/>
              </w:rPr>
              <w:t xml:space="preserve"> find a foreign agent of a New Zealand bank in order to have the relevant AML checks performed</w:t>
            </w:r>
            <w:r w:rsidRPr="00F87CE0">
              <w:rPr>
                <w:rFonts w:ascii="Times New Roman" w:hAnsi="Times New Roman"/>
                <w:sz w:val="20"/>
              </w:rPr>
              <w:t>.</w:t>
            </w:r>
          </w:p>
          <w:p w:rsidR="00AC378A" w:rsidRPr="00AD50FA" w:rsidRDefault="00AC378A" w:rsidP="00D232ED">
            <w:pPr>
              <w:spacing w:after="0" w:line="240" w:lineRule="auto"/>
              <w:jc w:val="left"/>
              <w:rPr>
                <w:rFonts w:ascii="Times New Roman" w:hAnsi="Times New Roman"/>
                <w:sz w:val="20"/>
              </w:rPr>
            </w:pPr>
            <w:r>
              <w:rPr>
                <w:rFonts w:ascii="Times New Roman" w:hAnsi="Times New Roman"/>
                <w:sz w:val="20"/>
              </w:rPr>
              <w:t>.</w:t>
            </w:r>
          </w:p>
        </w:tc>
        <w:tc>
          <w:tcPr>
            <w:tcW w:w="2484" w:type="dxa"/>
            <w:tcBorders>
              <w:top w:val="single" w:sz="4" w:space="0" w:color="auto"/>
              <w:left w:val="single" w:sz="4" w:space="0" w:color="auto"/>
              <w:right w:val="single" w:sz="4" w:space="0" w:color="auto"/>
            </w:tcBorders>
          </w:tcPr>
          <w:p w:rsidR="004430D9" w:rsidRPr="002B7B9A" w:rsidRDefault="002B7B9A" w:rsidP="007B5948">
            <w:pPr>
              <w:spacing w:after="0" w:line="240" w:lineRule="auto"/>
              <w:jc w:val="left"/>
              <w:rPr>
                <w:rFonts w:ascii="Times New Roman" w:hAnsi="Times New Roman"/>
                <w:sz w:val="20"/>
              </w:rPr>
            </w:pPr>
            <w:r>
              <w:rPr>
                <w:rFonts w:ascii="Times New Roman" w:hAnsi="Times New Roman"/>
                <w:sz w:val="20"/>
              </w:rPr>
              <w:t>I</w:t>
            </w:r>
            <w:r w:rsidR="00433EE1" w:rsidRPr="00433EE1">
              <w:rPr>
                <w:rFonts w:ascii="Times New Roman" w:hAnsi="Times New Roman"/>
                <w:sz w:val="20"/>
              </w:rPr>
              <w:t xml:space="preserve">t is </w:t>
            </w:r>
            <w:r w:rsidR="00EB7402">
              <w:rPr>
                <w:rFonts w:ascii="Times New Roman" w:hAnsi="Times New Roman"/>
                <w:sz w:val="20"/>
              </w:rPr>
              <w:t xml:space="preserve">potentially </w:t>
            </w:r>
            <w:r w:rsidR="00433EE1" w:rsidRPr="00433EE1">
              <w:rPr>
                <w:rFonts w:ascii="Times New Roman" w:hAnsi="Times New Roman"/>
                <w:sz w:val="20"/>
              </w:rPr>
              <w:t xml:space="preserve">arguable that imposing a requirement on </w:t>
            </w:r>
            <w:r w:rsidR="007B5948">
              <w:rPr>
                <w:rFonts w:ascii="Times New Roman" w:hAnsi="Times New Roman"/>
                <w:sz w:val="20"/>
              </w:rPr>
              <w:t>offshore persons</w:t>
            </w:r>
            <w:r w:rsidR="00433EE1" w:rsidRPr="00433EE1">
              <w:rPr>
                <w:rFonts w:ascii="Times New Roman" w:hAnsi="Times New Roman"/>
                <w:sz w:val="20"/>
              </w:rPr>
              <w:t xml:space="preserve"> that does not apply</w:t>
            </w:r>
            <w:r w:rsidR="00A726BC">
              <w:rPr>
                <w:rFonts w:ascii="Times New Roman" w:hAnsi="Times New Roman"/>
                <w:sz w:val="20"/>
              </w:rPr>
              <w:t xml:space="preserve"> t</w:t>
            </w:r>
            <w:r>
              <w:rPr>
                <w:rFonts w:ascii="Times New Roman" w:hAnsi="Times New Roman"/>
                <w:sz w:val="20"/>
              </w:rPr>
              <w:t xml:space="preserve">o residents is discriminatory.  </w:t>
            </w:r>
            <w:r w:rsidR="00433EE1" w:rsidRPr="002B7B9A">
              <w:rPr>
                <w:rFonts w:ascii="Times New Roman" w:hAnsi="Times New Roman"/>
                <w:sz w:val="20"/>
              </w:rPr>
              <w:t xml:space="preserve">However, </w:t>
            </w:r>
            <w:r w:rsidR="00267436">
              <w:rPr>
                <w:rFonts w:ascii="Times New Roman" w:hAnsi="Times New Roman"/>
                <w:sz w:val="20"/>
              </w:rPr>
              <w:t xml:space="preserve">the bill introducing these changes has been subject to the standard Bill of Rights vetting process that applies to </w:t>
            </w:r>
            <w:r w:rsidR="00267436" w:rsidRPr="00267436">
              <w:rPr>
                <w:rFonts w:ascii="Times New Roman" w:hAnsi="Times New Roman"/>
                <w:sz w:val="20"/>
              </w:rPr>
              <w:t xml:space="preserve">all legislation and </w:t>
            </w:r>
            <w:r w:rsidR="00267436" w:rsidRPr="00870310">
              <w:rPr>
                <w:rFonts w:ascii="Times New Roman" w:hAnsi="Times New Roman"/>
                <w:sz w:val="20"/>
              </w:rPr>
              <w:t>no i</w:t>
            </w:r>
            <w:r w:rsidR="00267436" w:rsidRPr="002727AE">
              <w:rPr>
                <w:rFonts w:ascii="Times New Roman" w:hAnsi="Times New Roman"/>
                <w:sz w:val="20"/>
              </w:rPr>
              <w:t>ssues have been raised</w:t>
            </w:r>
            <w:r w:rsidRPr="002727AE">
              <w:rPr>
                <w:rFonts w:ascii="Times New Roman" w:hAnsi="Times New Roman"/>
                <w:sz w:val="20"/>
              </w:rPr>
              <w:t>.</w:t>
            </w:r>
            <w:r w:rsidR="00C22951">
              <w:rPr>
                <w:rFonts w:ascii="Times New Roman" w:hAnsi="Times New Roman"/>
                <w:sz w:val="20"/>
              </w:rPr>
              <w:t xml:space="preserve">  However, Inland Revenue has looked at international precedent and is not aware of any comparable jurisdiction that requires evidence of a domestic bank account as a prerequisite to obtaining a tax identification number.</w:t>
            </w:r>
          </w:p>
        </w:tc>
        <w:tc>
          <w:tcPr>
            <w:tcW w:w="1627" w:type="dxa"/>
            <w:tcBorders>
              <w:top w:val="single" w:sz="4" w:space="0" w:color="auto"/>
              <w:left w:val="single" w:sz="4" w:space="0" w:color="auto"/>
              <w:right w:val="single" w:sz="4" w:space="0" w:color="auto"/>
            </w:tcBorders>
          </w:tcPr>
          <w:p w:rsidR="00433EE1" w:rsidRPr="00A0416D" w:rsidRDefault="009C77B9" w:rsidP="008E2DB8">
            <w:pPr>
              <w:spacing w:after="0" w:line="240" w:lineRule="auto"/>
              <w:jc w:val="left"/>
              <w:rPr>
                <w:rFonts w:ascii="Times New Roman" w:hAnsi="Times New Roman"/>
                <w:sz w:val="20"/>
              </w:rPr>
            </w:pPr>
            <w:r>
              <w:rPr>
                <w:rFonts w:ascii="Times New Roman" w:hAnsi="Times New Roman"/>
                <w:sz w:val="20"/>
              </w:rPr>
              <w:t xml:space="preserve">Addresses the problem definition in part because it will increase information potentially available to Inland Revenue – particularly for non-individuals.  However, it will increase compliance and administration costs and will likely only be of temporary benefit in practice.  </w:t>
            </w:r>
          </w:p>
        </w:tc>
      </w:tr>
    </w:tbl>
    <w:p w:rsidR="00D47807" w:rsidRDefault="00D47807" w:rsidP="003F40F7">
      <w:pPr>
        <w:spacing w:after="0" w:line="240" w:lineRule="auto"/>
        <w:jc w:val="both"/>
        <w:rPr>
          <w:rFonts w:ascii="Times New Roman" w:hAnsi="Times New Roman"/>
          <w:sz w:val="24"/>
          <w:szCs w:val="24"/>
          <w:lang w:val="en-NZ"/>
        </w:rPr>
        <w:sectPr w:rsidR="00D47807" w:rsidSect="00AD50FA">
          <w:footerReference w:type="even" r:id="rId11"/>
          <w:footerReference w:type="default" r:id="rId12"/>
          <w:headerReference w:type="first" r:id="rId13"/>
          <w:pgSz w:w="16840" w:h="11907" w:orient="landscape" w:code="9"/>
          <w:pgMar w:top="1418" w:right="1134" w:bottom="1418" w:left="1134" w:header="567" w:footer="567" w:gutter="0"/>
          <w:pgNumType w:start="1"/>
          <w:cols w:space="720"/>
          <w:titlePg/>
          <w:docGrid w:linePitch="360"/>
        </w:sectPr>
      </w:pPr>
    </w:p>
    <w:p w:rsidR="00AD50FA" w:rsidRPr="00AD50FA" w:rsidRDefault="00AD50FA" w:rsidP="003F40F7">
      <w:pPr>
        <w:spacing w:after="0" w:line="240" w:lineRule="auto"/>
        <w:jc w:val="both"/>
        <w:rPr>
          <w:rFonts w:ascii="Times New Roman" w:hAnsi="Times New Roman"/>
          <w:sz w:val="24"/>
          <w:szCs w:val="24"/>
          <w:lang w:val="en-NZ"/>
        </w:rPr>
      </w:pPr>
    </w:p>
    <w:p w:rsidR="000E245F" w:rsidRDefault="000E245F" w:rsidP="003F40F7">
      <w:pPr>
        <w:spacing w:after="0" w:line="240" w:lineRule="auto"/>
        <w:jc w:val="both"/>
        <w:rPr>
          <w:rFonts w:ascii="Times New Roman" w:hAnsi="Times New Roman"/>
          <w:sz w:val="24"/>
          <w:szCs w:val="24"/>
        </w:rPr>
      </w:pPr>
    </w:p>
    <w:p w:rsidR="00D47807" w:rsidRPr="00A0416D" w:rsidRDefault="00D47807" w:rsidP="003F40F7">
      <w:pPr>
        <w:spacing w:after="0" w:line="240" w:lineRule="auto"/>
        <w:jc w:val="both"/>
        <w:rPr>
          <w:rFonts w:ascii="Times New Roman" w:hAnsi="Times New Roman"/>
          <w:b/>
          <w:caps/>
          <w:sz w:val="24"/>
          <w:szCs w:val="24"/>
        </w:rPr>
      </w:pPr>
      <w:r w:rsidRPr="00A0416D">
        <w:rPr>
          <w:rFonts w:ascii="Times New Roman" w:hAnsi="Times New Roman"/>
          <w:b/>
          <w:caps/>
          <w:sz w:val="24"/>
          <w:szCs w:val="24"/>
        </w:rPr>
        <w:t>Consultation</w:t>
      </w:r>
      <w:r w:rsidR="00CD44B7">
        <w:rPr>
          <w:rFonts w:ascii="Times New Roman" w:hAnsi="Times New Roman"/>
          <w:b/>
          <w:caps/>
          <w:sz w:val="24"/>
          <w:szCs w:val="24"/>
        </w:rPr>
        <w:t xml:space="preserve"> And Impact</w:t>
      </w:r>
    </w:p>
    <w:p w:rsidR="00D47807" w:rsidRPr="00816ED5" w:rsidRDefault="00D47807" w:rsidP="003F40F7">
      <w:pPr>
        <w:spacing w:after="0" w:line="240" w:lineRule="auto"/>
        <w:jc w:val="both"/>
        <w:rPr>
          <w:rFonts w:ascii="Times New Roman" w:hAnsi="Times New Roman"/>
          <w:sz w:val="24"/>
          <w:szCs w:val="24"/>
        </w:rPr>
      </w:pPr>
    </w:p>
    <w:p w:rsidR="00177E91" w:rsidRDefault="007D1A4D" w:rsidP="001814B1">
      <w:pPr>
        <w:pStyle w:val="ListParagraph"/>
        <w:ind w:left="0" w:right="170"/>
        <w:contextualSpacing w:val="0"/>
        <w:rPr>
          <w:rFonts w:ascii="Times New Roman" w:hAnsi="Times New Roman"/>
          <w:sz w:val="24"/>
          <w:szCs w:val="24"/>
        </w:rPr>
      </w:pPr>
      <w:r w:rsidRPr="007D1A4D">
        <w:rPr>
          <w:rFonts w:ascii="Times New Roman" w:hAnsi="Times New Roman"/>
          <w:sz w:val="24"/>
          <w:szCs w:val="24"/>
        </w:rPr>
        <w:fldChar w:fldCharType="begin"/>
      </w:r>
      <w:r w:rsidRPr="007D1A4D">
        <w:rPr>
          <w:rFonts w:ascii="Times New Roman" w:hAnsi="Times New Roman"/>
          <w:sz w:val="24"/>
          <w:szCs w:val="24"/>
        </w:rPr>
        <w:instrText xml:space="preserve"> AUTONUM  </w:instrText>
      </w:r>
      <w:r w:rsidRPr="007D1A4D">
        <w:rPr>
          <w:rFonts w:ascii="Times New Roman" w:hAnsi="Times New Roman"/>
          <w:sz w:val="24"/>
          <w:szCs w:val="24"/>
        </w:rPr>
        <w:fldChar w:fldCharType="end"/>
      </w:r>
      <w:r w:rsidRPr="007D1A4D">
        <w:rPr>
          <w:rFonts w:ascii="Times New Roman" w:hAnsi="Times New Roman"/>
          <w:sz w:val="24"/>
          <w:szCs w:val="24"/>
        </w:rPr>
        <w:tab/>
      </w:r>
      <w:r w:rsidR="001814B1">
        <w:rPr>
          <w:rFonts w:ascii="Times New Roman" w:hAnsi="Times New Roman"/>
          <w:sz w:val="24"/>
          <w:szCs w:val="24"/>
        </w:rPr>
        <w:t xml:space="preserve">Inland Revenue has not consulted with </w:t>
      </w:r>
      <w:r w:rsidR="001025A7">
        <w:rPr>
          <w:rFonts w:ascii="Times New Roman" w:hAnsi="Times New Roman"/>
          <w:sz w:val="24"/>
          <w:szCs w:val="24"/>
        </w:rPr>
        <w:t>potentially impacted parties</w:t>
      </w:r>
      <w:r w:rsidR="001B44F7">
        <w:rPr>
          <w:rFonts w:ascii="Times New Roman" w:hAnsi="Times New Roman"/>
          <w:sz w:val="24"/>
          <w:szCs w:val="24"/>
        </w:rPr>
        <w:t xml:space="preserve"> (such as financial institutions)</w:t>
      </w:r>
      <w:r w:rsidR="001025A7">
        <w:rPr>
          <w:rFonts w:ascii="Times New Roman" w:hAnsi="Times New Roman"/>
          <w:sz w:val="24"/>
          <w:szCs w:val="24"/>
        </w:rPr>
        <w:t xml:space="preserve"> because of time constraints</w:t>
      </w:r>
      <w:r w:rsidR="001814B1">
        <w:rPr>
          <w:rFonts w:ascii="Times New Roman" w:hAnsi="Times New Roman"/>
          <w:sz w:val="24"/>
          <w:szCs w:val="24"/>
        </w:rPr>
        <w:t>.  The Treasury</w:t>
      </w:r>
      <w:r w:rsidR="00A557D0">
        <w:rPr>
          <w:rFonts w:ascii="Times New Roman" w:hAnsi="Times New Roman"/>
          <w:sz w:val="24"/>
          <w:szCs w:val="24"/>
        </w:rPr>
        <w:t xml:space="preserve">, The </w:t>
      </w:r>
      <w:r w:rsidR="009C77B9">
        <w:rPr>
          <w:rFonts w:ascii="Times New Roman" w:hAnsi="Times New Roman"/>
          <w:sz w:val="24"/>
          <w:szCs w:val="24"/>
        </w:rPr>
        <w:t>R</w:t>
      </w:r>
      <w:r w:rsidR="00A557D0">
        <w:rPr>
          <w:rFonts w:ascii="Times New Roman" w:hAnsi="Times New Roman"/>
          <w:sz w:val="24"/>
          <w:szCs w:val="24"/>
        </w:rPr>
        <w:t>eserve Bank of New Zealand and Ministry of Justice were</w:t>
      </w:r>
      <w:r w:rsidR="001814B1">
        <w:rPr>
          <w:rFonts w:ascii="Times New Roman" w:hAnsi="Times New Roman"/>
          <w:sz w:val="24"/>
          <w:szCs w:val="24"/>
        </w:rPr>
        <w:t xml:space="preserve"> consulted on the policy proposal.</w:t>
      </w:r>
      <w:r w:rsidR="00F307D9">
        <w:rPr>
          <w:rFonts w:ascii="Times New Roman" w:hAnsi="Times New Roman"/>
          <w:sz w:val="24"/>
          <w:szCs w:val="24"/>
        </w:rPr>
        <w:t xml:space="preserve">  </w:t>
      </w:r>
    </w:p>
    <w:p w:rsidR="00177E91" w:rsidRDefault="00177E91" w:rsidP="001814B1">
      <w:pPr>
        <w:pStyle w:val="ListParagraph"/>
        <w:ind w:left="0" w:right="170"/>
        <w:contextualSpacing w:val="0"/>
        <w:rPr>
          <w:rFonts w:ascii="Times New Roman" w:hAnsi="Times New Roman"/>
          <w:sz w:val="24"/>
          <w:szCs w:val="24"/>
        </w:rPr>
      </w:pPr>
    </w:p>
    <w:p w:rsidR="00177E91" w:rsidRDefault="00177E91" w:rsidP="008072FB">
      <w:pPr>
        <w:rPr>
          <w:rFonts w:ascii="Times New Roman" w:hAnsi="Times New Roman"/>
          <w:sz w:val="24"/>
          <w:szCs w:val="24"/>
        </w:rPr>
      </w:pPr>
      <w:r w:rsidRPr="007D1A4D">
        <w:rPr>
          <w:rFonts w:ascii="Times New Roman" w:hAnsi="Times New Roman"/>
          <w:sz w:val="24"/>
          <w:szCs w:val="24"/>
        </w:rPr>
        <w:fldChar w:fldCharType="begin"/>
      </w:r>
      <w:r w:rsidRPr="007D1A4D">
        <w:rPr>
          <w:rFonts w:ascii="Times New Roman" w:hAnsi="Times New Roman"/>
          <w:sz w:val="24"/>
          <w:szCs w:val="24"/>
        </w:rPr>
        <w:instrText xml:space="preserve"> AUTONUM  </w:instrText>
      </w:r>
      <w:r w:rsidRPr="007D1A4D">
        <w:rPr>
          <w:rFonts w:ascii="Times New Roman" w:hAnsi="Times New Roman"/>
          <w:sz w:val="24"/>
          <w:szCs w:val="24"/>
        </w:rPr>
        <w:fldChar w:fldCharType="end"/>
      </w:r>
      <w:r w:rsidRPr="007D1A4D">
        <w:rPr>
          <w:rFonts w:ascii="Times New Roman" w:hAnsi="Times New Roman"/>
          <w:sz w:val="24"/>
          <w:szCs w:val="24"/>
        </w:rPr>
        <w:tab/>
      </w:r>
      <w:r w:rsidRPr="00177E91">
        <w:rPr>
          <w:rFonts w:ascii="Times New Roman" w:hAnsi="Times New Roman"/>
          <w:sz w:val="24"/>
          <w:szCs w:val="24"/>
          <w:lang w:val="en-NZ" w:eastAsia="en-US"/>
        </w:rPr>
        <w:t xml:space="preserve">Treasury agrees with </w:t>
      </w:r>
      <w:r>
        <w:rPr>
          <w:rFonts w:ascii="Times New Roman" w:hAnsi="Times New Roman"/>
          <w:sz w:val="24"/>
          <w:szCs w:val="24"/>
          <w:lang w:val="en-NZ" w:eastAsia="en-US"/>
        </w:rPr>
        <w:t xml:space="preserve">Inland Revenue’s </w:t>
      </w:r>
      <w:r w:rsidRPr="00177E91">
        <w:rPr>
          <w:rFonts w:ascii="Times New Roman" w:hAnsi="Times New Roman"/>
          <w:sz w:val="24"/>
          <w:szCs w:val="24"/>
          <w:lang w:val="en-NZ" w:eastAsia="en-US"/>
        </w:rPr>
        <w:t>conclusion that the requirement for a</w:t>
      </w:r>
      <w:r w:rsidR="007B5948">
        <w:rPr>
          <w:rFonts w:ascii="Times New Roman" w:hAnsi="Times New Roman"/>
          <w:sz w:val="24"/>
          <w:szCs w:val="24"/>
          <w:lang w:val="en-NZ" w:eastAsia="en-US"/>
        </w:rPr>
        <w:t>n offshore person</w:t>
      </w:r>
      <w:r w:rsidRPr="00177E91">
        <w:rPr>
          <w:rFonts w:ascii="Times New Roman" w:hAnsi="Times New Roman"/>
          <w:sz w:val="24"/>
          <w:szCs w:val="24"/>
          <w:lang w:val="en-NZ" w:eastAsia="en-US"/>
        </w:rPr>
        <w:t xml:space="preserve"> to have a New Zealand bank account as a prerequisite to obtaining an IRD number provides limited benefit from a tax compliance perspective. However, </w:t>
      </w:r>
      <w:r>
        <w:rPr>
          <w:rFonts w:ascii="Times New Roman" w:hAnsi="Times New Roman"/>
          <w:sz w:val="24"/>
          <w:szCs w:val="24"/>
          <w:lang w:val="en-NZ" w:eastAsia="en-US"/>
        </w:rPr>
        <w:t xml:space="preserve">Treasury notes that </w:t>
      </w:r>
      <w:r w:rsidRPr="00177E91">
        <w:rPr>
          <w:rFonts w:ascii="Times New Roman" w:hAnsi="Times New Roman"/>
          <w:sz w:val="24"/>
          <w:szCs w:val="24"/>
          <w:lang w:val="en-NZ" w:eastAsia="en-US"/>
        </w:rPr>
        <w:t xml:space="preserve">the requirement may have housing market benefits by adding stricter AML checks for entities </w:t>
      </w:r>
      <w:r w:rsidR="007B5948">
        <w:rPr>
          <w:rFonts w:ascii="Times New Roman" w:hAnsi="Times New Roman"/>
          <w:sz w:val="24"/>
          <w:szCs w:val="24"/>
          <w:lang w:val="en-NZ" w:eastAsia="en-US"/>
        </w:rPr>
        <w:t xml:space="preserve">that are “offshore persons” </w:t>
      </w:r>
      <w:r w:rsidRPr="00177E91">
        <w:rPr>
          <w:rFonts w:ascii="Times New Roman" w:hAnsi="Times New Roman"/>
          <w:sz w:val="24"/>
          <w:szCs w:val="24"/>
          <w:lang w:val="en-NZ" w:eastAsia="en-US"/>
        </w:rPr>
        <w:t xml:space="preserve">purchasing properties in New Zealand.  The requirement also provides the option to later require </w:t>
      </w:r>
      <w:r w:rsidR="007B5948">
        <w:rPr>
          <w:rFonts w:ascii="Times New Roman" w:hAnsi="Times New Roman"/>
          <w:sz w:val="24"/>
          <w:szCs w:val="24"/>
          <w:lang w:val="en-NZ" w:eastAsia="en-US"/>
        </w:rPr>
        <w:t>offshore persons</w:t>
      </w:r>
      <w:r w:rsidRPr="00177E91">
        <w:rPr>
          <w:rFonts w:ascii="Times New Roman" w:hAnsi="Times New Roman"/>
          <w:sz w:val="24"/>
          <w:szCs w:val="24"/>
          <w:lang w:val="en-NZ" w:eastAsia="en-US"/>
        </w:rPr>
        <w:t xml:space="preserve"> to use the bank account to purchase property in New Zealand should future analysis show that purchasers using funds from </w:t>
      </w:r>
      <w:r>
        <w:rPr>
          <w:rFonts w:ascii="Times New Roman" w:hAnsi="Times New Roman"/>
          <w:sz w:val="24"/>
          <w:szCs w:val="24"/>
          <w:lang w:val="en-NZ" w:eastAsia="en-US"/>
        </w:rPr>
        <w:t xml:space="preserve">dubious sources is a problem.  </w:t>
      </w:r>
    </w:p>
    <w:p w:rsidR="001814B1" w:rsidRDefault="00177E91" w:rsidP="001814B1">
      <w:pPr>
        <w:pStyle w:val="ListParagraph"/>
        <w:ind w:left="0" w:right="170"/>
        <w:contextualSpacing w:val="0"/>
        <w:rPr>
          <w:rFonts w:ascii="Times New Roman" w:hAnsi="Times New Roman"/>
          <w:sz w:val="24"/>
          <w:szCs w:val="24"/>
        </w:rPr>
      </w:pPr>
      <w:r w:rsidRPr="007D1A4D">
        <w:rPr>
          <w:rFonts w:ascii="Times New Roman" w:hAnsi="Times New Roman"/>
          <w:sz w:val="24"/>
          <w:szCs w:val="24"/>
        </w:rPr>
        <w:fldChar w:fldCharType="begin"/>
      </w:r>
      <w:r w:rsidRPr="007D1A4D">
        <w:rPr>
          <w:rFonts w:ascii="Times New Roman" w:hAnsi="Times New Roman"/>
          <w:sz w:val="24"/>
          <w:szCs w:val="24"/>
        </w:rPr>
        <w:instrText xml:space="preserve"> AUTONUM  </w:instrText>
      </w:r>
      <w:r w:rsidRPr="007D1A4D">
        <w:rPr>
          <w:rFonts w:ascii="Times New Roman" w:hAnsi="Times New Roman"/>
          <w:sz w:val="24"/>
          <w:szCs w:val="24"/>
        </w:rPr>
        <w:fldChar w:fldCharType="end"/>
      </w:r>
      <w:r w:rsidRPr="007D1A4D">
        <w:rPr>
          <w:rFonts w:ascii="Times New Roman" w:hAnsi="Times New Roman"/>
          <w:sz w:val="24"/>
          <w:szCs w:val="24"/>
        </w:rPr>
        <w:tab/>
      </w:r>
      <w:r w:rsidR="00F307D9">
        <w:rPr>
          <w:rFonts w:ascii="Times New Roman" w:hAnsi="Times New Roman"/>
          <w:sz w:val="24"/>
          <w:szCs w:val="24"/>
        </w:rPr>
        <w:t>No public consultation was undertaken on the proposal because of time constraints.  Public consultation will therefore take place in the usual way during the Select Committee process.</w:t>
      </w:r>
    </w:p>
    <w:p w:rsidR="007D1A4D" w:rsidRPr="00412CC4" w:rsidRDefault="007D1A4D" w:rsidP="003F40F7">
      <w:pPr>
        <w:spacing w:after="0" w:line="240" w:lineRule="auto"/>
        <w:jc w:val="both"/>
        <w:rPr>
          <w:rFonts w:ascii="Times New Roman" w:hAnsi="Times New Roman"/>
          <w:sz w:val="24"/>
          <w:szCs w:val="24"/>
        </w:rPr>
      </w:pPr>
    </w:p>
    <w:p w:rsidR="000F1DD0" w:rsidRPr="00182C43" w:rsidRDefault="000F1DD0" w:rsidP="003F40F7">
      <w:pPr>
        <w:spacing w:after="0" w:line="240" w:lineRule="auto"/>
        <w:jc w:val="both"/>
        <w:rPr>
          <w:rFonts w:ascii="Times New Roman" w:hAnsi="Times New Roman"/>
          <w:b/>
          <w:caps/>
          <w:sz w:val="24"/>
          <w:szCs w:val="24"/>
        </w:rPr>
      </w:pPr>
      <w:r w:rsidRPr="00182C43">
        <w:rPr>
          <w:rFonts w:ascii="Times New Roman" w:hAnsi="Times New Roman"/>
          <w:b/>
          <w:caps/>
          <w:sz w:val="24"/>
          <w:szCs w:val="24"/>
        </w:rPr>
        <w:t>Conclusions and Recommendations</w:t>
      </w:r>
    </w:p>
    <w:p w:rsidR="008E6B70" w:rsidRPr="00412CC4" w:rsidRDefault="008E6B70" w:rsidP="003F40F7">
      <w:pPr>
        <w:spacing w:after="0" w:line="240" w:lineRule="auto"/>
        <w:jc w:val="both"/>
        <w:rPr>
          <w:rFonts w:ascii="Times New Roman" w:hAnsi="Times New Roman"/>
          <w:sz w:val="24"/>
          <w:szCs w:val="24"/>
        </w:rPr>
      </w:pPr>
    </w:p>
    <w:p w:rsidR="00D94506" w:rsidRDefault="00412CC4" w:rsidP="003F40F7">
      <w:pPr>
        <w:spacing w:after="0" w:line="240" w:lineRule="auto"/>
        <w:jc w:val="both"/>
        <w:rPr>
          <w:rFonts w:ascii="Times New Roman" w:hAnsi="Times New Roman"/>
          <w:sz w:val="24"/>
          <w:szCs w:val="24"/>
          <w:lang w:val="en-NZ"/>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8E2DB8">
        <w:rPr>
          <w:rFonts w:ascii="Times New Roman" w:hAnsi="Times New Roman"/>
          <w:sz w:val="24"/>
          <w:szCs w:val="24"/>
        </w:rPr>
        <w:t>Although it is finely balanced, w</w:t>
      </w:r>
      <w:r w:rsidR="008E2DB8" w:rsidRPr="00DB6C97">
        <w:rPr>
          <w:rFonts w:ascii="Times New Roman" w:hAnsi="Times New Roman"/>
          <w:sz w:val="24"/>
          <w:szCs w:val="24"/>
        </w:rPr>
        <w:t xml:space="preserve">e </w:t>
      </w:r>
      <w:r w:rsidR="00421392" w:rsidRPr="00DB6C97">
        <w:rPr>
          <w:rFonts w:ascii="Times New Roman" w:hAnsi="Times New Roman"/>
          <w:sz w:val="24"/>
          <w:szCs w:val="24"/>
        </w:rPr>
        <w:t xml:space="preserve">recommend </w:t>
      </w:r>
      <w:r w:rsidR="00F241F7" w:rsidRPr="00DB6C97">
        <w:rPr>
          <w:rFonts w:ascii="Times New Roman" w:hAnsi="Times New Roman"/>
          <w:sz w:val="24"/>
          <w:szCs w:val="24"/>
        </w:rPr>
        <w:t xml:space="preserve">Option </w:t>
      </w:r>
      <w:r w:rsidR="000A5723">
        <w:rPr>
          <w:rFonts w:ascii="Times New Roman" w:hAnsi="Times New Roman"/>
          <w:sz w:val="24"/>
          <w:szCs w:val="24"/>
        </w:rPr>
        <w:t>1</w:t>
      </w:r>
      <w:r w:rsidR="008E2DB8">
        <w:rPr>
          <w:rFonts w:ascii="Times New Roman" w:hAnsi="Times New Roman"/>
          <w:sz w:val="24"/>
          <w:szCs w:val="24"/>
        </w:rPr>
        <w:t>:</w:t>
      </w:r>
      <w:r w:rsidR="000A5723">
        <w:rPr>
          <w:rFonts w:ascii="Times New Roman" w:hAnsi="Times New Roman"/>
          <w:sz w:val="24"/>
          <w:szCs w:val="24"/>
        </w:rPr>
        <w:t xml:space="preserve"> status quo.  </w:t>
      </w:r>
      <w:r w:rsidR="00642C70" w:rsidRPr="000A5723">
        <w:rPr>
          <w:rFonts w:ascii="Times New Roman" w:hAnsi="Times New Roman"/>
          <w:sz w:val="24"/>
          <w:szCs w:val="24"/>
          <w:lang w:val="en-NZ"/>
        </w:rPr>
        <w:t>In order to be justified, the benefits to the tax system of requiring a New Zealand bank account would need to outweigh the compliance costs imposed on IRD number applicants</w:t>
      </w:r>
      <w:r w:rsidR="00642C70">
        <w:rPr>
          <w:rFonts w:ascii="Times New Roman" w:hAnsi="Times New Roman"/>
          <w:sz w:val="24"/>
          <w:szCs w:val="24"/>
          <w:lang w:val="en-NZ"/>
        </w:rPr>
        <w:t xml:space="preserve"> and administration costs on Inland Revenue itself</w:t>
      </w:r>
      <w:r w:rsidR="00642C70" w:rsidRPr="000A5723">
        <w:rPr>
          <w:rFonts w:ascii="Times New Roman" w:hAnsi="Times New Roman"/>
          <w:sz w:val="24"/>
          <w:szCs w:val="24"/>
          <w:lang w:val="en-NZ"/>
        </w:rPr>
        <w:t>. Our view is that</w:t>
      </w:r>
      <w:r w:rsidR="00424EB8">
        <w:rPr>
          <w:rFonts w:ascii="Times New Roman" w:hAnsi="Times New Roman"/>
          <w:sz w:val="24"/>
          <w:szCs w:val="24"/>
          <w:lang w:val="en-NZ"/>
        </w:rPr>
        <w:t>, although there may be short-term gains, these are difficult to quantify and</w:t>
      </w:r>
      <w:r w:rsidR="00642C70" w:rsidRPr="000A5723">
        <w:rPr>
          <w:rFonts w:ascii="Times New Roman" w:hAnsi="Times New Roman"/>
          <w:sz w:val="24"/>
          <w:szCs w:val="24"/>
          <w:lang w:val="en-NZ"/>
        </w:rPr>
        <w:t xml:space="preserve"> there will be no net benefit to the tax system </w:t>
      </w:r>
      <w:r w:rsidR="008F558B">
        <w:rPr>
          <w:rFonts w:ascii="Times New Roman" w:hAnsi="Times New Roman"/>
          <w:sz w:val="24"/>
          <w:szCs w:val="24"/>
          <w:lang w:val="en-NZ"/>
        </w:rPr>
        <w:t xml:space="preserve">in the long run.  Any advantage is likely to be limited to non-individuals, and even then only until such time as AML Phase 2 is implemented.  </w:t>
      </w:r>
    </w:p>
    <w:p w:rsidR="00D94506" w:rsidRDefault="00D94506" w:rsidP="003F40F7">
      <w:pPr>
        <w:spacing w:after="0" w:line="240" w:lineRule="auto"/>
        <w:jc w:val="both"/>
        <w:rPr>
          <w:rFonts w:ascii="Times New Roman" w:hAnsi="Times New Roman"/>
          <w:sz w:val="24"/>
          <w:szCs w:val="24"/>
          <w:lang w:val="en-NZ"/>
        </w:rPr>
      </w:pPr>
    </w:p>
    <w:p w:rsidR="00642C70" w:rsidRDefault="00D94506" w:rsidP="003F40F7">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8F558B">
        <w:rPr>
          <w:rFonts w:ascii="Times New Roman" w:hAnsi="Times New Roman"/>
          <w:sz w:val="24"/>
          <w:szCs w:val="24"/>
          <w:lang w:val="en-NZ"/>
        </w:rPr>
        <w:t>We consider that any legislation that implements option 2 should be reassessed at the time AML Phase 2 takes effect to ascertain whether it is, at that stage, only duplicating information available through the expanded AML obligations.</w:t>
      </w:r>
    </w:p>
    <w:p w:rsidR="00642C70" w:rsidRDefault="00642C70" w:rsidP="003F40F7">
      <w:pPr>
        <w:spacing w:after="0" w:line="240" w:lineRule="auto"/>
        <w:jc w:val="both"/>
        <w:rPr>
          <w:rFonts w:ascii="Times New Roman" w:hAnsi="Times New Roman"/>
          <w:sz w:val="24"/>
          <w:szCs w:val="24"/>
        </w:rPr>
      </w:pPr>
    </w:p>
    <w:p w:rsidR="000A5723" w:rsidRDefault="00334AE3" w:rsidP="003F40F7">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rPr>
        <w:t>Option 2</w:t>
      </w:r>
      <w:r w:rsidR="00DB6C97" w:rsidRPr="00CE1F44">
        <w:rPr>
          <w:rFonts w:ascii="Times New Roman" w:hAnsi="Times New Roman"/>
          <w:sz w:val="24"/>
          <w:szCs w:val="24"/>
        </w:rPr>
        <w:t xml:space="preserve"> </w:t>
      </w:r>
      <w:r w:rsidR="000A5723">
        <w:rPr>
          <w:rFonts w:ascii="Times New Roman" w:hAnsi="Times New Roman"/>
          <w:sz w:val="24"/>
          <w:szCs w:val="24"/>
        </w:rPr>
        <w:t xml:space="preserve">increases compliance costs for </w:t>
      </w:r>
      <w:r w:rsidR="00D90C27">
        <w:rPr>
          <w:rFonts w:ascii="Times New Roman" w:hAnsi="Times New Roman"/>
          <w:sz w:val="24"/>
          <w:szCs w:val="24"/>
        </w:rPr>
        <w:t xml:space="preserve">affected </w:t>
      </w:r>
      <w:r w:rsidR="00433EE1">
        <w:rPr>
          <w:rFonts w:ascii="Times New Roman" w:hAnsi="Times New Roman"/>
          <w:sz w:val="24"/>
          <w:szCs w:val="24"/>
        </w:rPr>
        <w:t>persons</w:t>
      </w:r>
      <w:r w:rsidR="000A5723">
        <w:rPr>
          <w:rFonts w:ascii="Times New Roman" w:hAnsi="Times New Roman"/>
          <w:sz w:val="24"/>
          <w:szCs w:val="24"/>
        </w:rPr>
        <w:t xml:space="preserve"> and administration costs for Inland Revenue and</w:t>
      </w:r>
      <w:r>
        <w:rPr>
          <w:rFonts w:ascii="Times New Roman" w:hAnsi="Times New Roman"/>
          <w:sz w:val="24"/>
          <w:szCs w:val="24"/>
        </w:rPr>
        <w:t>, in practice, is likely</w:t>
      </w:r>
      <w:r w:rsidR="000A5723">
        <w:rPr>
          <w:rFonts w:ascii="Times New Roman" w:hAnsi="Times New Roman"/>
          <w:sz w:val="24"/>
          <w:szCs w:val="24"/>
        </w:rPr>
        <w:t xml:space="preserve"> to provide </w:t>
      </w:r>
      <w:r w:rsidR="00D61CD9">
        <w:rPr>
          <w:rFonts w:ascii="Times New Roman" w:hAnsi="Times New Roman"/>
          <w:sz w:val="24"/>
          <w:szCs w:val="24"/>
        </w:rPr>
        <w:t xml:space="preserve">only a short term </w:t>
      </w:r>
      <w:r w:rsidR="000A5723">
        <w:rPr>
          <w:rFonts w:ascii="Times New Roman" w:hAnsi="Times New Roman"/>
          <w:sz w:val="24"/>
          <w:szCs w:val="24"/>
        </w:rPr>
        <w:t xml:space="preserve">material benefit in terms of meeting the stated objective.  </w:t>
      </w:r>
    </w:p>
    <w:p w:rsidR="00237725" w:rsidRDefault="00237725" w:rsidP="003F40F7">
      <w:pPr>
        <w:spacing w:after="0" w:line="240" w:lineRule="auto"/>
        <w:jc w:val="both"/>
        <w:rPr>
          <w:rFonts w:ascii="Times New Roman" w:hAnsi="Times New Roman"/>
          <w:sz w:val="24"/>
          <w:szCs w:val="24"/>
        </w:rPr>
      </w:pPr>
    </w:p>
    <w:p w:rsidR="00237725" w:rsidRDefault="00237725" w:rsidP="00237725">
      <w:pPr>
        <w:pStyle w:val="ListParagraph"/>
        <w:ind w:left="0" w:right="170"/>
        <w:contextualSpacing w:val="0"/>
        <w:rPr>
          <w:rFonts w:ascii="Times New Roman" w:hAnsi="Times New Roman"/>
          <w:sz w:val="24"/>
          <w:szCs w:val="24"/>
        </w:rPr>
      </w:pPr>
      <w:r w:rsidRPr="00412CC4">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rPr>
        <w:tab/>
      </w:r>
      <w:r>
        <w:rPr>
          <w:rFonts w:ascii="Times New Roman" w:hAnsi="Times New Roman"/>
          <w:sz w:val="24"/>
          <w:szCs w:val="24"/>
        </w:rPr>
        <w:t xml:space="preserve">In reaching this conclusion, we note that we have considered the options largely from a tax policy perspective.  As highlighted by the Treasury comment in paragraph 36 of this statement, there may be other “whole of government” </w:t>
      </w:r>
      <w:r w:rsidR="00AF67E9">
        <w:rPr>
          <w:rFonts w:ascii="Times New Roman" w:hAnsi="Times New Roman"/>
          <w:sz w:val="24"/>
          <w:szCs w:val="24"/>
        </w:rPr>
        <w:t>reasons</w:t>
      </w:r>
      <w:r>
        <w:rPr>
          <w:rFonts w:ascii="Times New Roman" w:hAnsi="Times New Roman"/>
          <w:sz w:val="24"/>
          <w:szCs w:val="24"/>
        </w:rPr>
        <w:t xml:space="preserve"> for preferring Option 1 that Inland Revenue is not best placed to comment on.  </w:t>
      </w:r>
    </w:p>
    <w:p w:rsidR="00237725" w:rsidRDefault="00237725" w:rsidP="003F40F7">
      <w:pPr>
        <w:spacing w:after="0" w:line="240" w:lineRule="auto"/>
        <w:jc w:val="both"/>
        <w:rPr>
          <w:rFonts w:ascii="Times New Roman" w:hAnsi="Times New Roman"/>
          <w:sz w:val="24"/>
          <w:szCs w:val="24"/>
        </w:rPr>
      </w:pPr>
    </w:p>
    <w:p w:rsidR="00DC3BCB" w:rsidRDefault="00DC3BCB" w:rsidP="003F40F7">
      <w:pPr>
        <w:spacing w:after="0" w:line="240" w:lineRule="auto"/>
        <w:jc w:val="both"/>
        <w:rPr>
          <w:rFonts w:ascii="Times New Roman" w:hAnsi="Times New Roman"/>
          <w:b/>
          <w:sz w:val="24"/>
          <w:szCs w:val="24"/>
        </w:rPr>
      </w:pPr>
    </w:p>
    <w:p w:rsidR="00C56B7C" w:rsidRPr="00182C43" w:rsidRDefault="00C56B7C" w:rsidP="003F40F7">
      <w:pPr>
        <w:spacing w:after="0" w:line="240" w:lineRule="auto"/>
        <w:jc w:val="both"/>
        <w:rPr>
          <w:rFonts w:ascii="Times New Roman" w:hAnsi="Times New Roman"/>
          <w:b/>
          <w:caps/>
          <w:sz w:val="24"/>
          <w:szCs w:val="24"/>
        </w:rPr>
      </w:pPr>
      <w:r w:rsidRPr="00182C43">
        <w:rPr>
          <w:rFonts w:ascii="Times New Roman" w:hAnsi="Times New Roman"/>
          <w:b/>
          <w:caps/>
          <w:sz w:val="24"/>
          <w:szCs w:val="24"/>
        </w:rPr>
        <w:t>Implementation</w:t>
      </w:r>
    </w:p>
    <w:p w:rsidR="00C56B7C" w:rsidRDefault="00C56B7C" w:rsidP="003F40F7">
      <w:pPr>
        <w:spacing w:after="0" w:line="240" w:lineRule="auto"/>
        <w:jc w:val="both"/>
        <w:rPr>
          <w:rFonts w:ascii="Times New Roman" w:hAnsi="Times New Roman"/>
          <w:sz w:val="24"/>
          <w:szCs w:val="24"/>
        </w:rPr>
      </w:pPr>
    </w:p>
    <w:p w:rsidR="000A1DF5" w:rsidRDefault="00412CC4" w:rsidP="003F40F7">
      <w:pPr>
        <w:spacing w:after="0" w:line="240" w:lineRule="auto"/>
        <w:jc w:val="both"/>
        <w:rPr>
          <w:rFonts w:ascii="Times New Roman" w:hAnsi="Times New Roman"/>
          <w:sz w:val="24"/>
          <w:szCs w:val="24"/>
          <w:lang w:val="en-NZ"/>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0A1DF5">
        <w:rPr>
          <w:rFonts w:ascii="Times New Roman" w:hAnsi="Times New Roman"/>
          <w:sz w:val="24"/>
          <w:szCs w:val="24"/>
          <w:lang w:val="en-NZ"/>
        </w:rPr>
        <w:t xml:space="preserve">Option </w:t>
      </w:r>
      <w:r w:rsidR="00A11F20">
        <w:rPr>
          <w:rFonts w:ascii="Times New Roman" w:hAnsi="Times New Roman"/>
          <w:sz w:val="24"/>
          <w:szCs w:val="24"/>
          <w:lang w:val="en-NZ"/>
        </w:rPr>
        <w:t>1</w:t>
      </w:r>
      <w:r w:rsidR="000A1DF5" w:rsidRPr="00A11F20">
        <w:rPr>
          <w:rFonts w:ascii="Times New Roman" w:hAnsi="Times New Roman"/>
          <w:sz w:val="24"/>
          <w:szCs w:val="24"/>
          <w:lang w:val="en-NZ"/>
        </w:rPr>
        <w:t xml:space="preserve"> </w:t>
      </w:r>
      <w:r w:rsidR="00433EE1">
        <w:rPr>
          <w:rFonts w:ascii="Times New Roman" w:hAnsi="Times New Roman"/>
          <w:sz w:val="24"/>
          <w:szCs w:val="24"/>
          <w:lang w:val="en-NZ"/>
        </w:rPr>
        <w:t>does</w:t>
      </w:r>
      <w:r w:rsidR="000A1DF5">
        <w:rPr>
          <w:rFonts w:ascii="Times New Roman" w:hAnsi="Times New Roman"/>
          <w:sz w:val="24"/>
          <w:szCs w:val="24"/>
          <w:lang w:val="en-NZ"/>
        </w:rPr>
        <w:t xml:space="preserve"> not require legislation to implement.  Legislative change is required to implement </w:t>
      </w:r>
      <w:r w:rsidR="00433EE1">
        <w:rPr>
          <w:rFonts w:ascii="Times New Roman" w:hAnsi="Times New Roman"/>
          <w:sz w:val="24"/>
          <w:szCs w:val="24"/>
          <w:lang w:val="en-NZ"/>
        </w:rPr>
        <w:t>option 2</w:t>
      </w:r>
      <w:r w:rsidR="000A1DF5">
        <w:rPr>
          <w:rFonts w:ascii="Times New Roman" w:hAnsi="Times New Roman"/>
          <w:sz w:val="24"/>
          <w:szCs w:val="24"/>
          <w:lang w:val="en-NZ"/>
        </w:rPr>
        <w:t>.</w:t>
      </w:r>
    </w:p>
    <w:p w:rsidR="000A1DF5" w:rsidRDefault="000A1DF5" w:rsidP="003F40F7">
      <w:pPr>
        <w:spacing w:after="0" w:line="240" w:lineRule="auto"/>
        <w:jc w:val="both"/>
        <w:rPr>
          <w:rFonts w:ascii="Times New Roman" w:hAnsi="Times New Roman"/>
          <w:sz w:val="24"/>
          <w:szCs w:val="24"/>
          <w:lang w:val="en-NZ"/>
        </w:rPr>
      </w:pPr>
    </w:p>
    <w:p w:rsidR="007934F0" w:rsidRDefault="003F40F7" w:rsidP="003F40F7">
      <w:pPr>
        <w:spacing w:after="0" w:line="240" w:lineRule="auto"/>
        <w:jc w:val="both"/>
        <w:rPr>
          <w:rFonts w:ascii="Times New Roman" w:hAnsi="Times New Roman"/>
          <w:sz w:val="24"/>
          <w:szCs w:val="24"/>
          <w:lang w:val="en-NZ"/>
        </w:rPr>
      </w:pPr>
      <w:r w:rsidRPr="003F40F7">
        <w:rPr>
          <w:rFonts w:ascii="Times New Roman" w:hAnsi="Times New Roman"/>
          <w:sz w:val="24"/>
          <w:szCs w:val="24"/>
          <w:lang w:val="en-NZ"/>
        </w:rPr>
        <w:fldChar w:fldCharType="begin"/>
      </w:r>
      <w:r w:rsidRPr="003F40F7">
        <w:rPr>
          <w:rFonts w:ascii="Times New Roman" w:hAnsi="Times New Roman"/>
          <w:sz w:val="24"/>
          <w:szCs w:val="24"/>
          <w:lang w:val="en-NZ"/>
        </w:rPr>
        <w:instrText xml:space="preserve"> AUTONUM  </w:instrText>
      </w:r>
      <w:r w:rsidRPr="003F40F7">
        <w:rPr>
          <w:rFonts w:ascii="Times New Roman" w:hAnsi="Times New Roman"/>
          <w:sz w:val="24"/>
          <w:szCs w:val="24"/>
          <w:lang w:val="en-NZ"/>
        </w:rPr>
        <w:fldChar w:fldCharType="end"/>
      </w:r>
      <w:r w:rsidRPr="003F40F7">
        <w:rPr>
          <w:rFonts w:ascii="Times New Roman" w:hAnsi="Times New Roman"/>
          <w:sz w:val="24"/>
          <w:szCs w:val="24"/>
          <w:lang w:val="en-NZ"/>
        </w:rPr>
        <w:tab/>
      </w:r>
      <w:r w:rsidR="00334AE3">
        <w:rPr>
          <w:rFonts w:ascii="Times New Roman" w:hAnsi="Times New Roman"/>
          <w:sz w:val="24"/>
          <w:szCs w:val="24"/>
          <w:lang w:val="en-NZ"/>
        </w:rPr>
        <w:t xml:space="preserve">Any legislative amendments required to implement option 2 </w:t>
      </w:r>
      <w:r w:rsidR="00F307D9">
        <w:rPr>
          <w:rFonts w:ascii="Times New Roman" w:hAnsi="Times New Roman"/>
          <w:sz w:val="24"/>
          <w:szCs w:val="24"/>
          <w:lang w:val="en-NZ"/>
        </w:rPr>
        <w:t>will be</w:t>
      </w:r>
      <w:r w:rsidR="00A557D0">
        <w:rPr>
          <w:rFonts w:ascii="Times New Roman" w:hAnsi="Times New Roman"/>
          <w:sz w:val="24"/>
          <w:szCs w:val="24"/>
          <w:lang w:val="en-NZ"/>
        </w:rPr>
        <w:t xml:space="preserve"> included</w:t>
      </w:r>
      <w:r w:rsidR="000A1DF5">
        <w:rPr>
          <w:rFonts w:ascii="Times New Roman" w:hAnsi="Times New Roman"/>
          <w:sz w:val="24"/>
          <w:szCs w:val="24"/>
          <w:lang w:val="en-NZ"/>
        </w:rPr>
        <w:t xml:space="preserve"> in the </w:t>
      </w:r>
      <w:r w:rsidR="00EB240F" w:rsidRPr="00EB240F">
        <w:rPr>
          <w:rFonts w:ascii="Times New Roman" w:hAnsi="Times New Roman"/>
          <w:sz w:val="24"/>
          <w:szCs w:val="24"/>
          <w:lang w:val="en-NZ"/>
        </w:rPr>
        <w:t>Taxation (Land Information and Offshore Persons Information) Bill</w:t>
      </w:r>
      <w:r w:rsidR="00EB240F">
        <w:rPr>
          <w:rFonts w:ascii="Times New Roman" w:hAnsi="Times New Roman"/>
          <w:sz w:val="24"/>
          <w:szCs w:val="24"/>
          <w:lang w:val="en-NZ"/>
        </w:rPr>
        <w:t xml:space="preserve"> </w:t>
      </w:r>
      <w:r w:rsidR="003C1DF1">
        <w:rPr>
          <w:rFonts w:ascii="Times New Roman" w:hAnsi="Times New Roman"/>
          <w:sz w:val="24"/>
          <w:szCs w:val="24"/>
          <w:lang w:val="en-NZ"/>
        </w:rPr>
        <w:t xml:space="preserve">and </w:t>
      </w:r>
      <w:r w:rsidR="00A557D0">
        <w:rPr>
          <w:rFonts w:ascii="Times New Roman" w:hAnsi="Times New Roman"/>
          <w:sz w:val="24"/>
          <w:szCs w:val="24"/>
          <w:lang w:val="en-NZ"/>
        </w:rPr>
        <w:t xml:space="preserve">are intended to take </w:t>
      </w:r>
      <w:r w:rsidR="00A557D0">
        <w:rPr>
          <w:rFonts w:ascii="Times New Roman" w:hAnsi="Times New Roman"/>
          <w:sz w:val="24"/>
          <w:szCs w:val="24"/>
          <w:lang w:val="en-NZ"/>
        </w:rPr>
        <w:lastRenderedPageBreak/>
        <w:t>effect</w:t>
      </w:r>
      <w:r w:rsidR="003C1DF1">
        <w:rPr>
          <w:rFonts w:ascii="Times New Roman" w:hAnsi="Times New Roman"/>
          <w:sz w:val="24"/>
          <w:szCs w:val="24"/>
          <w:lang w:val="en-NZ"/>
        </w:rPr>
        <w:t xml:space="preserve"> from </w:t>
      </w:r>
      <w:r w:rsidR="00433EE1">
        <w:rPr>
          <w:rFonts w:ascii="Times New Roman" w:hAnsi="Times New Roman"/>
          <w:sz w:val="24"/>
          <w:szCs w:val="24"/>
          <w:lang w:val="en-NZ"/>
        </w:rPr>
        <w:t xml:space="preserve">1 </w:t>
      </w:r>
      <w:r w:rsidR="00642C70">
        <w:rPr>
          <w:rFonts w:ascii="Times New Roman" w:hAnsi="Times New Roman"/>
          <w:sz w:val="24"/>
          <w:szCs w:val="24"/>
          <w:lang w:val="en-NZ"/>
        </w:rPr>
        <w:t>October</w:t>
      </w:r>
      <w:r w:rsidR="00433EE1">
        <w:rPr>
          <w:rFonts w:ascii="Times New Roman" w:hAnsi="Times New Roman"/>
          <w:sz w:val="24"/>
          <w:szCs w:val="24"/>
          <w:lang w:val="en-NZ"/>
        </w:rPr>
        <w:t xml:space="preserve"> 2015</w:t>
      </w:r>
      <w:r w:rsidR="000A1DF5">
        <w:rPr>
          <w:rFonts w:ascii="Times New Roman" w:hAnsi="Times New Roman"/>
          <w:sz w:val="24"/>
          <w:szCs w:val="24"/>
          <w:lang w:val="en-NZ"/>
        </w:rPr>
        <w:t>.</w:t>
      </w:r>
      <w:r w:rsidR="00A366D2">
        <w:rPr>
          <w:rFonts w:ascii="Times New Roman" w:hAnsi="Times New Roman"/>
          <w:sz w:val="24"/>
          <w:szCs w:val="24"/>
          <w:lang w:val="en-NZ"/>
        </w:rPr>
        <w:t xml:space="preserve">  </w:t>
      </w:r>
      <w:r w:rsidR="007934F0">
        <w:rPr>
          <w:rFonts w:ascii="Times New Roman" w:hAnsi="Times New Roman"/>
          <w:sz w:val="24"/>
          <w:szCs w:val="24"/>
          <w:lang w:val="en-NZ"/>
        </w:rPr>
        <w:t xml:space="preserve">Material will be provided as part of the standard </w:t>
      </w:r>
      <w:r w:rsidR="008F558B">
        <w:rPr>
          <w:rFonts w:ascii="Times New Roman" w:hAnsi="Times New Roman"/>
          <w:sz w:val="24"/>
          <w:szCs w:val="24"/>
          <w:lang w:val="en-NZ"/>
        </w:rPr>
        <w:t>bill introduction process</w:t>
      </w:r>
      <w:r w:rsidR="007934F0">
        <w:rPr>
          <w:rFonts w:ascii="Times New Roman" w:hAnsi="Times New Roman"/>
          <w:sz w:val="24"/>
          <w:szCs w:val="24"/>
          <w:lang w:val="en-NZ"/>
        </w:rPr>
        <w:t>.</w:t>
      </w:r>
    </w:p>
    <w:p w:rsidR="007934F0" w:rsidRDefault="007934F0" w:rsidP="003F40F7">
      <w:pPr>
        <w:spacing w:after="0" w:line="240" w:lineRule="auto"/>
        <w:jc w:val="both"/>
        <w:rPr>
          <w:rFonts w:ascii="Times New Roman" w:hAnsi="Times New Roman"/>
          <w:sz w:val="24"/>
          <w:szCs w:val="24"/>
          <w:lang w:val="en-NZ"/>
        </w:rPr>
      </w:pPr>
    </w:p>
    <w:p w:rsidR="000A1DF5" w:rsidRDefault="00642C70" w:rsidP="003F40F7">
      <w:pPr>
        <w:spacing w:after="0" w:line="240" w:lineRule="auto"/>
        <w:jc w:val="both"/>
        <w:rPr>
          <w:rFonts w:ascii="Times New Roman" w:hAnsi="Times New Roman"/>
          <w:sz w:val="24"/>
          <w:szCs w:val="24"/>
          <w:lang w:val="en-NZ"/>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433EE1">
        <w:rPr>
          <w:rFonts w:ascii="Times New Roman" w:hAnsi="Times New Roman"/>
          <w:sz w:val="24"/>
          <w:szCs w:val="24"/>
          <w:lang w:val="en-NZ"/>
        </w:rPr>
        <w:t xml:space="preserve">Inland Revenue will be required to update forms and communication material prior to </w:t>
      </w:r>
      <w:r w:rsidR="007934F0">
        <w:rPr>
          <w:rFonts w:ascii="Times New Roman" w:hAnsi="Times New Roman"/>
          <w:sz w:val="24"/>
          <w:szCs w:val="24"/>
          <w:lang w:val="en-NZ"/>
        </w:rPr>
        <w:t xml:space="preserve">the proposed implementation date of 1 </w:t>
      </w:r>
      <w:r>
        <w:rPr>
          <w:rFonts w:ascii="Times New Roman" w:hAnsi="Times New Roman"/>
          <w:sz w:val="24"/>
          <w:szCs w:val="24"/>
          <w:lang w:val="en-NZ"/>
        </w:rPr>
        <w:t>October</w:t>
      </w:r>
      <w:r w:rsidR="007934F0">
        <w:rPr>
          <w:rFonts w:ascii="Times New Roman" w:hAnsi="Times New Roman"/>
          <w:sz w:val="24"/>
          <w:szCs w:val="24"/>
          <w:lang w:val="en-NZ"/>
        </w:rPr>
        <w:t xml:space="preserve"> 2015</w:t>
      </w:r>
      <w:r w:rsidR="00433EE1">
        <w:rPr>
          <w:rFonts w:ascii="Times New Roman" w:hAnsi="Times New Roman"/>
          <w:sz w:val="24"/>
          <w:szCs w:val="24"/>
          <w:lang w:val="en-NZ"/>
        </w:rPr>
        <w:t>.</w:t>
      </w:r>
    </w:p>
    <w:p w:rsidR="000A1DF5" w:rsidRDefault="000A1DF5" w:rsidP="003F40F7">
      <w:pPr>
        <w:spacing w:after="0" w:line="240" w:lineRule="auto"/>
        <w:jc w:val="both"/>
        <w:rPr>
          <w:rFonts w:ascii="Times New Roman" w:hAnsi="Times New Roman"/>
          <w:sz w:val="24"/>
          <w:szCs w:val="24"/>
          <w:lang w:val="en-NZ"/>
        </w:rPr>
      </w:pPr>
    </w:p>
    <w:p w:rsidR="00412CC4" w:rsidRDefault="00412CC4" w:rsidP="003F40F7">
      <w:pPr>
        <w:spacing w:after="0" w:line="240" w:lineRule="auto"/>
        <w:jc w:val="both"/>
        <w:rPr>
          <w:rFonts w:ascii="Times New Roman" w:hAnsi="Times New Roman"/>
          <w:sz w:val="24"/>
          <w:szCs w:val="24"/>
        </w:rPr>
      </w:pPr>
    </w:p>
    <w:p w:rsidR="00FC5A75" w:rsidRPr="00C5790C" w:rsidRDefault="00FC5A75" w:rsidP="003F40F7">
      <w:pPr>
        <w:spacing w:after="0" w:line="240" w:lineRule="auto"/>
        <w:jc w:val="both"/>
        <w:rPr>
          <w:rFonts w:ascii="Times New Roman" w:hAnsi="Times New Roman"/>
          <w:b/>
          <w:caps/>
          <w:sz w:val="24"/>
          <w:szCs w:val="24"/>
        </w:rPr>
      </w:pPr>
      <w:r w:rsidRPr="00C5790C">
        <w:rPr>
          <w:rFonts w:ascii="Times New Roman" w:hAnsi="Times New Roman"/>
          <w:b/>
          <w:caps/>
          <w:sz w:val="24"/>
          <w:szCs w:val="24"/>
        </w:rPr>
        <w:t>Monitoring, Evaluation and Review</w:t>
      </w:r>
    </w:p>
    <w:p w:rsidR="00FC5A75" w:rsidRPr="00412CC4" w:rsidRDefault="00FC5A75" w:rsidP="003F40F7">
      <w:pPr>
        <w:spacing w:after="0" w:line="240" w:lineRule="auto"/>
        <w:jc w:val="both"/>
        <w:rPr>
          <w:rFonts w:ascii="Times New Roman" w:hAnsi="Times New Roman"/>
          <w:sz w:val="24"/>
          <w:szCs w:val="24"/>
        </w:rPr>
      </w:pPr>
    </w:p>
    <w:p w:rsidR="00F865DC" w:rsidRDefault="00412CC4" w:rsidP="003F40F7">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8F558B">
        <w:rPr>
          <w:rFonts w:ascii="Times New Roman" w:hAnsi="Times New Roman"/>
          <w:sz w:val="24"/>
          <w:szCs w:val="24"/>
        </w:rPr>
        <w:t xml:space="preserve">Other than the review mentioned in paragraph </w:t>
      </w:r>
      <w:r w:rsidR="009C77B9">
        <w:rPr>
          <w:rFonts w:ascii="Times New Roman" w:hAnsi="Times New Roman"/>
          <w:sz w:val="24"/>
          <w:szCs w:val="24"/>
        </w:rPr>
        <w:t>3</w:t>
      </w:r>
      <w:r w:rsidR="008F558B">
        <w:rPr>
          <w:rFonts w:ascii="Times New Roman" w:hAnsi="Times New Roman"/>
          <w:sz w:val="24"/>
          <w:szCs w:val="24"/>
        </w:rPr>
        <w:t xml:space="preserve">2, there </w:t>
      </w:r>
      <w:r w:rsidR="00FC5A75">
        <w:rPr>
          <w:rFonts w:ascii="Times New Roman" w:hAnsi="Times New Roman"/>
          <w:sz w:val="24"/>
          <w:szCs w:val="24"/>
        </w:rPr>
        <w:t xml:space="preserve">are no specific plans to monitor, evaluate and review the changes to give effect to </w:t>
      </w:r>
      <w:r w:rsidR="002B7B9A">
        <w:rPr>
          <w:rFonts w:ascii="Times New Roman" w:hAnsi="Times New Roman"/>
          <w:sz w:val="24"/>
          <w:szCs w:val="24"/>
        </w:rPr>
        <w:t>any legislative amendment required to implement option 2</w:t>
      </w:r>
      <w:r w:rsidR="00FC5A75">
        <w:rPr>
          <w:rFonts w:ascii="Times New Roman" w:hAnsi="Times New Roman"/>
          <w:sz w:val="24"/>
          <w:szCs w:val="24"/>
        </w:rPr>
        <w:t>.</w:t>
      </w:r>
      <w:r w:rsidR="0046776F">
        <w:rPr>
          <w:rFonts w:ascii="Times New Roman" w:hAnsi="Times New Roman"/>
          <w:sz w:val="24"/>
          <w:szCs w:val="24"/>
        </w:rPr>
        <w:t xml:space="preserve">  If any detailed concerns are raised in relation to these changes, Inland Revenue will determine whether there are substantive grounds for review under the Generic Tax Policy Process (GTPP).</w:t>
      </w:r>
      <w:bookmarkStart w:id="7" w:name="_Preferred_option_[optional]"/>
      <w:bookmarkEnd w:id="7"/>
    </w:p>
    <w:p w:rsidR="00F865DC" w:rsidRDefault="00F865DC" w:rsidP="003F40F7">
      <w:pPr>
        <w:spacing w:after="0" w:line="240" w:lineRule="auto"/>
        <w:jc w:val="both"/>
        <w:rPr>
          <w:rFonts w:ascii="Times New Roman" w:hAnsi="Times New Roman"/>
          <w:sz w:val="24"/>
          <w:szCs w:val="24"/>
        </w:rPr>
      </w:pPr>
    </w:p>
    <w:sectPr w:rsidR="00F865DC" w:rsidSect="006221D1">
      <w:pgSz w:w="11907" w:h="16840" w:code="9"/>
      <w:pgMar w:top="1134" w:right="1418"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9C" w:rsidRDefault="00D11A9C" w:rsidP="00F72085">
      <w:r>
        <w:separator/>
      </w:r>
    </w:p>
  </w:endnote>
  <w:endnote w:type="continuationSeparator" w:id="0">
    <w:p w:rsidR="00D11A9C" w:rsidRDefault="00D11A9C"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9C" w:rsidRPr="00E1736A" w:rsidRDefault="00D11A9C" w:rsidP="00E1736A">
    <w:pPr>
      <w:pStyle w:val="Footer"/>
      <w:jc w:val="left"/>
      <w:rPr>
        <w:lang w:val="mi-N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9C" w:rsidRDefault="00D11A9C"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11A9C" w:rsidRPr="00281580" w:rsidRDefault="00D11A9C" w:rsidP="00594805">
    <w:pPr>
      <w:pStyle w:val="EvenFooter"/>
      <w:rPr>
        <w:caps/>
      </w:rPr>
    </w:pPr>
    <w:r w:rsidRPr="00281580">
      <w:t xml:space="preserve">   |   </w:t>
    </w:r>
    <w:r>
      <w:t>Regulatory Impact Statement - Template</w:t>
    </w:r>
  </w:p>
  <w:p w:rsidR="00D11A9C" w:rsidRDefault="00D11A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9C" w:rsidRPr="00E1736A" w:rsidRDefault="00D11A9C" w:rsidP="00E17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9C" w:rsidRDefault="00D11A9C" w:rsidP="00F72085">
      <w:r>
        <w:separator/>
      </w:r>
    </w:p>
  </w:footnote>
  <w:footnote w:type="continuationSeparator" w:id="0">
    <w:p w:rsidR="00D11A9C" w:rsidRDefault="00D11A9C" w:rsidP="00F72085">
      <w:r>
        <w:continuationSeparator/>
      </w:r>
    </w:p>
  </w:footnote>
  <w:footnote w:id="1">
    <w:p w:rsidR="00D11A9C" w:rsidRPr="00D11A9C" w:rsidRDefault="00D11A9C" w:rsidP="00D11A9C">
      <w:pPr>
        <w:pStyle w:val="FootnoteText"/>
        <w:ind w:firstLine="1"/>
        <w:rPr>
          <w:rFonts w:ascii="Times New Roman" w:hAnsi="Times New Roman"/>
          <w:szCs w:val="18"/>
          <w:lang w:val="en-NZ"/>
        </w:rPr>
      </w:pPr>
      <w:r w:rsidRPr="00D11A9C">
        <w:rPr>
          <w:rStyle w:val="FootnoteReference"/>
          <w:rFonts w:ascii="Times New Roman" w:hAnsi="Times New Roman"/>
          <w:sz w:val="18"/>
          <w:szCs w:val="18"/>
        </w:rPr>
        <w:footnoteRef/>
      </w:r>
      <w:r w:rsidRPr="00D11A9C">
        <w:rPr>
          <w:rFonts w:ascii="Times New Roman" w:hAnsi="Times New Roman"/>
          <w:szCs w:val="18"/>
        </w:rPr>
        <w:t>The remainder of this statement, consistent with the draft legislation, uses the term “offshore person” in preference to “non-resident”</w:t>
      </w:r>
      <w:r>
        <w:rPr>
          <w:rFonts w:ascii="Times New Roman" w:hAnsi="Times New Roman"/>
          <w:szCs w:val="18"/>
        </w:rPr>
        <w:t xml:space="preserve"> where appropriate</w:t>
      </w:r>
      <w:r w:rsidRPr="00D11A9C">
        <w:rPr>
          <w:rFonts w:ascii="Times New Roman" w:hAnsi="Times New Roman"/>
          <w:szCs w:val="18"/>
        </w:rPr>
        <w:t xml:space="preserve">.  This is because, “non-resident” has a specific meaning in a tax context and that meaning is not completely synonymous with the target group for this measure. </w:t>
      </w:r>
      <w:r>
        <w:rPr>
          <w:rFonts w:ascii="Times New Roman" w:hAnsi="Times New Roman"/>
          <w:szCs w:val="18"/>
        </w:rPr>
        <w:t xml:space="preserve"> Note also that this statement uses the term “bank account” as shorthand for the types of account covered by the draft legislation.   </w:t>
      </w:r>
    </w:p>
  </w:footnote>
  <w:footnote w:id="2">
    <w:p w:rsidR="00D11A9C" w:rsidRPr="002727AE" w:rsidRDefault="00D11A9C">
      <w:pPr>
        <w:pStyle w:val="FootnoteText"/>
        <w:rPr>
          <w:lang w:val="en-NZ"/>
        </w:rPr>
      </w:pPr>
      <w:r>
        <w:rPr>
          <w:rStyle w:val="FootnoteReference"/>
        </w:rPr>
        <w:footnoteRef/>
      </w:r>
      <w:r>
        <w:t xml:space="preserve"> </w:t>
      </w:r>
      <w:r>
        <w:rPr>
          <w:rFonts w:ascii="Times New Roman" w:hAnsi="Times New Roman"/>
          <w:sz w:val="24"/>
          <w:szCs w:val="24"/>
        </w:rPr>
        <w:t>Inland Revenue considers that the Commissioner could, in theory, require a bank account under her existing statutory powers, but has not chosen to exercise her authority to impose such a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9C" w:rsidRPr="001B5992" w:rsidRDefault="00D11A9C" w:rsidP="00AD50FA">
    <w:pPr>
      <w:pStyle w:val="Header"/>
      <w:jc w:val="center"/>
      <w:rPr>
        <w:rFonts w:ascii="Times New Roman" w:hAnsi="Times New Roman"/>
        <w:sz w:val="24"/>
        <w:szCs w:val="24"/>
        <w:lang w:val="mi-N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9C" w:rsidRPr="00E1736A" w:rsidRDefault="00D11A9C" w:rsidP="00E17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BC2"/>
    <w:multiLevelType w:val="hybridMultilevel"/>
    <w:tmpl w:val="28CEF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487F05"/>
    <w:multiLevelType w:val="hybridMultilevel"/>
    <w:tmpl w:val="61382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ACA19FA"/>
    <w:multiLevelType w:val="hybridMultilevel"/>
    <w:tmpl w:val="7E843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801FBF"/>
    <w:multiLevelType w:val="hybridMultilevel"/>
    <w:tmpl w:val="23807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70033C"/>
    <w:multiLevelType w:val="hybridMultilevel"/>
    <w:tmpl w:val="AE7C488C"/>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6AF61DA"/>
    <w:multiLevelType w:val="hybridMultilevel"/>
    <w:tmpl w:val="A3D81B74"/>
    <w:lvl w:ilvl="0" w:tplc="5824EE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8860313"/>
    <w:multiLevelType w:val="hybridMultilevel"/>
    <w:tmpl w:val="2EE0D0A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nsid w:val="1A417075"/>
    <w:multiLevelType w:val="hybridMultilevel"/>
    <w:tmpl w:val="24320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C8C56C8"/>
    <w:multiLevelType w:val="hybridMultilevel"/>
    <w:tmpl w:val="E5E64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D7F51E7"/>
    <w:multiLevelType w:val="hybridMultilevel"/>
    <w:tmpl w:val="AFDE7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3E715C8"/>
    <w:multiLevelType w:val="hybridMultilevel"/>
    <w:tmpl w:val="94AACA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6926BC1"/>
    <w:multiLevelType w:val="hybridMultilevel"/>
    <w:tmpl w:val="32962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A2C19AA"/>
    <w:multiLevelType w:val="hybridMultilevel"/>
    <w:tmpl w:val="7C10D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5">
    <w:nsid w:val="32F17B8A"/>
    <w:multiLevelType w:val="hybridMultilevel"/>
    <w:tmpl w:val="410CF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9FC2FB6"/>
    <w:multiLevelType w:val="hybridMultilevel"/>
    <w:tmpl w:val="0A4AF7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02E630A"/>
    <w:multiLevelType w:val="hybridMultilevel"/>
    <w:tmpl w:val="A74A6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05B131B"/>
    <w:multiLevelType w:val="hybridMultilevel"/>
    <w:tmpl w:val="58345AFC"/>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21">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DD369B7"/>
    <w:multiLevelType w:val="hybridMultilevel"/>
    <w:tmpl w:val="B8508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2566798"/>
    <w:multiLevelType w:val="hybridMultilevel"/>
    <w:tmpl w:val="E8AE00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A21792E"/>
    <w:multiLevelType w:val="hybridMultilevel"/>
    <w:tmpl w:val="5F4C4212"/>
    <w:lvl w:ilvl="0" w:tplc="19067874">
      <w:numFmt w:val="bullet"/>
      <w:lvlText w:val="•"/>
      <w:lvlJc w:val="left"/>
      <w:pPr>
        <w:ind w:left="930" w:hanging="57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E3D1D84"/>
    <w:multiLevelType w:val="hybridMultilevel"/>
    <w:tmpl w:val="17684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F72747D"/>
    <w:multiLevelType w:val="hybridMultilevel"/>
    <w:tmpl w:val="4D7873CA"/>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27">
    <w:nsid w:val="615675E3"/>
    <w:multiLevelType w:val="hybridMultilevel"/>
    <w:tmpl w:val="87C637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54A22E5"/>
    <w:multiLevelType w:val="hybridMultilevel"/>
    <w:tmpl w:val="B0CE3C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nsid w:val="656D5578"/>
    <w:multiLevelType w:val="hybridMultilevel"/>
    <w:tmpl w:val="BA68A46A"/>
    <w:lvl w:ilvl="0" w:tplc="C17C65E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C473C2C"/>
    <w:multiLevelType w:val="hybridMultilevel"/>
    <w:tmpl w:val="2960984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6CC040DD"/>
    <w:multiLevelType w:val="hybridMultilevel"/>
    <w:tmpl w:val="3A66D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3A00AA0"/>
    <w:multiLevelType w:val="hybridMultilevel"/>
    <w:tmpl w:val="93C8C2A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4">
    <w:nsid w:val="77F117DA"/>
    <w:multiLevelType w:val="hybridMultilevel"/>
    <w:tmpl w:val="6A5CA652"/>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35">
    <w:nsid w:val="780D6E08"/>
    <w:multiLevelType w:val="hybridMultilevel"/>
    <w:tmpl w:val="DD80F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89A0B8F"/>
    <w:multiLevelType w:val="hybridMultilevel"/>
    <w:tmpl w:val="5EE4E09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7">
    <w:nsid w:val="793C56A9"/>
    <w:multiLevelType w:val="hybridMultilevel"/>
    <w:tmpl w:val="900A6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B567794"/>
    <w:multiLevelType w:val="hybridMultilevel"/>
    <w:tmpl w:val="8A742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5"/>
  </w:num>
  <w:num w:numId="4">
    <w:abstractNumId w:val="2"/>
  </w:num>
  <w:num w:numId="5">
    <w:abstractNumId w:val="30"/>
  </w:num>
  <w:num w:numId="6">
    <w:abstractNumId w:val="21"/>
  </w:num>
  <w:num w:numId="7">
    <w:abstractNumId w:val="26"/>
  </w:num>
  <w:num w:numId="8">
    <w:abstractNumId w:val="28"/>
  </w:num>
  <w:num w:numId="9">
    <w:abstractNumId w:val="20"/>
  </w:num>
  <w:num w:numId="10">
    <w:abstractNumId w:val="33"/>
  </w:num>
  <w:num w:numId="11">
    <w:abstractNumId w:val="6"/>
  </w:num>
  <w:num w:numId="12">
    <w:abstractNumId w:val="23"/>
  </w:num>
  <w:num w:numId="13">
    <w:abstractNumId w:val="3"/>
  </w:num>
  <w:num w:numId="14">
    <w:abstractNumId w:val="25"/>
  </w:num>
  <w:num w:numId="15">
    <w:abstractNumId w:val="10"/>
  </w:num>
  <w:num w:numId="16">
    <w:abstractNumId w:val="22"/>
  </w:num>
  <w:num w:numId="17">
    <w:abstractNumId w:val="4"/>
  </w:num>
  <w:num w:numId="18">
    <w:abstractNumId w:val="35"/>
  </w:num>
  <w:num w:numId="19">
    <w:abstractNumId w:val="19"/>
  </w:num>
  <w:num w:numId="20">
    <w:abstractNumId w:val="13"/>
  </w:num>
  <w:num w:numId="21">
    <w:abstractNumId w:val="32"/>
  </w:num>
  <w:num w:numId="22">
    <w:abstractNumId w:val="12"/>
  </w:num>
  <w:num w:numId="23">
    <w:abstractNumId w:val="0"/>
  </w:num>
  <w:num w:numId="24">
    <w:abstractNumId w:val="15"/>
  </w:num>
  <w:num w:numId="25">
    <w:abstractNumId w:val="8"/>
  </w:num>
  <w:num w:numId="26">
    <w:abstractNumId w:val="1"/>
  </w:num>
  <w:num w:numId="27">
    <w:abstractNumId w:val="29"/>
  </w:num>
  <w:num w:numId="28">
    <w:abstractNumId w:val="27"/>
  </w:num>
  <w:num w:numId="29">
    <w:abstractNumId w:val="31"/>
  </w:num>
  <w:num w:numId="30">
    <w:abstractNumId w:val="37"/>
  </w:num>
  <w:num w:numId="31">
    <w:abstractNumId w:val="11"/>
  </w:num>
  <w:num w:numId="32">
    <w:abstractNumId w:val="36"/>
  </w:num>
  <w:num w:numId="33">
    <w:abstractNumId w:val="16"/>
  </w:num>
  <w:num w:numId="34">
    <w:abstractNumId w:val="7"/>
  </w:num>
  <w:num w:numId="35">
    <w:abstractNumId w:val="16"/>
  </w:num>
  <w:num w:numId="36">
    <w:abstractNumId w:val="16"/>
  </w:num>
  <w:num w:numId="37">
    <w:abstractNumId w:val="18"/>
  </w:num>
  <w:num w:numId="38">
    <w:abstractNumId w:val="38"/>
  </w:num>
  <w:num w:numId="39">
    <w:abstractNumId w:val="9"/>
  </w:num>
  <w:num w:numId="40">
    <w:abstractNumId w:val="24"/>
  </w:num>
  <w:num w:numId="4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72"/>
    <w:rsid w:val="00001539"/>
    <w:rsid w:val="00002433"/>
    <w:rsid w:val="000037F4"/>
    <w:rsid w:val="00004A8A"/>
    <w:rsid w:val="00005DC9"/>
    <w:rsid w:val="00006652"/>
    <w:rsid w:val="00006A4C"/>
    <w:rsid w:val="00010986"/>
    <w:rsid w:val="00010F7D"/>
    <w:rsid w:val="00012338"/>
    <w:rsid w:val="00013A18"/>
    <w:rsid w:val="00014196"/>
    <w:rsid w:val="000147DC"/>
    <w:rsid w:val="00015072"/>
    <w:rsid w:val="00016722"/>
    <w:rsid w:val="0002068B"/>
    <w:rsid w:val="000232EB"/>
    <w:rsid w:val="00023BAB"/>
    <w:rsid w:val="00023EA6"/>
    <w:rsid w:val="00024B22"/>
    <w:rsid w:val="0002568E"/>
    <w:rsid w:val="00025954"/>
    <w:rsid w:val="00030890"/>
    <w:rsid w:val="00030DEA"/>
    <w:rsid w:val="00032238"/>
    <w:rsid w:val="00032ABA"/>
    <w:rsid w:val="000332EA"/>
    <w:rsid w:val="00033950"/>
    <w:rsid w:val="000343E7"/>
    <w:rsid w:val="00035185"/>
    <w:rsid w:val="00036A3D"/>
    <w:rsid w:val="00036EE4"/>
    <w:rsid w:val="00041469"/>
    <w:rsid w:val="00041CD1"/>
    <w:rsid w:val="0004221C"/>
    <w:rsid w:val="000431FE"/>
    <w:rsid w:val="000435AD"/>
    <w:rsid w:val="00045AFC"/>
    <w:rsid w:val="00046F46"/>
    <w:rsid w:val="00047559"/>
    <w:rsid w:val="000523FC"/>
    <w:rsid w:val="000526E4"/>
    <w:rsid w:val="0005434D"/>
    <w:rsid w:val="000545DC"/>
    <w:rsid w:val="0005503E"/>
    <w:rsid w:val="00055373"/>
    <w:rsid w:val="0005571A"/>
    <w:rsid w:val="00055D70"/>
    <w:rsid w:val="00056263"/>
    <w:rsid w:val="00056E3D"/>
    <w:rsid w:val="00056F77"/>
    <w:rsid w:val="000571BC"/>
    <w:rsid w:val="0005761E"/>
    <w:rsid w:val="00057AC4"/>
    <w:rsid w:val="000606D4"/>
    <w:rsid w:val="00060712"/>
    <w:rsid w:val="00060AAB"/>
    <w:rsid w:val="00060CD3"/>
    <w:rsid w:val="000655B2"/>
    <w:rsid w:val="00070193"/>
    <w:rsid w:val="000708D5"/>
    <w:rsid w:val="00073A19"/>
    <w:rsid w:val="00073F31"/>
    <w:rsid w:val="000745D3"/>
    <w:rsid w:val="00074B13"/>
    <w:rsid w:val="00074D02"/>
    <w:rsid w:val="0007562B"/>
    <w:rsid w:val="00080CE0"/>
    <w:rsid w:val="00080DE3"/>
    <w:rsid w:val="00082653"/>
    <w:rsid w:val="00082ABC"/>
    <w:rsid w:val="00083ADB"/>
    <w:rsid w:val="00085660"/>
    <w:rsid w:val="00086007"/>
    <w:rsid w:val="000863E2"/>
    <w:rsid w:val="00086898"/>
    <w:rsid w:val="0008712F"/>
    <w:rsid w:val="00087C41"/>
    <w:rsid w:val="0009222A"/>
    <w:rsid w:val="00093BC3"/>
    <w:rsid w:val="00095446"/>
    <w:rsid w:val="00096BFA"/>
    <w:rsid w:val="000A073E"/>
    <w:rsid w:val="000A1DF5"/>
    <w:rsid w:val="000A20D1"/>
    <w:rsid w:val="000A2143"/>
    <w:rsid w:val="000A39F4"/>
    <w:rsid w:val="000A43F8"/>
    <w:rsid w:val="000A4419"/>
    <w:rsid w:val="000A5723"/>
    <w:rsid w:val="000B005C"/>
    <w:rsid w:val="000B01CC"/>
    <w:rsid w:val="000B0480"/>
    <w:rsid w:val="000B0615"/>
    <w:rsid w:val="000B0C12"/>
    <w:rsid w:val="000B0D42"/>
    <w:rsid w:val="000B16BF"/>
    <w:rsid w:val="000B2052"/>
    <w:rsid w:val="000B5B1E"/>
    <w:rsid w:val="000C0912"/>
    <w:rsid w:val="000C2669"/>
    <w:rsid w:val="000C26E9"/>
    <w:rsid w:val="000C3EB5"/>
    <w:rsid w:val="000C43B6"/>
    <w:rsid w:val="000C4E16"/>
    <w:rsid w:val="000C684B"/>
    <w:rsid w:val="000C6EED"/>
    <w:rsid w:val="000C79FD"/>
    <w:rsid w:val="000D012A"/>
    <w:rsid w:val="000D0FA0"/>
    <w:rsid w:val="000D2A6B"/>
    <w:rsid w:val="000D31FE"/>
    <w:rsid w:val="000D3A60"/>
    <w:rsid w:val="000D5E01"/>
    <w:rsid w:val="000D6393"/>
    <w:rsid w:val="000D670A"/>
    <w:rsid w:val="000D77C0"/>
    <w:rsid w:val="000D7C12"/>
    <w:rsid w:val="000E0036"/>
    <w:rsid w:val="000E245F"/>
    <w:rsid w:val="000E310A"/>
    <w:rsid w:val="000E3979"/>
    <w:rsid w:val="000E3CE1"/>
    <w:rsid w:val="000E73FF"/>
    <w:rsid w:val="000E7C1C"/>
    <w:rsid w:val="000F03B0"/>
    <w:rsid w:val="000F162C"/>
    <w:rsid w:val="000F1DD0"/>
    <w:rsid w:val="000F3333"/>
    <w:rsid w:val="000F6F99"/>
    <w:rsid w:val="000F7020"/>
    <w:rsid w:val="000F7507"/>
    <w:rsid w:val="0010009C"/>
    <w:rsid w:val="00101A24"/>
    <w:rsid w:val="001025A7"/>
    <w:rsid w:val="00102BFA"/>
    <w:rsid w:val="00103D23"/>
    <w:rsid w:val="00110776"/>
    <w:rsid w:val="00113146"/>
    <w:rsid w:val="00114C07"/>
    <w:rsid w:val="00114F56"/>
    <w:rsid w:val="001157C7"/>
    <w:rsid w:val="001158BA"/>
    <w:rsid w:val="00116006"/>
    <w:rsid w:val="00116545"/>
    <w:rsid w:val="00116B51"/>
    <w:rsid w:val="00122D04"/>
    <w:rsid w:val="0012410B"/>
    <w:rsid w:val="00125812"/>
    <w:rsid w:val="00125ADD"/>
    <w:rsid w:val="00126CD1"/>
    <w:rsid w:val="00127757"/>
    <w:rsid w:val="00127BAF"/>
    <w:rsid w:val="00130E8F"/>
    <w:rsid w:val="001336E3"/>
    <w:rsid w:val="001339BB"/>
    <w:rsid w:val="00136EED"/>
    <w:rsid w:val="00141B20"/>
    <w:rsid w:val="00141D39"/>
    <w:rsid w:val="00142051"/>
    <w:rsid w:val="00143437"/>
    <w:rsid w:val="00144369"/>
    <w:rsid w:val="00144ADC"/>
    <w:rsid w:val="00144BBB"/>
    <w:rsid w:val="00146FC1"/>
    <w:rsid w:val="00150932"/>
    <w:rsid w:val="00152D49"/>
    <w:rsid w:val="00157E18"/>
    <w:rsid w:val="00161022"/>
    <w:rsid w:val="00161358"/>
    <w:rsid w:val="001620EB"/>
    <w:rsid w:val="00162AB0"/>
    <w:rsid w:val="0016538E"/>
    <w:rsid w:val="00165AC6"/>
    <w:rsid w:val="00166A7A"/>
    <w:rsid w:val="00166AD0"/>
    <w:rsid w:val="00166C49"/>
    <w:rsid w:val="001674EB"/>
    <w:rsid w:val="00167EE1"/>
    <w:rsid w:val="001705C4"/>
    <w:rsid w:val="00171281"/>
    <w:rsid w:val="001712D6"/>
    <w:rsid w:val="001726B0"/>
    <w:rsid w:val="00175644"/>
    <w:rsid w:val="001767C7"/>
    <w:rsid w:val="00177E91"/>
    <w:rsid w:val="001800AF"/>
    <w:rsid w:val="00180A3B"/>
    <w:rsid w:val="00180BD5"/>
    <w:rsid w:val="00180D17"/>
    <w:rsid w:val="001814B1"/>
    <w:rsid w:val="00182C43"/>
    <w:rsid w:val="00183D99"/>
    <w:rsid w:val="00183EB1"/>
    <w:rsid w:val="00184219"/>
    <w:rsid w:val="00185884"/>
    <w:rsid w:val="001901C1"/>
    <w:rsid w:val="00190331"/>
    <w:rsid w:val="001908C3"/>
    <w:rsid w:val="0019141D"/>
    <w:rsid w:val="00191B67"/>
    <w:rsid w:val="00191EEC"/>
    <w:rsid w:val="00194873"/>
    <w:rsid w:val="00194B8A"/>
    <w:rsid w:val="00194CF9"/>
    <w:rsid w:val="00197273"/>
    <w:rsid w:val="001A0956"/>
    <w:rsid w:val="001A13C8"/>
    <w:rsid w:val="001A1C61"/>
    <w:rsid w:val="001A1DFB"/>
    <w:rsid w:val="001A227F"/>
    <w:rsid w:val="001A5694"/>
    <w:rsid w:val="001A5BEE"/>
    <w:rsid w:val="001A5EB1"/>
    <w:rsid w:val="001B0726"/>
    <w:rsid w:val="001B0A7A"/>
    <w:rsid w:val="001B0DF0"/>
    <w:rsid w:val="001B1A87"/>
    <w:rsid w:val="001B1BDF"/>
    <w:rsid w:val="001B24D5"/>
    <w:rsid w:val="001B2869"/>
    <w:rsid w:val="001B3F6D"/>
    <w:rsid w:val="001B3F81"/>
    <w:rsid w:val="001B44F7"/>
    <w:rsid w:val="001B4E6C"/>
    <w:rsid w:val="001B54FC"/>
    <w:rsid w:val="001B7122"/>
    <w:rsid w:val="001C0CF6"/>
    <w:rsid w:val="001C0D53"/>
    <w:rsid w:val="001C2214"/>
    <w:rsid w:val="001C2524"/>
    <w:rsid w:val="001C41C2"/>
    <w:rsid w:val="001C6789"/>
    <w:rsid w:val="001C6912"/>
    <w:rsid w:val="001C6AFF"/>
    <w:rsid w:val="001D0A46"/>
    <w:rsid w:val="001D22ED"/>
    <w:rsid w:val="001D3440"/>
    <w:rsid w:val="001D37FB"/>
    <w:rsid w:val="001D4D62"/>
    <w:rsid w:val="001D53A8"/>
    <w:rsid w:val="001D7325"/>
    <w:rsid w:val="001E12C8"/>
    <w:rsid w:val="001E1A8F"/>
    <w:rsid w:val="001E6AFE"/>
    <w:rsid w:val="001F0773"/>
    <w:rsid w:val="001F0DD3"/>
    <w:rsid w:val="001F1711"/>
    <w:rsid w:val="001F1A2D"/>
    <w:rsid w:val="001F21CB"/>
    <w:rsid w:val="001F6750"/>
    <w:rsid w:val="001F7247"/>
    <w:rsid w:val="00200311"/>
    <w:rsid w:val="002008D1"/>
    <w:rsid w:val="00201957"/>
    <w:rsid w:val="00202E20"/>
    <w:rsid w:val="002036AA"/>
    <w:rsid w:val="00203789"/>
    <w:rsid w:val="00204A66"/>
    <w:rsid w:val="00205334"/>
    <w:rsid w:val="002057D7"/>
    <w:rsid w:val="00211A80"/>
    <w:rsid w:val="00213B41"/>
    <w:rsid w:val="00213C91"/>
    <w:rsid w:val="00216DB5"/>
    <w:rsid w:val="00216F08"/>
    <w:rsid w:val="00217A19"/>
    <w:rsid w:val="00222CA5"/>
    <w:rsid w:val="00223298"/>
    <w:rsid w:val="00224A1F"/>
    <w:rsid w:val="00224BD6"/>
    <w:rsid w:val="002253E9"/>
    <w:rsid w:val="002258FC"/>
    <w:rsid w:val="00226226"/>
    <w:rsid w:val="002279F8"/>
    <w:rsid w:val="00227D78"/>
    <w:rsid w:val="00227FE4"/>
    <w:rsid w:val="0023016D"/>
    <w:rsid w:val="002317B4"/>
    <w:rsid w:val="00232AFE"/>
    <w:rsid w:val="002331A0"/>
    <w:rsid w:val="00233DC9"/>
    <w:rsid w:val="0023447D"/>
    <w:rsid w:val="002363F8"/>
    <w:rsid w:val="0023708B"/>
    <w:rsid w:val="00237318"/>
    <w:rsid w:val="00237725"/>
    <w:rsid w:val="00237FE9"/>
    <w:rsid w:val="0024128C"/>
    <w:rsid w:val="00245DA0"/>
    <w:rsid w:val="00247ADA"/>
    <w:rsid w:val="00250F1A"/>
    <w:rsid w:val="00251406"/>
    <w:rsid w:val="002553D6"/>
    <w:rsid w:val="00257836"/>
    <w:rsid w:val="002607BF"/>
    <w:rsid w:val="0026285D"/>
    <w:rsid w:val="00264EEE"/>
    <w:rsid w:val="0026530E"/>
    <w:rsid w:val="00265DED"/>
    <w:rsid w:val="00265E6C"/>
    <w:rsid w:val="00266A30"/>
    <w:rsid w:val="00266EDA"/>
    <w:rsid w:val="00267436"/>
    <w:rsid w:val="0026794D"/>
    <w:rsid w:val="00267FAB"/>
    <w:rsid w:val="00270CAF"/>
    <w:rsid w:val="002712C8"/>
    <w:rsid w:val="002719ED"/>
    <w:rsid w:val="00271EB7"/>
    <w:rsid w:val="0027239E"/>
    <w:rsid w:val="002727AE"/>
    <w:rsid w:val="00272E82"/>
    <w:rsid w:val="00273D5C"/>
    <w:rsid w:val="00273ECF"/>
    <w:rsid w:val="00274091"/>
    <w:rsid w:val="00275209"/>
    <w:rsid w:val="0027527B"/>
    <w:rsid w:val="00275B26"/>
    <w:rsid w:val="0027706F"/>
    <w:rsid w:val="00281580"/>
    <w:rsid w:val="00282DD1"/>
    <w:rsid w:val="00283259"/>
    <w:rsid w:val="00283AFA"/>
    <w:rsid w:val="00283D22"/>
    <w:rsid w:val="002840FD"/>
    <w:rsid w:val="00287942"/>
    <w:rsid w:val="00292783"/>
    <w:rsid w:val="00293848"/>
    <w:rsid w:val="0029399F"/>
    <w:rsid w:val="00293E21"/>
    <w:rsid w:val="00295264"/>
    <w:rsid w:val="00295DFA"/>
    <w:rsid w:val="00296404"/>
    <w:rsid w:val="0029649F"/>
    <w:rsid w:val="002966AD"/>
    <w:rsid w:val="002A05D3"/>
    <w:rsid w:val="002A06C6"/>
    <w:rsid w:val="002A107A"/>
    <w:rsid w:val="002A535E"/>
    <w:rsid w:val="002A5881"/>
    <w:rsid w:val="002A5E7A"/>
    <w:rsid w:val="002A6F77"/>
    <w:rsid w:val="002B0025"/>
    <w:rsid w:val="002B0801"/>
    <w:rsid w:val="002B0A3F"/>
    <w:rsid w:val="002B5324"/>
    <w:rsid w:val="002B56E7"/>
    <w:rsid w:val="002B5823"/>
    <w:rsid w:val="002B733A"/>
    <w:rsid w:val="002B7B9A"/>
    <w:rsid w:val="002B7F4A"/>
    <w:rsid w:val="002C0074"/>
    <w:rsid w:val="002C097E"/>
    <w:rsid w:val="002C2315"/>
    <w:rsid w:val="002C301D"/>
    <w:rsid w:val="002C4A38"/>
    <w:rsid w:val="002C4CD1"/>
    <w:rsid w:val="002C65B8"/>
    <w:rsid w:val="002C734D"/>
    <w:rsid w:val="002C744C"/>
    <w:rsid w:val="002D01BF"/>
    <w:rsid w:val="002D0FAA"/>
    <w:rsid w:val="002D3E81"/>
    <w:rsid w:val="002D4AC3"/>
    <w:rsid w:val="002D4D01"/>
    <w:rsid w:val="002D52A0"/>
    <w:rsid w:val="002D6691"/>
    <w:rsid w:val="002E0169"/>
    <w:rsid w:val="002E062E"/>
    <w:rsid w:val="002E1226"/>
    <w:rsid w:val="002E1D30"/>
    <w:rsid w:val="002E2678"/>
    <w:rsid w:val="002E28C6"/>
    <w:rsid w:val="002E4DB3"/>
    <w:rsid w:val="002E6D37"/>
    <w:rsid w:val="002E79A6"/>
    <w:rsid w:val="002F10BF"/>
    <w:rsid w:val="002F110D"/>
    <w:rsid w:val="002F32BD"/>
    <w:rsid w:val="002F4407"/>
    <w:rsid w:val="002F5A1A"/>
    <w:rsid w:val="002F6E67"/>
    <w:rsid w:val="002F71F1"/>
    <w:rsid w:val="002F761B"/>
    <w:rsid w:val="002F7C03"/>
    <w:rsid w:val="0030111A"/>
    <w:rsid w:val="003020F3"/>
    <w:rsid w:val="003022D4"/>
    <w:rsid w:val="003023DE"/>
    <w:rsid w:val="003038AC"/>
    <w:rsid w:val="00305726"/>
    <w:rsid w:val="00306E9B"/>
    <w:rsid w:val="003076FA"/>
    <w:rsid w:val="00310D70"/>
    <w:rsid w:val="00311594"/>
    <w:rsid w:val="0031214B"/>
    <w:rsid w:val="00313F3E"/>
    <w:rsid w:val="00314A19"/>
    <w:rsid w:val="00315307"/>
    <w:rsid w:val="00315D17"/>
    <w:rsid w:val="00315ECF"/>
    <w:rsid w:val="00316B54"/>
    <w:rsid w:val="003176BB"/>
    <w:rsid w:val="00317E1A"/>
    <w:rsid w:val="00320789"/>
    <w:rsid w:val="00320A3C"/>
    <w:rsid w:val="00321800"/>
    <w:rsid w:val="003232C2"/>
    <w:rsid w:val="003237B0"/>
    <w:rsid w:val="0032503F"/>
    <w:rsid w:val="003262CE"/>
    <w:rsid w:val="003264ED"/>
    <w:rsid w:val="003308B4"/>
    <w:rsid w:val="00333209"/>
    <w:rsid w:val="00334A4E"/>
    <w:rsid w:val="00334AE3"/>
    <w:rsid w:val="003352EF"/>
    <w:rsid w:val="003418C0"/>
    <w:rsid w:val="003424A8"/>
    <w:rsid w:val="003425F7"/>
    <w:rsid w:val="00343012"/>
    <w:rsid w:val="00343233"/>
    <w:rsid w:val="00343B25"/>
    <w:rsid w:val="003441E3"/>
    <w:rsid w:val="003445EA"/>
    <w:rsid w:val="00350175"/>
    <w:rsid w:val="00351EC0"/>
    <w:rsid w:val="00352990"/>
    <w:rsid w:val="00353113"/>
    <w:rsid w:val="00353518"/>
    <w:rsid w:val="0035588B"/>
    <w:rsid w:val="00355DAA"/>
    <w:rsid w:val="003561E4"/>
    <w:rsid w:val="00357190"/>
    <w:rsid w:val="003613F4"/>
    <w:rsid w:val="00361819"/>
    <w:rsid w:val="00361F3D"/>
    <w:rsid w:val="00362E2F"/>
    <w:rsid w:val="00362FE1"/>
    <w:rsid w:val="00363DCE"/>
    <w:rsid w:val="00365680"/>
    <w:rsid w:val="00366A1A"/>
    <w:rsid w:val="00367B6E"/>
    <w:rsid w:val="00370B2E"/>
    <w:rsid w:val="00372D68"/>
    <w:rsid w:val="0037447C"/>
    <w:rsid w:val="0037458C"/>
    <w:rsid w:val="00374E9A"/>
    <w:rsid w:val="00375E7C"/>
    <w:rsid w:val="00375FFD"/>
    <w:rsid w:val="003813FE"/>
    <w:rsid w:val="00381DB8"/>
    <w:rsid w:val="003826A0"/>
    <w:rsid w:val="00383462"/>
    <w:rsid w:val="00384B58"/>
    <w:rsid w:val="00385683"/>
    <w:rsid w:val="00385EC1"/>
    <w:rsid w:val="00386DD1"/>
    <w:rsid w:val="00387CA4"/>
    <w:rsid w:val="00391389"/>
    <w:rsid w:val="00391E64"/>
    <w:rsid w:val="00395750"/>
    <w:rsid w:val="0039581F"/>
    <w:rsid w:val="00396861"/>
    <w:rsid w:val="0039783E"/>
    <w:rsid w:val="003A0009"/>
    <w:rsid w:val="003A0E47"/>
    <w:rsid w:val="003A4360"/>
    <w:rsid w:val="003A44B2"/>
    <w:rsid w:val="003A68AA"/>
    <w:rsid w:val="003A7561"/>
    <w:rsid w:val="003A76E4"/>
    <w:rsid w:val="003B09F2"/>
    <w:rsid w:val="003B1384"/>
    <w:rsid w:val="003B35B8"/>
    <w:rsid w:val="003B4A9D"/>
    <w:rsid w:val="003B4B13"/>
    <w:rsid w:val="003B4D2C"/>
    <w:rsid w:val="003B53A6"/>
    <w:rsid w:val="003C0785"/>
    <w:rsid w:val="003C1764"/>
    <w:rsid w:val="003C1DF1"/>
    <w:rsid w:val="003C3AD0"/>
    <w:rsid w:val="003C469B"/>
    <w:rsid w:val="003C4AAE"/>
    <w:rsid w:val="003C722C"/>
    <w:rsid w:val="003C7985"/>
    <w:rsid w:val="003C7CAC"/>
    <w:rsid w:val="003C7E67"/>
    <w:rsid w:val="003D20ED"/>
    <w:rsid w:val="003D4ED7"/>
    <w:rsid w:val="003D6531"/>
    <w:rsid w:val="003D6C84"/>
    <w:rsid w:val="003D6DD6"/>
    <w:rsid w:val="003E017A"/>
    <w:rsid w:val="003E1FAF"/>
    <w:rsid w:val="003E20B9"/>
    <w:rsid w:val="003E3836"/>
    <w:rsid w:val="003E39B9"/>
    <w:rsid w:val="003E4AC8"/>
    <w:rsid w:val="003E4BB4"/>
    <w:rsid w:val="003E68B5"/>
    <w:rsid w:val="003F14AC"/>
    <w:rsid w:val="003F27A7"/>
    <w:rsid w:val="003F2D09"/>
    <w:rsid w:val="003F34BF"/>
    <w:rsid w:val="003F37EA"/>
    <w:rsid w:val="003F40F7"/>
    <w:rsid w:val="003F47F5"/>
    <w:rsid w:val="003F59CC"/>
    <w:rsid w:val="003F5E57"/>
    <w:rsid w:val="003F5F9D"/>
    <w:rsid w:val="003F7652"/>
    <w:rsid w:val="003F7EDA"/>
    <w:rsid w:val="00400A5E"/>
    <w:rsid w:val="00400F16"/>
    <w:rsid w:val="00401D87"/>
    <w:rsid w:val="00402BF8"/>
    <w:rsid w:val="00403755"/>
    <w:rsid w:val="0040387F"/>
    <w:rsid w:val="00406227"/>
    <w:rsid w:val="00407D3B"/>
    <w:rsid w:val="00412CC4"/>
    <w:rsid w:val="0041363C"/>
    <w:rsid w:val="00414E9A"/>
    <w:rsid w:val="00415CC4"/>
    <w:rsid w:val="00415FD6"/>
    <w:rsid w:val="0041696F"/>
    <w:rsid w:val="004173D9"/>
    <w:rsid w:val="00420D4C"/>
    <w:rsid w:val="00421392"/>
    <w:rsid w:val="00423B79"/>
    <w:rsid w:val="004240D2"/>
    <w:rsid w:val="00424ADF"/>
    <w:rsid w:val="00424D0B"/>
    <w:rsid w:val="00424EB8"/>
    <w:rsid w:val="004303B8"/>
    <w:rsid w:val="00431677"/>
    <w:rsid w:val="00431E7C"/>
    <w:rsid w:val="00433183"/>
    <w:rsid w:val="00433AED"/>
    <w:rsid w:val="00433EE1"/>
    <w:rsid w:val="004342F0"/>
    <w:rsid w:val="004353DD"/>
    <w:rsid w:val="00435F4A"/>
    <w:rsid w:val="00437446"/>
    <w:rsid w:val="00437C49"/>
    <w:rsid w:val="0044117C"/>
    <w:rsid w:val="004418F2"/>
    <w:rsid w:val="00441D77"/>
    <w:rsid w:val="004430D9"/>
    <w:rsid w:val="00443662"/>
    <w:rsid w:val="00443DF2"/>
    <w:rsid w:val="00444116"/>
    <w:rsid w:val="00444E78"/>
    <w:rsid w:val="004455A5"/>
    <w:rsid w:val="00445911"/>
    <w:rsid w:val="00445F4D"/>
    <w:rsid w:val="00446050"/>
    <w:rsid w:val="00446FC1"/>
    <w:rsid w:val="00447C26"/>
    <w:rsid w:val="00447F1A"/>
    <w:rsid w:val="0045085A"/>
    <w:rsid w:val="00450CBA"/>
    <w:rsid w:val="0045110A"/>
    <w:rsid w:val="00452DA2"/>
    <w:rsid w:val="004532A3"/>
    <w:rsid w:val="00455363"/>
    <w:rsid w:val="00456B8F"/>
    <w:rsid w:val="00457045"/>
    <w:rsid w:val="004574C4"/>
    <w:rsid w:val="00457A91"/>
    <w:rsid w:val="004604E9"/>
    <w:rsid w:val="00460A55"/>
    <w:rsid w:val="004610FB"/>
    <w:rsid w:val="0046180A"/>
    <w:rsid w:val="00462BC6"/>
    <w:rsid w:val="00463FEB"/>
    <w:rsid w:val="004660F2"/>
    <w:rsid w:val="0046776F"/>
    <w:rsid w:val="00470C11"/>
    <w:rsid w:val="00471759"/>
    <w:rsid w:val="0047175C"/>
    <w:rsid w:val="00471CC7"/>
    <w:rsid w:val="004721E0"/>
    <w:rsid w:val="00472F9C"/>
    <w:rsid w:val="00473803"/>
    <w:rsid w:val="004755FE"/>
    <w:rsid w:val="004759BF"/>
    <w:rsid w:val="00476857"/>
    <w:rsid w:val="00476B4E"/>
    <w:rsid w:val="0047782F"/>
    <w:rsid w:val="004828C6"/>
    <w:rsid w:val="004828E4"/>
    <w:rsid w:val="00484576"/>
    <w:rsid w:val="00484675"/>
    <w:rsid w:val="00484F33"/>
    <w:rsid w:val="004869CF"/>
    <w:rsid w:val="00487545"/>
    <w:rsid w:val="00490239"/>
    <w:rsid w:val="00490B1D"/>
    <w:rsid w:val="00491DC5"/>
    <w:rsid w:val="004929EC"/>
    <w:rsid w:val="004935F6"/>
    <w:rsid w:val="00493B10"/>
    <w:rsid w:val="00493F24"/>
    <w:rsid w:val="00495017"/>
    <w:rsid w:val="0049615F"/>
    <w:rsid w:val="004971EF"/>
    <w:rsid w:val="004A2043"/>
    <w:rsid w:val="004A2FD9"/>
    <w:rsid w:val="004A51CB"/>
    <w:rsid w:val="004A5D55"/>
    <w:rsid w:val="004A6D51"/>
    <w:rsid w:val="004A7325"/>
    <w:rsid w:val="004B03BE"/>
    <w:rsid w:val="004B0A80"/>
    <w:rsid w:val="004B0D84"/>
    <w:rsid w:val="004B1950"/>
    <w:rsid w:val="004B2839"/>
    <w:rsid w:val="004B2CCD"/>
    <w:rsid w:val="004B300A"/>
    <w:rsid w:val="004B4E7B"/>
    <w:rsid w:val="004B7418"/>
    <w:rsid w:val="004B78FA"/>
    <w:rsid w:val="004C0C13"/>
    <w:rsid w:val="004C0FBA"/>
    <w:rsid w:val="004C1080"/>
    <w:rsid w:val="004C2B29"/>
    <w:rsid w:val="004C3F7B"/>
    <w:rsid w:val="004C3FD4"/>
    <w:rsid w:val="004C4916"/>
    <w:rsid w:val="004C4CFE"/>
    <w:rsid w:val="004C6A1A"/>
    <w:rsid w:val="004C78C4"/>
    <w:rsid w:val="004D2B88"/>
    <w:rsid w:val="004D2EB8"/>
    <w:rsid w:val="004D3A3F"/>
    <w:rsid w:val="004D512D"/>
    <w:rsid w:val="004D58A1"/>
    <w:rsid w:val="004D5D38"/>
    <w:rsid w:val="004D5F72"/>
    <w:rsid w:val="004D5F74"/>
    <w:rsid w:val="004D6ED4"/>
    <w:rsid w:val="004E10E0"/>
    <w:rsid w:val="004E198A"/>
    <w:rsid w:val="004E2A32"/>
    <w:rsid w:val="004E3061"/>
    <w:rsid w:val="004E3F7E"/>
    <w:rsid w:val="004E67E6"/>
    <w:rsid w:val="004F027A"/>
    <w:rsid w:val="004F0E40"/>
    <w:rsid w:val="004F19CD"/>
    <w:rsid w:val="004F1F6E"/>
    <w:rsid w:val="004F245D"/>
    <w:rsid w:val="004F2EDA"/>
    <w:rsid w:val="004F5E93"/>
    <w:rsid w:val="004F603D"/>
    <w:rsid w:val="004F6545"/>
    <w:rsid w:val="004F6D32"/>
    <w:rsid w:val="004F6FC8"/>
    <w:rsid w:val="0050046F"/>
    <w:rsid w:val="0050078C"/>
    <w:rsid w:val="00500EEF"/>
    <w:rsid w:val="005015CE"/>
    <w:rsid w:val="00501BD9"/>
    <w:rsid w:val="00501C8A"/>
    <w:rsid w:val="005041A7"/>
    <w:rsid w:val="00504E3C"/>
    <w:rsid w:val="00506456"/>
    <w:rsid w:val="00506825"/>
    <w:rsid w:val="00506FA2"/>
    <w:rsid w:val="00507196"/>
    <w:rsid w:val="005103B1"/>
    <w:rsid w:val="00515680"/>
    <w:rsid w:val="005173F5"/>
    <w:rsid w:val="00517D7F"/>
    <w:rsid w:val="00517E7D"/>
    <w:rsid w:val="00520779"/>
    <w:rsid w:val="00521E8C"/>
    <w:rsid w:val="00523AAC"/>
    <w:rsid w:val="00523CF5"/>
    <w:rsid w:val="005246FD"/>
    <w:rsid w:val="005251E6"/>
    <w:rsid w:val="00525A4C"/>
    <w:rsid w:val="00525C51"/>
    <w:rsid w:val="00530417"/>
    <w:rsid w:val="00530B0F"/>
    <w:rsid w:val="00532095"/>
    <w:rsid w:val="005321B7"/>
    <w:rsid w:val="005328C3"/>
    <w:rsid w:val="0053379A"/>
    <w:rsid w:val="005337D5"/>
    <w:rsid w:val="00533F4C"/>
    <w:rsid w:val="0053679A"/>
    <w:rsid w:val="00536C66"/>
    <w:rsid w:val="0054067C"/>
    <w:rsid w:val="00541C62"/>
    <w:rsid w:val="005437B7"/>
    <w:rsid w:val="00543D64"/>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5596"/>
    <w:rsid w:val="00566834"/>
    <w:rsid w:val="005668F0"/>
    <w:rsid w:val="005677E2"/>
    <w:rsid w:val="0056783D"/>
    <w:rsid w:val="00567D9E"/>
    <w:rsid w:val="0057019F"/>
    <w:rsid w:val="005704E5"/>
    <w:rsid w:val="00570549"/>
    <w:rsid w:val="0057101F"/>
    <w:rsid w:val="00571A9D"/>
    <w:rsid w:val="00571BA5"/>
    <w:rsid w:val="00573B85"/>
    <w:rsid w:val="00574342"/>
    <w:rsid w:val="005754DE"/>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805"/>
    <w:rsid w:val="00596392"/>
    <w:rsid w:val="00596EAD"/>
    <w:rsid w:val="00597DFE"/>
    <w:rsid w:val="00597FAF"/>
    <w:rsid w:val="005A13E7"/>
    <w:rsid w:val="005A196E"/>
    <w:rsid w:val="005A3D06"/>
    <w:rsid w:val="005A3DA9"/>
    <w:rsid w:val="005A6108"/>
    <w:rsid w:val="005A62E6"/>
    <w:rsid w:val="005A6CC1"/>
    <w:rsid w:val="005A6CCD"/>
    <w:rsid w:val="005A7107"/>
    <w:rsid w:val="005B174D"/>
    <w:rsid w:val="005B1762"/>
    <w:rsid w:val="005B29AF"/>
    <w:rsid w:val="005B39D2"/>
    <w:rsid w:val="005B3B36"/>
    <w:rsid w:val="005B545C"/>
    <w:rsid w:val="005B55F8"/>
    <w:rsid w:val="005B5924"/>
    <w:rsid w:val="005B6561"/>
    <w:rsid w:val="005C0312"/>
    <w:rsid w:val="005C0453"/>
    <w:rsid w:val="005C128E"/>
    <w:rsid w:val="005C21D1"/>
    <w:rsid w:val="005C24B6"/>
    <w:rsid w:val="005C29FA"/>
    <w:rsid w:val="005C363D"/>
    <w:rsid w:val="005C375F"/>
    <w:rsid w:val="005C3E40"/>
    <w:rsid w:val="005C5F92"/>
    <w:rsid w:val="005C6EDB"/>
    <w:rsid w:val="005D0763"/>
    <w:rsid w:val="005D0FD8"/>
    <w:rsid w:val="005D3DE0"/>
    <w:rsid w:val="005D4A2D"/>
    <w:rsid w:val="005D4C84"/>
    <w:rsid w:val="005D57F3"/>
    <w:rsid w:val="005D67EA"/>
    <w:rsid w:val="005D693A"/>
    <w:rsid w:val="005E0B96"/>
    <w:rsid w:val="005E0FD2"/>
    <w:rsid w:val="005E3667"/>
    <w:rsid w:val="005E4156"/>
    <w:rsid w:val="005E6DB6"/>
    <w:rsid w:val="005E7559"/>
    <w:rsid w:val="005F2C40"/>
    <w:rsid w:val="005F40AD"/>
    <w:rsid w:val="005F4DCE"/>
    <w:rsid w:val="005F5FC9"/>
    <w:rsid w:val="0060025E"/>
    <w:rsid w:val="0060184B"/>
    <w:rsid w:val="00601A52"/>
    <w:rsid w:val="006029C5"/>
    <w:rsid w:val="00602E73"/>
    <w:rsid w:val="00603627"/>
    <w:rsid w:val="006036A6"/>
    <w:rsid w:val="00603E2B"/>
    <w:rsid w:val="00603FA8"/>
    <w:rsid w:val="006050DD"/>
    <w:rsid w:val="006062EF"/>
    <w:rsid w:val="0061025C"/>
    <w:rsid w:val="00610DB8"/>
    <w:rsid w:val="00611CDA"/>
    <w:rsid w:val="006121E5"/>
    <w:rsid w:val="00612D19"/>
    <w:rsid w:val="0061317B"/>
    <w:rsid w:val="00613972"/>
    <w:rsid w:val="006159F2"/>
    <w:rsid w:val="00615E70"/>
    <w:rsid w:val="006170F2"/>
    <w:rsid w:val="00617398"/>
    <w:rsid w:val="0061740D"/>
    <w:rsid w:val="0061761D"/>
    <w:rsid w:val="006207E9"/>
    <w:rsid w:val="00621798"/>
    <w:rsid w:val="00621E70"/>
    <w:rsid w:val="006221D1"/>
    <w:rsid w:val="00623DC6"/>
    <w:rsid w:val="00625F57"/>
    <w:rsid w:val="00626B7E"/>
    <w:rsid w:val="00632BA7"/>
    <w:rsid w:val="00632C89"/>
    <w:rsid w:val="00632E8C"/>
    <w:rsid w:val="00632ED8"/>
    <w:rsid w:val="00634F11"/>
    <w:rsid w:val="006359F5"/>
    <w:rsid w:val="00635A18"/>
    <w:rsid w:val="006371BF"/>
    <w:rsid w:val="006377D3"/>
    <w:rsid w:val="00637BB7"/>
    <w:rsid w:val="00640702"/>
    <w:rsid w:val="006422CC"/>
    <w:rsid w:val="00642ADD"/>
    <w:rsid w:val="00642C70"/>
    <w:rsid w:val="00643396"/>
    <w:rsid w:val="00643788"/>
    <w:rsid w:val="0064402C"/>
    <w:rsid w:val="006445A2"/>
    <w:rsid w:val="00645C45"/>
    <w:rsid w:val="00646179"/>
    <w:rsid w:val="006464FD"/>
    <w:rsid w:val="006474EE"/>
    <w:rsid w:val="0064763A"/>
    <w:rsid w:val="006544DB"/>
    <w:rsid w:val="00654AF0"/>
    <w:rsid w:val="0065585B"/>
    <w:rsid w:val="00656647"/>
    <w:rsid w:val="0065713B"/>
    <w:rsid w:val="0065713C"/>
    <w:rsid w:val="0065726D"/>
    <w:rsid w:val="0065773E"/>
    <w:rsid w:val="00657EA1"/>
    <w:rsid w:val="00660B1F"/>
    <w:rsid w:val="00662194"/>
    <w:rsid w:val="006637FA"/>
    <w:rsid w:val="00663B17"/>
    <w:rsid w:val="00666A40"/>
    <w:rsid w:val="00671424"/>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73EA"/>
    <w:rsid w:val="00691717"/>
    <w:rsid w:val="00692162"/>
    <w:rsid w:val="00693024"/>
    <w:rsid w:val="00693416"/>
    <w:rsid w:val="00694ABE"/>
    <w:rsid w:val="00694E49"/>
    <w:rsid w:val="00695009"/>
    <w:rsid w:val="006977D8"/>
    <w:rsid w:val="006979E0"/>
    <w:rsid w:val="006A0E74"/>
    <w:rsid w:val="006A0FE1"/>
    <w:rsid w:val="006A218F"/>
    <w:rsid w:val="006A282F"/>
    <w:rsid w:val="006A3AC0"/>
    <w:rsid w:val="006A3F76"/>
    <w:rsid w:val="006A4054"/>
    <w:rsid w:val="006A40A1"/>
    <w:rsid w:val="006A4410"/>
    <w:rsid w:val="006A5C00"/>
    <w:rsid w:val="006A6165"/>
    <w:rsid w:val="006A6392"/>
    <w:rsid w:val="006A7E28"/>
    <w:rsid w:val="006B2116"/>
    <w:rsid w:val="006B2982"/>
    <w:rsid w:val="006B35BE"/>
    <w:rsid w:val="006C0A4C"/>
    <w:rsid w:val="006C1B43"/>
    <w:rsid w:val="006C1D7C"/>
    <w:rsid w:val="006C2EBB"/>
    <w:rsid w:val="006C3765"/>
    <w:rsid w:val="006C39BF"/>
    <w:rsid w:val="006C4775"/>
    <w:rsid w:val="006C6FA2"/>
    <w:rsid w:val="006C7000"/>
    <w:rsid w:val="006C7763"/>
    <w:rsid w:val="006D012B"/>
    <w:rsid w:val="006D12A7"/>
    <w:rsid w:val="006D23DB"/>
    <w:rsid w:val="006D2BD5"/>
    <w:rsid w:val="006D3ECE"/>
    <w:rsid w:val="006D4E45"/>
    <w:rsid w:val="006D5350"/>
    <w:rsid w:val="006E0317"/>
    <w:rsid w:val="006E0511"/>
    <w:rsid w:val="006E0C45"/>
    <w:rsid w:val="006E12C1"/>
    <w:rsid w:val="006E5580"/>
    <w:rsid w:val="006E607F"/>
    <w:rsid w:val="006E7DC2"/>
    <w:rsid w:val="006F0D73"/>
    <w:rsid w:val="006F1342"/>
    <w:rsid w:val="006F36E4"/>
    <w:rsid w:val="006F3D80"/>
    <w:rsid w:val="006F3EF5"/>
    <w:rsid w:val="006F49F0"/>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170D7"/>
    <w:rsid w:val="0072105B"/>
    <w:rsid w:val="00721DCB"/>
    <w:rsid w:val="0072284E"/>
    <w:rsid w:val="00723508"/>
    <w:rsid w:val="007305E5"/>
    <w:rsid w:val="0073286C"/>
    <w:rsid w:val="007328CC"/>
    <w:rsid w:val="007330DF"/>
    <w:rsid w:val="00733260"/>
    <w:rsid w:val="00735070"/>
    <w:rsid w:val="00735AD3"/>
    <w:rsid w:val="007364DA"/>
    <w:rsid w:val="007409D2"/>
    <w:rsid w:val="00742222"/>
    <w:rsid w:val="00743EA9"/>
    <w:rsid w:val="0074529C"/>
    <w:rsid w:val="007460FA"/>
    <w:rsid w:val="00747ECC"/>
    <w:rsid w:val="00750BF8"/>
    <w:rsid w:val="00750E2F"/>
    <w:rsid w:val="007515BC"/>
    <w:rsid w:val="00753328"/>
    <w:rsid w:val="00753433"/>
    <w:rsid w:val="007537B5"/>
    <w:rsid w:val="00754E11"/>
    <w:rsid w:val="00754E30"/>
    <w:rsid w:val="00756097"/>
    <w:rsid w:val="0075609C"/>
    <w:rsid w:val="00756206"/>
    <w:rsid w:val="00760C3A"/>
    <w:rsid w:val="00764F3A"/>
    <w:rsid w:val="00765CC1"/>
    <w:rsid w:val="007669BA"/>
    <w:rsid w:val="00770261"/>
    <w:rsid w:val="007712EA"/>
    <w:rsid w:val="00772439"/>
    <w:rsid w:val="00773ACD"/>
    <w:rsid w:val="007768C5"/>
    <w:rsid w:val="00776FA0"/>
    <w:rsid w:val="0077715B"/>
    <w:rsid w:val="00777390"/>
    <w:rsid w:val="007773BD"/>
    <w:rsid w:val="00777B72"/>
    <w:rsid w:val="00777EEE"/>
    <w:rsid w:val="007811C0"/>
    <w:rsid w:val="007819CF"/>
    <w:rsid w:val="0078263F"/>
    <w:rsid w:val="00783657"/>
    <w:rsid w:val="00786840"/>
    <w:rsid w:val="00790852"/>
    <w:rsid w:val="00790EEE"/>
    <w:rsid w:val="00791304"/>
    <w:rsid w:val="00791677"/>
    <w:rsid w:val="00791E8E"/>
    <w:rsid w:val="007931A9"/>
    <w:rsid w:val="007934F0"/>
    <w:rsid w:val="0079456C"/>
    <w:rsid w:val="00794E52"/>
    <w:rsid w:val="00794E6C"/>
    <w:rsid w:val="007952A7"/>
    <w:rsid w:val="00796982"/>
    <w:rsid w:val="00797939"/>
    <w:rsid w:val="007A0108"/>
    <w:rsid w:val="007A02C7"/>
    <w:rsid w:val="007A05C6"/>
    <w:rsid w:val="007A0655"/>
    <w:rsid w:val="007A14ED"/>
    <w:rsid w:val="007A2C70"/>
    <w:rsid w:val="007A375D"/>
    <w:rsid w:val="007A3BEE"/>
    <w:rsid w:val="007A57A1"/>
    <w:rsid w:val="007A5826"/>
    <w:rsid w:val="007A657A"/>
    <w:rsid w:val="007A749C"/>
    <w:rsid w:val="007B249F"/>
    <w:rsid w:val="007B4330"/>
    <w:rsid w:val="007B435A"/>
    <w:rsid w:val="007B5948"/>
    <w:rsid w:val="007B5D7E"/>
    <w:rsid w:val="007B788E"/>
    <w:rsid w:val="007B7DDF"/>
    <w:rsid w:val="007C17B1"/>
    <w:rsid w:val="007C3B86"/>
    <w:rsid w:val="007C43BB"/>
    <w:rsid w:val="007C4E4A"/>
    <w:rsid w:val="007C6ED9"/>
    <w:rsid w:val="007C737B"/>
    <w:rsid w:val="007D1A4D"/>
    <w:rsid w:val="007D1D13"/>
    <w:rsid w:val="007D20FF"/>
    <w:rsid w:val="007D36F2"/>
    <w:rsid w:val="007D3B6C"/>
    <w:rsid w:val="007D57DC"/>
    <w:rsid w:val="007D79C5"/>
    <w:rsid w:val="007E00A1"/>
    <w:rsid w:val="007E2BB1"/>
    <w:rsid w:val="007E2F2D"/>
    <w:rsid w:val="007E3A3A"/>
    <w:rsid w:val="007E3C1B"/>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7058"/>
    <w:rsid w:val="008072FB"/>
    <w:rsid w:val="0080739F"/>
    <w:rsid w:val="0080758E"/>
    <w:rsid w:val="0081025E"/>
    <w:rsid w:val="00812261"/>
    <w:rsid w:val="008124E6"/>
    <w:rsid w:val="00812B72"/>
    <w:rsid w:val="00813360"/>
    <w:rsid w:val="00813620"/>
    <w:rsid w:val="00816ED5"/>
    <w:rsid w:val="00816F3A"/>
    <w:rsid w:val="008171ED"/>
    <w:rsid w:val="00820A94"/>
    <w:rsid w:val="00822DB3"/>
    <w:rsid w:val="00823B52"/>
    <w:rsid w:val="00823B90"/>
    <w:rsid w:val="00825F6E"/>
    <w:rsid w:val="008304E8"/>
    <w:rsid w:val="00830D17"/>
    <w:rsid w:val="00831ACA"/>
    <w:rsid w:val="00831AD5"/>
    <w:rsid w:val="00831BAA"/>
    <w:rsid w:val="00831E32"/>
    <w:rsid w:val="00834C7B"/>
    <w:rsid w:val="00836367"/>
    <w:rsid w:val="00836FA0"/>
    <w:rsid w:val="008375CF"/>
    <w:rsid w:val="008425D5"/>
    <w:rsid w:val="00843D20"/>
    <w:rsid w:val="00844454"/>
    <w:rsid w:val="00847192"/>
    <w:rsid w:val="0084731D"/>
    <w:rsid w:val="00850142"/>
    <w:rsid w:val="008511D0"/>
    <w:rsid w:val="00857420"/>
    <w:rsid w:val="0085773A"/>
    <w:rsid w:val="008603F1"/>
    <w:rsid w:val="00860543"/>
    <w:rsid w:val="00860CCE"/>
    <w:rsid w:val="00862540"/>
    <w:rsid w:val="00862551"/>
    <w:rsid w:val="0086294E"/>
    <w:rsid w:val="00863459"/>
    <w:rsid w:val="008637E1"/>
    <w:rsid w:val="00864A97"/>
    <w:rsid w:val="008669BF"/>
    <w:rsid w:val="00867E68"/>
    <w:rsid w:val="00870310"/>
    <w:rsid w:val="00872CDA"/>
    <w:rsid w:val="0087340F"/>
    <w:rsid w:val="00873D37"/>
    <w:rsid w:val="00874188"/>
    <w:rsid w:val="00876879"/>
    <w:rsid w:val="00876A8C"/>
    <w:rsid w:val="00880633"/>
    <w:rsid w:val="008816A8"/>
    <w:rsid w:val="0088256B"/>
    <w:rsid w:val="0088302D"/>
    <w:rsid w:val="008830FE"/>
    <w:rsid w:val="00883A51"/>
    <w:rsid w:val="00883B69"/>
    <w:rsid w:val="008841C7"/>
    <w:rsid w:val="00885271"/>
    <w:rsid w:val="00885C28"/>
    <w:rsid w:val="00885E3A"/>
    <w:rsid w:val="00885F6B"/>
    <w:rsid w:val="008866E0"/>
    <w:rsid w:val="00886C5D"/>
    <w:rsid w:val="00887803"/>
    <w:rsid w:val="00887ABA"/>
    <w:rsid w:val="00891481"/>
    <w:rsid w:val="00891B01"/>
    <w:rsid w:val="008926DA"/>
    <w:rsid w:val="00893A34"/>
    <w:rsid w:val="00893F1F"/>
    <w:rsid w:val="00897964"/>
    <w:rsid w:val="008A2903"/>
    <w:rsid w:val="008A2ECB"/>
    <w:rsid w:val="008A41D1"/>
    <w:rsid w:val="008A6B32"/>
    <w:rsid w:val="008A6D57"/>
    <w:rsid w:val="008A7DEB"/>
    <w:rsid w:val="008B39F2"/>
    <w:rsid w:val="008B7CC7"/>
    <w:rsid w:val="008C0BAD"/>
    <w:rsid w:val="008C0F68"/>
    <w:rsid w:val="008C1654"/>
    <w:rsid w:val="008C28B1"/>
    <w:rsid w:val="008C2E66"/>
    <w:rsid w:val="008C3CF3"/>
    <w:rsid w:val="008C4059"/>
    <w:rsid w:val="008C5061"/>
    <w:rsid w:val="008D321E"/>
    <w:rsid w:val="008D4069"/>
    <w:rsid w:val="008D4C74"/>
    <w:rsid w:val="008D578D"/>
    <w:rsid w:val="008D6F48"/>
    <w:rsid w:val="008D6F8D"/>
    <w:rsid w:val="008E0799"/>
    <w:rsid w:val="008E0C21"/>
    <w:rsid w:val="008E0D99"/>
    <w:rsid w:val="008E144C"/>
    <w:rsid w:val="008E1524"/>
    <w:rsid w:val="008E1751"/>
    <w:rsid w:val="008E2DB8"/>
    <w:rsid w:val="008E35D5"/>
    <w:rsid w:val="008E499D"/>
    <w:rsid w:val="008E6B70"/>
    <w:rsid w:val="008F1742"/>
    <w:rsid w:val="008F3401"/>
    <w:rsid w:val="008F45DD"/>
    <w:rsid w:val="008F4C04"/>
    <w:rsid w:val="008F524F"/>
    <w:rsid w:val="008F546B"/>
    <w:rsid w:val="008F558B"/>
    <w:rsid w:val="008F6BD5"/>
    <w:rsid w:val="008F7BDF"/>
    <w:rsid w:val="008F7C69"/>
    <w:rsid w:val="008F7F16"/>
    <w:rsid w:val="009011FA"/>
    <w:rsid w:val="00903A46"/>
    <w:rsid w:val="009043A5"/>
    <w:rsid w:val="00907EF1"/>
    <w:rsid w:val="009112D6"/>
    <w:rsid w:val="00911779"/>
    <w:rsid w:val="00912583"/>
    <w:rsid w:val="00912FE6"/>
    <w:rsid w:val="0091537A"/>
    <w:rsid w:val="0091613C"/>
    <w:rsid w:val="00916833"/>
    <w:rsid w:val="00916AA9"/>
    <w:rsid w:val="00917703"/>
    <w:rsid w:val="00921613"/>
    <w:rsid w:val="00921AD9"/>
    <w:rsid w:val="009229B6"/>
    <w:rsid w:val="00922DFB"/>
    <w:rsid w:val="00924DAD"/>
    <w:rsid w:val="00924EF9"/>
    <w:rsid w:val="00926B17"/>
    <w:rsid w:val="00931139"/>
    <w:rsid w:val="00931186"/>
    <w:rsid w:val="00931C60"/>
    <w:rsid w:val="00932330"/>
    <w:rsid w:val="009366A0"/>
    <w:rsid w:val="009407EE"/>
    <w:rsid w:val="00943B26"/>
    <w:rsid w:val="00943FC0"/>
    <w:rsid w:val="00950357"/>
    <w:rsid w:val="0095200D"/>
    <w:rsid w:val="009542D3"/>
    <w:rsid w:val="0095526F"/>
    <w:rsid w:val="00956DA6"/>
    <w:rsid w:val="009575E3"/>
    <w:rsid w:val="00957F52"/>
    <w:rsid w:val="00960387"/>
    <w:rsid w:val="00961C3D"/>
    <w:rsid w:val="00961DC0"/>
    <w:rsid w:val="00962484"/>
    <w:rsid w:val="0096278C"/>
    <w:rsid w:val="009643C4"/>
    <w:rsid w:val="00967BAA"/>
    <w:rsid w:val="00970DF3"/>
    <w:rsid w:val="00975870"/>
    <w:rsid w:val="00975CDC"/>
    <w:rsid w:val="009768F2"/>
    <w:rsid w:val="00981A56"/>
    <w:rsid w:val="00983242"/>
    <w:rsid w:val="00983700"/>
    <w:rsid w:val="00984467"/>
    <w:rsid w:val="0098561A"/>
    <w:rsid w:val="0098563C"/>
    <w:rsid w:val="0098603E"/>
    <w:rsid w:val="00986F53"/>
    <w:rsid w:val="0099053A"/>
    <w:rsid w:val="009918E8"/>
    <w:rsid w:val="00991ACC"/>
    <w:rsid w:val="00992345"/>
    <w:rsid w:val="00993572"/>
    <w:rsid w:val="00995D58"/>
    <w:rsid w:val="0099604A"/>
    <w:rsid w:val="009962FE"/>
    <w:rsid w:val="00996794"/>
    <w:rsid w:val="00997E46"/>
    <w:rsid w:val="009A02B9"/>
    <w:rsid w:val="009A0E5A"/>
    <w:rsid w:val="009A1F84"/>
    <w:rsid w:val="009A237B"/>
    <w:rsid w:val="009A23EE"/>
    <w:rsid w:val="009A2C24"/>
    <w:rsid w:val="009A4293"/>
    <w:rsid w:val="009A54F2"/>
    <w:rsid w:val="009A6068"/>
    <w:rsid w:val="009B0464"/>
    <w:rsid w:val="009B1209"/>
    <w:rsid w:val="009B3F9B"/>
    <w:rsid w:val="009B4464"/>
    <w:rsid w:val="009B5ED9"/>
    <w:rsid w:val="009B687E"/>
    <w:rsid w:val="009B78C5"/>
    <w:rsid w:val="009C4DC5"/>
    <w:rsid w:val="009C4F2E"/>
    <w:rsid w:val="009C5262"/>
    <w:rsid w:val="009C6B0A"/>
    <w:rsid w:val="009C77B9"/>
    <w:rsid w:val="009D07A9"/>
    <w:rsid w:val="009D176F"/>
    <w:rsid w:val="009D240C"/>
    <w:rsid w:val="009D5865"/>
    <w:rsid w:val="009D5E4C"/>
    <w:rsid w:val="009D6D25"/>
    <w:rsid w:val="009E03FB"/>
    <w:rsid w:val="009E17B9"/>
    <w:rsid w:val="009E39BD"/>
    <w:rsid w:val="009E56D2"/>
    <w:rsid w:val="009F06E5"/>
    <w:rsid w:val="009F09E6"/>
    <w:rsid w:val="009F39B2"/>
    <w:rsid w:val="009F630C"/>
    <w:rsid w:val="009F7B9A"/>
    <w:rsid w:val="009F7F75"/>
    <w:rsid w:val="00A00D99"/>
    <w:rsid w:val="00A0358C"/>
    <w:rsid w:val="00A03704"/>
    <w:rsid w:val="00A0416D"/>
    <w:rsid w:val="00A05AD3"/>
    <w:rsid w:val="00A067D6"/>
    <w:rsid w:val="00A06AC7"/>
    <w:rsid w:val="00A11347"/>
    <w:rsid w:val="00A11C67"/>
    <w:rsid w:val="00A11F20"/>
    <w:rsid w:val="00A12961"/>
    <w:rsid w:val="00A136AC"/>
    <w:rsid w:val="00A13885"/>
    <w:rsid w:val="00A144CF"/>
    <w:rsid w:val="00A169B4"/>
    <w:rsid w:val="00A16CD8"/>
    <w:rsid w:val="00A178DF"/>
    <w:rsid w:val="00A20C92"/>
    <w:rsid w:val="00A214BF"/>
    <w:rsid w:val="00A227F2"/>
    <w:rsid w:val="00A240B1"/>
    <w:rsid w:val="00A241BD"/>
    <w:rsid w:val="00A260E7"/>
    <w:rsid w:val="00A2777E"/>
    <w:rsid w:val="00A3103A"/>
    <w:rsid w:val="00A31268"/>
    <w:rsid w:val="00A31E8F"/>
    <w:rsid w:val="00A3386B"/>
    <w:rsid w:val="00A3580A"/>
    <w:rsid w:val="00A366D2"/>
    <w:rsid w:val="00A40AF3"/>
    <w:rsid w:val="00A41E37"/>
    <w:rsid w:val="00A41FC7"/>
    <w:rsid w:val="00A44EB9"/>
    <w:rsid w:val="00A458F0"/>
    <w:rsid w:val="00A46A67"/>
    <w:rsid w:val="00A474F8"/>
    <w:rsid w:val="00A51CC9"/>
    <w:rsid w:val="00A51EF6"/>
    <w:rsid w:val="00A52763"/>
    <w:rsid w:val="00A52964"/>
    <w:rsid w:val="00A541BB"/>
    <w:rsid w:val="00A557D0"/>
    <w:rsid w:val="00A637DD"/>
    <w:rsid w:val="00A64E7A"/>
    <w:rsid w:val="00A65EA6"/>
    <w:rsid w:val="00A726BC"/>
    <w:rsid w:val="00A728CA"/>
    <w:rsid w:val="00A72D91"/>
    <w:rsid w:val="00A73D4B"/>
    <w:rsid w:val="00A748A3"/>
    <w:rsid w:val="00A761FA"/>
    <w:rsid w:val="00A771C0"/>
    <w:rsid w:val="00A80CA4"/>
    <w:rsid w:val="00A81192"/>
    <w:rsid w:val="00A81297"/>
    <w:rsid w:val="00A82A72"/>
    <w:rsid w:val="00A8448E"/>
    <w:rsid w:val="00A85A08"/>
    <w:rsid w:val="00A86724"/>
    <w:rsid w:val="00A8672D"/>
    <w:rsid w:val="00A86912"/>
    <w:rsid w:val="00A90B0E"/>
    <w:rsid w:val="00A90B93"/>
    <w:rsid w:val="00A92E1D"/>
    <w:rsid w:val="00A94F1D"/>
    <w:rsid w:val="00A95810"/>
    <w:rsid w:val="00A95DA6"/>
    <w:rsid w:val="00A97006"/>
    <w:rsid w:val="00A97DC2"/>
    <w:rsid w:val="00AA0305"/>
    <w:rsid w:val="00AA1E55"/>
    <w:rsid w:val="00AA2A15"/>
    <w:rsid w:val="00AA2A96"/>
    <w:rsid w:val="00AA2B71"/>
    <w:rsid w:val="00AA42A7"/>
    <w:rsid w:val="00AA4A6B"/>
    <w:rsid w:val="00AA50D5"/>
    <w:rsid w:val="00AA714E"/>
    <w:rsid w:val="00AB1C8B"/>
    <w:rsid w:val="00AB3971"/>
    <w:rsid w:val="00AB4B80"/>
    <w:rsid w:val="00AB7678"/>
    <w:rsid w:val="00AC014E"/>
    <w:rsid w:val="00AC238D"/>
    <w:rsid w:val="00AC378A"/>
    <w:rsid w:val="00AC4B7F"/>
    <w:rsid w:val="00AC52BF"/>
    <w:rsid w:val="00AC7238"/>
    <w:rsid w:val="00AC7BEB"/>
    <w:rsid w:val="00AC7C05"/>
    <w:rsid w:val="00AD162D"/>
    <w:rsid w:val="00AD16E4"/>
    <w:rsid w:val="00AD2189"/>
    <w:rsid w:val="00AD2C02"/>
    <w:rsid w:val="00AD31A9"/>
    <w:rsid w:val="00AD50FA"/>
    <w:rsid w:val="00AD5287"/>
    <w:rsid w:val="00AD6CF5"/>
    <w:rsid w:val="00AD7847"/>
    <w:rsid w:val="00AE097A"/>
    <w:rsid w:val="00AE1B5A"/>
    <w:rsid w:val="00AE2151"/>
    <w:rsid w:val="00AE249D"/>
    <w:rsid w:val="00AE31B0"/>
    <w:rsid w:val="00AE397A"/>
    <w:rsid w:val="00AE3EC0"/>
    <w:rsid w:val="00AE6FC4"/>
    <w:rsid w:val="00AF0479"/>
    <w:rsid w:val="00AF26A2"/>
    <w:rsid w:val="00AF3DFB"/>
    <w:rsid w:val="00AF411C"/>
    <w:rsid w:val="00AF49AB"/>
    <w:rsid w:val="00AF4B64"/>
    <w:rsid w:val="00AF67E9"/>
    <w:rsid w:val="00AF7EC6"/>
    <w:rsid w:val="00B01B51"/>
    <w:rsid w:val="00B03333"/>
    <w:rsid w:val="00B033B6"/>
    <w:rsid w:val="00B0379D"/>
    <w:rsid w:val="00B0406A"/>
    <w:rsid w:val="00B06841"/>
    <w:rsid w:val="00B06B03"/>
    <w:rsid w:val="00B07DB6"/>
    <w:rsid w:val="00B113E5"/>
    <w:rsid w:val="00B1162D"/>
    <w:rsid w:val="00B14C06"/>
    <w:rsid w:val="00B153F0"/>
    <w:rsid w:val="00B162A3"/>
    <w:rsid w:val="00B17ECC"/>
    <w:rsid w:val="00B22391"/>
    <w:rsid w:val="00B22FAB"/>
    <w:rsid w:val="00B23398"/>
    <w:rsid w:val="00B245B0"/>
    <w:rsid w:val="00B26E56"/>
    <w:rsid w:val="00B2740D"/>
    <w:rsid w:val="00B27FC4"/>
    <w:rsid w:val="00B31879"/>
    <w:rsid w:val="00B3311C"/>
    <w:rsid w:val="00B33125"/>
    <w:rsid w:val="00B34A3B"/>
    <w:rsid w:val="00B355C5"/>
    <w:rsid w:val="00B3673D"/>
    <w:rsid w:val="00B44C6C"/>
    <w:rsid w:val="00B4757F"/>
    <w:rsid w:val="00B5187A"/>
    <w:rsid w:val="00B5229A"/>
    <w:rsid w:val="00B52E33"/>
    <w:rsid w:val="00B536BF"/>
    <w:rsid w:val="00B54DF0"/>
    <w:rsid w:val="00B55CD1"/>
    <w:rsid w:val="00B605F9"/>
    <w:rsid w:val="00B61C67"/>
    <w:rsid w:val="00B6314D"/>
    <w:rsid w:val="00B64BD8"/>
    <w:rsid w:val="00B70EFF"/>
    <w:rsid w:val="00B713DA"/>
    <w:rsid w:val="00B71654"/>
    <w:rsid w:val="00B727C2"/>
    <w:rsid w:val="00B730F4"/>
    <w:rsid w:val="00B738C7"/>
    <w:rsid w:val="00B747AC"/>
    <w:rsid w:val="00B75E1D"/>
    <w:rsid w:val="00B77124"/>
    <w:rsid w:val="00B8023E"/>
    <w:rsid w:val="00B82106"/>
    <w:rsid w:val="00B82526"/>
    <w:rsid w:val="00B82809"/>
    <w:rsid w:val="00B87915"/>
    <w:rsid w:val="00B87EE6"/>
    <w:rsid w:val="00B9084D"/>
    <w:rsid w:val="00B91224"/>
    <w:rsid w:val="00B91420"/>
    <w:rsid w:val="00B92DEC"/>
    <w:rsid w:val="00B9525A"/>
    <w:rsid w:val="00BA015D"/>
    <w:rsid w:val="00BA064C"/>
    <w:rsid w:val="00BA08F9"/>
    <w:rsid w:val="00BA0C85"/>
    <w:rsid w:val="00BA1B22"/>
    <w:rsid w:val="00BA2D0A"/>
    <w:rsid w:val="00BA4091"/>
    <w:rsid w:val="00BA4735"/>
    <w:rsid w:val="00BA54D5"/>
    <w:rsid w:val="00BB2DB8"/>
    <w:rsid w:val="00BB3A50"/>
    <w:rsid w:val="00BB4D9B"/>
    <w:rsid w:val="00BB647C"/>
    <w:rsid w:val="00BC0C83"/>
    <w:rsid w:val="00BC33E7"/>
    <w:rsid w:val="00BC469B"/>
    <w:rsid w:val="00BC5604"/>
    <w:rsid w:val="00BC5A0A"/>
    <w:rsid w:val="00BC61B1"/>
    <w:rsid w:val="00BC74B2"/>
    <w:rsid w:val="00BD1F16"/>
    <w:rsid w:val="00BD201F"/>
    <w:rsid w:val="00BD27A9"/>
    <w:rsid w:val="00BD55D3"/>
    <w:rsid w:val="00BD6678"/>
    <w:rsid w:val="00BD787F"/>
    <w:rsid w:val="00BD7E26"/>
    <w:rsid w:val="00BE00F2"/>
    <w:rsid w:val="00BE170E"/>
    <w:rsid w:val="00BE209A"/>
    <w:rsid w:val="00BE2293"/>
    <w:rsid w:val="00BE2455"/>
    <w:rsid w:val="00BE24AF"/>
    <w:rsid w:val="00BE37DF"/>
    <w:rsid w:val="00BE37E1"/>
    <w:rsid w:val="00BE4B28"/>
    <w:rsid w:val="00BE4B7F"/>
    <w:rsid w:val="00BE4ED0"/>
    <w:rsid w:val="00BE57F6"/>
    <w:rsid w:val="00BE5C03"/>
    <w:rsid w:val="00BE6E5D"/>
    <w:rsid w:val="00BE7220"/>
    <w:rsid w:val="00BF021D"/>
    <w:rsid w:val="00BF1502"/>
    <w:rsid w:val="00BF20FD"/>
    <w:rsid w:val="00BF2D80"/>
    <w:rsid w:val="00BF2DF2"/>
    <w:rsid w:val="00BF32A0"/>
    <w:rsid w:val="00BF34A5"/>
    <w:rsid w:val="00BF3828"/>
    <w:rsid w:val="00BF4F4D"/>
    <w:rsid w:val="00BF5144"/>
    <w:rsid w:val="00BF5E9D"/>
    <w:rsid w:val="00BF68DA"/>
    <w:rsid w:val="00BF6FD9"/>
    <w:rsid w:val="00C00747"/>
    <w:rsid w:val="00C01116"/>
    <w:rsid w:val="00C02336"/>
    <w:rsid w:val="00C04254"/>
    <w:rsid w:val="00C043A7"/>
    <w:rsid w:val="00C044F1"/>
    <w:rsid w:val="00C050D3"/>
    <w:rsid w:val="00C10374"/>
    <w:rsid w:val="00C12840"/>
    <w:rsid w:val="00C13480"/>
    <w:rsid w:val="00C135D0"/>
    <w:rsid w:val="00C13DA1"/>
    <w:rsid w:val="00C1593D"/>
    <w:rsid w:val="00C172E3"/>
    <w:rsid w:val="00C217D7"/>
    <w:rsid w:val="00C21910"/>
    <w:rsid w:val="00C21FE9"/>
    <w:rsid w:val="00C22372"/>
    <w:rsid w:val="00C22791"/>
    <w:rsid w:val="00C22951"/>
    <w:rsid w:val="00C244FF"/>
    <w:rsid w:val="00C268EB"/>
    <w:rsid w:val="00C27FC3"/>
    <w:rsid w:val="00C33D51"/>
    <w:rsid w:val="00C34065"/>
    <w:rsid w:val="00C35BF3"/>
    <w:rsid w:val="00C3670D"/>
    <w:rsid w:val="00C41370"/>
    <w:rsid w:val="00C41EED"/>
    <w:rsid w:val="00C44156"/>
    <w:rsid w:val="00C442B6"/>
    <w:rsid w:val="00C459A1"/>
    <w:rsid w:val="00C47A2B"/>
    <w:rsid w:val="00C5096F"/>
    <w:rsid w:val="00C50CC6"/>
    <w:rsid w:val="00C52108"/>
    <w:rsid w:val="00C5302D"/>
    <w:rsid w:val="00C5403F"/>
    <w:rsid w:val="00C55956"/>
    <w:rsid w:val="00C55CDD"/>
    <w:rsid w:val="00C56B7C"/>
    <w:rsid w:val="00C5787F"/>
    <w:rsid w:val="00C5790C"/>
    <w:rsid w:val="00C57E44"/>
    <w:rsid w:val="00C608D7"/>
    <w:rsid w:val="00C60E71"/>
    <w:rsid w:val="00C61A6F"/>
    <w:rsid w:val="00C62F4A"/>
    <w:rsid w:val="00C6318D"/>
    <w:rsid w:val="00C634DB"/>
    <w:rsid w:val="00C63883"/>
    <w:rsid w:val="00C66506"/>
    <w:rsid w:val="00C70641"/>
    <w:rsid w:val="00C72EF0"/>
    <w:rsid w:val="00C7318D"/>
    <w:rsid w:val="00C74CC2"/>
    <w:rsid w:val="00C76487"/>
    <w:rsid w:val="00C77322"/>
    <w:rsid w:val="00C77ACD"/>
    <w:rsid w:val="00C81584"/>
    <w:rsid w:val="00C82FC1"/>
    <w:rsid w:val="00C83726"/>
    <w:rsid w:val="00C85536"/>
    <w:rsid w:val="00C87104"/>
    <w:rsid w:val="00C9240D"/>
    <w:rsid w:val="00C9245C"/>
    <w:rsid w:val="00C9337A"/>
    <w:rsid w:val="00C96565"/>
    <w:rsid w:val="00C975F3"/>
    <w:rsid w:val="00C9766A"/>
    <w:rsid w:val="00C9795B"/>
    <w:rsid w:val="00CA0095"/>
    <w:rsid w:val="00CA1310"/>
    <w:rsid w:val="00CA1ABE"/>
    <w:rsid w:val="00CA27D5"/>
    <w:rsid w:val="00CA3336"/>
    <w:rsid w:val="00CA3630"/>
    <w:rsid w:val="00CA49A2"/>
    <w:rsid w:val="00CA4D80"/>
    <w:rsid w:val="00CA5501"/>
    <w:rsid w:val="00CA552A"/>
    <w:rsid w:val="00CA55AC"/>
    <w:rsid w:val="00CA5DA4"/>
    <w:rsid w:val="00CA6831"/>
    <w:rsid w:val="00CA683E"/>
    <w:rsid w:val="00CB0179"/>
    <w:rsid w:val="00CB0A22"/>
    <w:rsid w:val="00CB0C87"/>
    <w:rsid w:val="00CB2278"/>
    <w:rsid w:val="00CB354D"/>
    <w:rsid w:val="00CB6BD8"/>
    <w:rsid w:val="00CB74C1"/>
    <w:rsid w:val="00CC0031"/>
    <w:rsid w:val="00CC1B2D"/>
    <w:rsid w:val="00CC2C4F"/>
    <w:rsid w:val="00CC3FDF"/>
    <w:rsid w:val="00CC5249"/>
    <w:rsid w:val="00CC60B9"/>
    <w:rsid w:val="00CD0C6A"/>
    <w:rsid w:val="00CD1628"/>
    <w:rsid w:val="00CD2712"/>
    <w:rsid w:val="00CD35A0"/>
    <w:rsid w:val="00CD41EE"/>
    <w:rsid w:val="00CD44B7"/>
    <w:rsid w:val="00CD476F"/>
    <w:rsid w:val="00CD664F"/>
    <w:rsid w:val="00CD7C95"/>
    <w:rsid w:val="00CE1F44"/>
    <w:rsid w:val="00CE3D5E"/>
    <w:rsid w:val="00CE49E7"/>
    <w:rsid w:val="00CE642E"/>
    <w:rsid w:val="00CF034B"/>
    <w:rsid w:val="00CF32E9"/>
    <w:rsid w:val="00CF345C"/>
    <w:rsid w:val="00CF4E94"/>
    <w:rsid w:val="00CF56C1"/>
    <w:rsid w:val="00CF75BA"/>
    <w:rsid w:val="00D0100E"/>
    <w:rsid w:val="00D010E3"/>
    <w:rsid w:val="00D01A19"/>
    <w:rsid w:val="00D02E90"/>
    <w:rsid w:val="00D0482D"/>
    <w:rsid w:val="00D05810"/>
    <w:rsid w:val="00D0704A"/>
    <w:rsid w:val="00D10925"/>
    <w:rsid w:val="00D10E63"/>
    <w:rsid w:val="00D11A9C"/>
    <w:rsid w:val="00D15ADE"/>
    <w:rsid w:val="00D20416"/>
    <w:rsid w:val="00D20CCF"/>
    <w:rsid w:val="00D21823"/>
    <w:rsid w:val="00D21942"/>
    <w:rsid w:val="00D224A3"/>
    <w:rsid w:val="00D22B65"/>
    <w:rsid w:val="00D232ED"/>
    <w:rsid w:val="00D23682"/>
    <w:rsid w:val="00D23891"/>
    <w:rsid w:val="00D30BD9"/>
    <w:rsid w:val="00D30C9F"/>
    <w:rsid w:val="00D31275"/>
    <w:rsid w:val="00D3196B"/>
    <w:rsid w:val="00D324FC"/>
    <w:rsid w:val="00D32E10"/>
    <w:rsid w:val="00D34337"/>
    <w:rsid w:val="00D35F36"/>
    <w:rsid w:val="00D378DF"/>
    <w:rsid w:val="00D41322"/>
    <w:rsid w:val="00D42B0C"/>
    <w:rsid w:val="00D47807"/>
    <w:rsid w:val="00D47AC5"/>
    <w:rsid w:val="00D5090D"/>
    <w:rsid w:val="00D5113F"/>
    <w:rsid w:val="00D52351"/>
    <w:rsid w:val="00D52611"/>
    <w:rsid w:val="00D56336"/>
    <w:rsid w:val="00D56BA7"/>
    <w:rsid w:val="00D576E9"/>
    <w:rsid w:val="00D5781D"/>
    <w:rsid w:val="00D617EF"/>
    <w:rsid w:val="00D61CD9"/>
    <w:rsid w:val="00D6213B"/>
    <w:rsid w:val="00D62ECD"/>
    <w:rsid w:val="00D63B22"/>
    <w:rsid w:val="00D655B9"/>
    <w:rsid w:val="00D65CF2"/>
    <w:rsid w:val="00D66127"/>
    <w:rsid w:val="00D6682C"/>
    <w:rsid w:val="00D66CF8"/>
    <w:rsid w:val="00D66DB5"/>
    <w:rsid w:val="00D67F9B"/>
    <w:rsid w:val="00D7008D"/>
    <w:rsid w:val="00D70376"/>
    <w:rsid w:val="00D7086E"/>
    <w:rsid w:val="00D70C49"/>
    <w:rsid w:val="00D70F3A"/>
    <w:rsid w:val="00D71EDD"/>
    <w:rsid w:val="00D72BEF"/>
    <w:rsid w:val="00D72C62"/>
    <w:rsid w:val="00D73886"/>
    <w:rsid w:val="00D7491B"/>
    <w:rsid w:val="00D76AB8"/>
    <w:rsid w:val="00D772B3"/>
    <w:rsid w:val="00D77A52"/>
    <w:rsid w:val="00D81B58"/>
    <w:rsid w:val="00D81C14"/>
    <w:rsid w:val="00D81C7E"/>
    <w:rsid w:val="00D832D5"/>
    <w:rsid w:val="00D83376"/>
    <w:rsid w:val="00D84B5D"/>
    <w:rsid w:val="00D853FF"/>
    <w:rsid w:val="00D86AB1"/>
    <w:rsid w:val="00D8705F"/>
    <w:rsid w:val="00D87A07"/>
    <w:rsid w:val="00D90C27"/>
    <w:rsid w:val="00D92408"/>
    <w:rsid w:val="00D92A15"/>
    <w:rsid w:val="00D934FF"/>
    <w:rsid w:val="00D943DD"/>
    <w:rsid w:val="00D94506"/>
    <w:rsid w:val="00D957C0"/>
    <w:rsid w:val="00D965FE"/>
    <w:rsid w:val="00DA0546"/>
    <w:rsid w:val="00DA1332"/>
    <w:rsid w:val="00DA2591"/>
    <w:rsid w:val="00DA377B"/>
    <w:rsid w:val="00DA48F6"/>
    <w:rsid w:val="00DA5238"/>
    <w:rsid w:val="00DA53C1"/>
    <w:rsid w:val="00DA5621"/>
    <w:rsid w:val="00DA5B67"/>
    <w:rsid w:val="00DA7ECD"/>
    <w:rsid w:val="00DB09E4"/>
    <w:rsid w:val="00DB0D56"/>
    <w:rsid w:val="00DB2D17"/>
    <w:rsid w:val="00DB5E4D"/>
    <w:rsid w:val="00DB5F9F"/>
    <w:rsid w:val="00DB6C97"/>
    <w:rsid w:val="00DB6D1F"/>
    <w:rsid w:val="00DB7746"/>
    <w:rsid w:val="00DC00E5"/>
    <w:rsid w:val="00DC11CB"/>
    <w:rsid w:val="00DC13EA"/>
    <w:rsid w:val="00DC1BB7"/>
    <w:rsid w:val="00DC3ADA"/>
    <w:rsid w:val="00DC3BCB"/>
    <w:rsid w:val="00DC4A0B"/>
    <w:rsid w:val="00DC4D66"/>
    <w:rsid w:val="00DC6C38"/>
    <w:rsid w:val="00DC73B8"/>
    <w:rsid w:val="00DC78F4"/>
    <w:rsid w:val="00DD026E"/>
    <w:rsid w:val="00DD1389"/>
    <w:rsid w:val="00DD1715"/>
    <w:rsid w:val="00DD2C4D"/>
    <w:rsid w:val="00DD35FE"/>
    <w:rsid w:val="00DD37BF"/>
    <w:rsid w:val="00DD4340"/>
    <w:rsid w:val="00DD44AD"/>
    <w:rsid w:val="00DD45F6"/>
    <w:rsid w:val="00DD5596"/>
    <w:rsid w:val="00DD5A7F"/>
    <w:rsid w:val="00DD6B23"/>
    <w:rsid w:val="00DE1E06"/>
    <w:rsid w:val="00DE342A"/>
    <w:rsid w:val="00DE48C3"/>
    <w:rsid w:val="00DE493A"/>
    <w:rsid w:val="00DE5099"/>
    <w:rsid w:val="00DE58AE"/>
    <w:rsid w:val="00DE7190"/>
    <w:rsid w:val="00DF1157"/>
    <w:rsid w:val="00DF178D"/>
    <w:rsid w:val="00DF2711"/>
    <w:rsid w:val="00DF2E2D"/>
    <w:rsid w:val="00DF38C7"/>
    <w:rsid w:val="00DF4392"/>
    <w:rsid w:val="00DF4E1F"/>
    <w:rsid w:val="00DF69A1"/>
    <w:rsid w:val="00DF6DE1"/>
    <w:rsid w:val="00DF752E"/>
    <w:rsid w:val="00E0035B"/>
    <w:rsid w:val="00E00956"/>
    <w:rsid w:val="00E011B3"/>
    <w:rsid w:val="00E01A14"/>
    <w:rsid w:val="00E01A51"/>
    <w:rsid w:val="00E024A6"/>
    <w:rsid w:val="00E02EE2"/>
    <w:rsid w:val="00E03364"/>
    <w:rsid w:val="00E041DE"/>
    <w:rsid w:val="00E04B3B"/>
    <w:rsid w:val="00E04D4A"/>
    <w:rsid w:val="00E04D61"/>
    <w:rsid w:val="00E05109"/>
    <w:rsid w:val="00E05894"/>
    <w:rsid w:val="00E0642C"/>
    <w:rsid w:val="00E06BD0"/>
    <w:rsid w:val="00E109E0"/>
    <w:rsid w:val="00E1364D"/>
    <w:rsid w:val="00E14FA3"/>
    <w:rsid w:val="00E151B6"/>
    <w:rsid w:val="00E153CF"/>
    <w:rsid w:val="00E1543D"/>
    <w:rsid w:val="00E15D9B"/>
    <w:rsid w:val="00E169B1"/>
    <w:rsid w:val="00E16E68"/>
    <w:rsid w:val="00E16FAF"/>
    <w:rsid w:val="00E1736A"/>
    <w:rsid w:val="00E17572"/>
    <w:rsid w:val="00E176F6"/>
    <w:rsid w:val="00E177EE"/>
    <w:rsid w:val="00E204AA"/>
    <w:rsid w:val="00E245F0"/>
    <w:rsid w:val="00E2566D"/>
    <w:rsid w:val="00E27820"/>
    <w:rsid w:val="00E304B3"/>
    <w:rsid w:val="00E32827"/>
    <w:rsid w:val="00E329AF"/>
    <w:rsid w:val="00E342B0"/>
    <w:rsid w:val="00E350B7"/>
    <w:rsid w:val="00E356BA"/>
    <w:rsid w:val="00E37D1E"/>
    <w:rsid w:val="00E40979"/>
    <w:rsid w:val="00E435B7"/>
    <w:rsid w:val="00E43A26"/>
    <w:rsid w:val="00E43B64"/>
    <w:rsid w:val="00E4627A"/>
    <w:rsid w:val="00E466D8"/>
    <w:rsid w:val="00E46AF2"/>
    <w:rsid w:val="00E47557"/>
    <w:rsid w:val="00E503F7"/>
    <w:rsid w:val="00E5543F"/>
    <w:rsid w:val="00E6140D"/>
    <w:rsid w:val="00E61F52"/>
    <w:rsid w:val="00E6414B"/>
    <w:rsid w:val="00E64851"/>
    <w:rsid w:val="00E65908"/>
    <w:rsid w:val="00E65A92"/>
    <w:rsid w:val="00E67C51"/>
    <w:rsid w:val="00E70BD3"/>
    <w:rsid w:val="00E71783"/>
    <w:rsid w:val="00E71967"/>
    <w:rsid w:val="00E7237E"/>
    <w:rsid w:val="00E72A5A"/>
    <w:rsid w:val="00E72D5C"/>
    <w:rsid w:val="00E735B1"/>
    <w:rsid w:val="00E73BE0"/>
    <w:rsid w:val="00E741ED"/>
    <w:rsid w:val="00E770AD"/>
    <w:rsid w:val="00E77FD2"/>
    <w:rsid w:val="00E81DCB"/>
    <w:rsid w:val="00E85206"/>
    <w:rsid w:val="00E90B31"/>
    <w:rsid w:val="00E90BDF"/>
    <w:rsid w:val="00E90F61"/>
    <w:rsid w:val="00E929ED"/>
    <w:rsid w:val="00E940AC"/>
    <w:rsid w:val="00E94F36"/>
    <w:rsid w:val="00E95883"/>
    <w:rsid w:val="00EA258A"/>
    <w:rsid w:val="00EA447E"/>
    <w:rsid w:val="00EA4DBC"/>
    <w:rsid w:val="00EA4F6E"/>
    <w:rsid w:val="00EA50AB"/>
    <w:rsid w:val="00EB037F"/>
    <w:rsid w:val="00EB06A5"/>
    <w:rsid w:val="00EB10EA"/>
    <w:rsid w:val="00EB1595"/>
    <w:rsid w:val="00EB240F"/>
    <w:rsid w:val="00EB31AB"/>
    <w:rsid w:val="00EB4EFE"/>
    <w:rsid w:val="00EB5751"/>
    <w:rsid w:val="00EB7402"/>
    <w:rsid w:val="00EB7619"/>
    <w:rsid w:val="00EC0C3F"/>
    <w:rsid w:val="00EC175E"/>
    <w:rsid w:val="00EC22D7"/>
    <w:rsid w:val="00EC245A"/>
    <w:rsid w:val="00EC4BAE"/>
    <w:rsid w:val="00EC5B7C"/>
    <w:rsid w:val="00EC5D37"/>
    <w:rsid w:val="00EC693A"/>
    <w:rsid w:val="00EC6A3F"/>
    <w:rsid w:val="00ED2391"/>
    <w:rsid w:val="00ED3DA3"/>
    <w:rsid w:val="00ED5597"/>
    <w:rsid w:val="00ED7926"/>
    <w:rsid w:val="00EE6411"/>
    <w:rsid w:val="00EE66C7"/>
    <w:rsid w:val="00EE6B2F"/>
    <w:rsid w:val="00EE70C3"/>
    <w:rsid w:val="00EF02F8"/>
    <w:rsid w:val="00EF0400"/>
    <w:rsid w:val="00EF5730"/>
    <w:rsid w:val="00EF5C83"/>
    <w:rsid w:val="00EF7D7A"/>
    <w:rsid w:val="00F002B2"/>
    <w:rsid w:val="00F00AC2"/>
    <w:rsid w:val="00F01C27"/>
    <w:rsid w:val="00F0204B"/>
    <w:rsid w:val="00F0301C"/>
    <w:rsid w:val="00F03B3D"/>
    <w:rsid w:val="00F05177"/>
    <w:rsid w:val="00F0601A"/>
    <w:rsid w:val="00F0724E"/>
    <w:rsid w:val="00F12FA2"/>
    <w:rsid w:val="00F14C67"/>
    <w:rsid w:val="00F15518"/>
    <w:rsid w:val="00F17616"/>
    <w:rsid w:val="00F22E5F"/>
    <w:rsid w:val="00F233B0"/>
    <w:rsid w:val="00F241F7"/>
    <w:rsid w:val="00F24E5E"/>
    <w:rsid w:val="00F25D76"/>
    <w:rsid w:val="00F26DA9"/>
    <w:rsid w:val="00F307D9"/>
    <w:rsid w:val="00F31D64"/>
    <w:rsid w:val="00F33537"/>
    <w:rsid w:val="00F33736"/>
    <w:rsid w:val="00F33B09"/>
    <w:rsid w:val="00F3434E"/>
    <w:rsid w:val="00F358FC"/>
    <w:rsid w:val="00F36D4A"/>
    <w:rsid w:val="00F376EB"/>
    <w:rsid w:val="00F37FE5"/>
    <w:rsid w:val="00F40746"/>
    <w:rsid w:val="00F40EC2"/>
    <w:rsid w:val="00F40EFA"/>
    <w:rsid w:val="00F41545"/>
    <w:rsid w:val="00F41EEA"/>
    <w:rsid w:val="00F4341D"/>
    <w:rsid w:val="00F4545C"/>
    <w:rsid w:val="00F45E80"/>
    <w:rsid w:val="00F50177"/>
    <w:rsid w:val="00F51132"/>
    <w:rsid w:val="00F51CC5"/>
    <w:rsid w:val="00F51F90"/>
    <w:rsid w:val="00F567BF"/>
    <w:rsid w:val="00F56AC0"/>
    <w:rsid w:val="00F56F0E"/>
    <w:rsid w:val="00F56F47"/>
    <w:rsid w:val="00F57335"/>
    <w:rsid w:val="00F57A39"/>
    <w:rsid w:val="00F6031B"/>
    <w:rsid w:val="00F60E57"/>
    <w:rsid w:val="00F61F72"/>
    <w:rsid w:val="00F62680"/>
    <w:rsid w:val="00F63723"/>
    <w:rsid w:val="00F63BA4"/>
    <w:rsid w:val="00F65E9E"/>
    <w:rsid w:val="00F7025D"/>
    <w:rsid w:val="00F72085"/>
    <w:rsid w:val="00F73FF5"/>
    <w:rsid w:val="00F74EFB"/>
    <w:rsid w:val="00F7581D"/>
    <w:rsid w:val="00F76F54"/>
    <w:rsid w:val="00F7712A"/>
    <w:rsid w:val="00F77955"/>
    <w:rsid w:val="00F803F8"/>
    <w:rsid w:val="00F8144D"/>
    <w:rsid w:val="00F82B0E"/>
    <w:rsid w:val="00F8415B"/>
    <w:rsid w:val="00F84424"/>
    <w:rsid w:val="00F865DC"/>
    <w:rsid w:val="00F869F8"/>
    <w:rsid w:val="00F86B46"/>
    <w:rsid w:val="00F86BE3"/>
    <w:rsid w:val="00F86F05"/>
    <w:rsid w:val="00F87CE0"/>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A7C37"/>
    <w:rsid w:val="00FB0933"/>
    <w:rsid w:val="00FB13E0"/>
    <w:rsid w:val="00FB38D6"/>
    <w:rsid w:val="00FB4CA8"/>
    <w:rsid w:val="00FB4E9D"/>
    <w:rsid w:val="00FB5EBA"/>
    <w:rsid w:val="00FB6B34"/>
    <w:rsid w:val="00FC07C4"/>
    <w:rsid w:val="00FC1619"/>
    <w:rsid w:val="00FC19E8"/>
    <w:rsid w:val="00FC22CF"/>
    <w:rsid w:val="00FC3B31"/>
    <w:rsid w:val="00FC43D1"/>
    <w:rsid w:val="00FC4541"/>
    <w:rsid w:val="00FC5866"/>
    <w:rsid w:val="00FC5A75"/>
    <w:rsid w:val="00FC5B63"/>
    <w:rsid w:val="00FC5E53"/>
    <w:rsid w:val="00FD0BDA"/>
    <w:rsid w:val="00FD3EB9"/>
    <w:rsid w:val="00FD4975"/>
    <w:rsid w:val="00FD4992"/>
    <w:rsid w:val="00FD69D3"/>
    <w:rsid w:val="00FD79FF"/>
    <w:rsid w:val="00FE297B"/>
    <w:rsid w:val="00FE3880"/>
    <w:rsid w:val="00FE47DF"/>
    <w:rsid w:val="00FE7555"/>
    <w:rsid w:val="00FE75DD"/>
    <w:rsid w:val="00FE78C4"/>
    <w:rsid w:val="00FF0C5F"/>
    <w:rsid w:val="00FF0CC1"/>
    <w:rsid w:val="00FF253E"/>
    <w:rsid w:val="00FF274C"/>
    <w:rsid w:val="00FF2B67"/>
    <w:rsid w:val="00FF354D"/>
    <w:rsid w:val="00FF426B"/>
    <w:rsid w:val="00FF61E2"/>
    <w:rsid w:val="00FF61F5"/>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nancialtableLHC">
    <w:name w:val="Financial table LHC"/>
    <w:basedOn w:val="Normal"/>
    <w:qFormat/>
    <w:rsid w:val="00D86AB1"/>
    <w:pPr>
      <w:keepLines/>
      <w:spacing w:after="0" w:line="240" w:lineRule="auto"/>
      <w:contextualSpacing/>
    </w:pPr>
    <w:rPr>
      <w:rFonts w:ascii="Calibri" w:eastAsiaTheme="minorHAnsi" w:hAnsi="Calibri"/>
      <w:szCs w:val="24"/>
      <w:lang w:val="en-NZ" w:eastAsia="en-US"/>
    </w:rPr>
  </w:style>
  <w:style w:type="paragraph" w:styleId="Revision">
    <w:name w:val="Revision"/>
    <w:hidden/>
    <w:uiPriority w:val="99"/>
    <w:semiHidden/>
    <w:rsid w:val="00D47807"/>
    <w:rPr>
      <w:rFonts w:ascii="Arial" w:hAnsi="Arial"/>
      <w:sz w:val="22"/>
      <w:lang w:val="en-GB" w:eastAsia="en-GB"/>
    </w:rPr>
  </w:style>
  <w:style w:type="paragraph" w:customStyle="1" w:styleId="Numberparagraph">
    <w:name w:val="Number paragraph"/>
    <w:basedOn w:val="Normal"/>
    <w:qFormat/>
    <w:rsid w:val="003C4AAE"/>
    <w:pPr>
      <w:numPr>
        <w:numId w:val="33"/>
      </w:numPr>
      <w:tabs>
        <w:tab w:val="left" w:pos="567"/>
      </w:tabs>
      <w:spacing w:after="0" w:line="240" w:lineRule="auto"/>
      <w:jc w:val="both"/>
    </w:pPr>
    <w:rPr>
      <w:rFonts w:ascii="Times New Roman" w:hAnsi="Times New Roman"/>
      <w:sz w:val="24"/>
      <w:szCs w:val="24"/>
      <w:lang w:val="en-NZ"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nancialtableLHC">
    <w:name w:val="Financial table LHC"/>
    <w:basedOn w:val="Normal"/>
    <w:qFormat/>
    <w:rsid w:val="00D86AB1"/>
    <w:pPr>
      <w:keepLines/>
      <w:spacing w:after="0" w:line="240" w:lineRule="auto"/>
      <w:contextualSpacing/>
    </w:pPr>
    <w:rPr>
      <w:rFonts w:ascii="Calibri" w:eastAsiaTheme="minorHAnsi" w:hAnsi="Calibri"/>
      <w:szCs w:val="24"/>
      <w:lang w:val="en-NZ" w:eastAsia="en-US"/>
    </w:rPr>
  </w:style>
  <w:style w:type="paragraph" w:styleId="Revision">
    <w:name w:val="Revision"/>
    <w:hidden/>
    <w:uiPriority w:val="99"/>
    <w:semiHidden/>
    <w:rsid w:val="00D47807"/>
    <w:rPr>
      <w:rFonts w:ascii="Arial" w:hAnsi="Arial"/>
      <w:sz w:val="22"/>
      <w:lang w:val="en-GB" w:eastAsia="en-GB"/>
    </w:rPr>
  </w:style>
  <w:style w:type="paragraph" w:customStyle="1" w:styleId="Numberparagraph">
    <w:name w:val="Number paragraph"/>
    <w:basedOn w:val="Normal"/>
    <w:qFormat/>
    <w:rsid w:val="003C4AAE"/>
    <w:pPr>
      <w:numPr>
        <w:numId w:val="33"/>
      </w:numPr>
      <w:tabs>
        <w:tab w:val="left" w:pos="567"/>
      </w:tabs>
      <w:spacing w:after="0" w:line="240" w:lineRule="auto"/>
      <w:jc w:val="both"/>
    </w:pPr>
    <w:rPr>
      <w:rFonts w:ascii="Times New Roman" w:hAnsi="Times New Roman"/>
      <w:sz w:val="24"/>
      <w:szCs w:val="24"/>
      <w:lang w:val="en-NZ"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238390">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EB40-9B74-47D9-A91D-E78ADBF4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3806</Words>
  <Characters>20949</Characters>
  <Application>Microsoft Office Word</Application>
  <DocSecurity>0</DocSecurity>
  <Lines>581</Lines>
  <Paragraphs>150</Paragraphs>
  <ScaleCrop>false</ScaleCrop>
  <HeadingPairs>
    <vt:vector size="2" baseType="variant">
      <vt:variant>
        <vt:lpstr>Title</vt:lpstr>
      </vt:variant>
      <vt:variant>
        <vt:i4>1</vt:i4>
      </vt:variant>
    </vt:vector>
  </HeadingPairs>
  <TitlesOfParts>
    <vt:vector size="1" baseType="lpstr">
      <vt:lpstr>Regulatory impact statement - Requiring non-resident IRD number applicant to have a New Zealand bank account</vt:lpstr>
    </vt:vector>
  </TitlesOfParts>
  <Manager/>
  <Company>Inland Revenue</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Requiring non-resident IRD number applicant to have a New Zealand bank account</dc:title>
  <dc:creator>Policy and Strategy</dc:creator>
  <dc:description>Published on 22 June 2015</dc:description>
  <cp:lastModifiedBy>David Nind</cp:lastModifiedBy>
  <cp:revision>2</cp:revision>
  <dcterms:created xsi:type="dcterms:W3CDTF">2015-06-21T22:37:00Z</dcterms:created>
  <dcterms:modified xsi:type="dcterms:W3CDTF">2015-06-21T22:38:00Z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