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26" w:rsidRPr="00D33642" w:rsidRDefault="00EA0226" w:rsidP="00D33642">
      <w:pPr>
        <w:jc w:val="center"/>
        <w:rPr>
          <w:b/>
          <w:lang w:val="en-NZ"/>
        </w:rPr>
      </w:pPr>
    </w:p>
    <w:p w:rsidR="001425E7" w:rsidRPr="00D33642" w:rsidRDefault="001425E7" w:rsidP="00D33642">
      <w:pPr>
        <w:jc w:val="center"/>
        <w:rPr>
          <w:b/>
          <w:lang w:val="en-NZ"/>
        </w:rPr>
      </w:pPr>
    </w:p>
    <w:p w:rsidR="00526ACB" w:rsidRPr="00526ACB" w:rsidRDefault="00526ACB" w:rsidP="00526ACB">
      <w:pPr>
        <w:jc w:val="center"/>
        <w:rPr>
          <w:rFonts w:eastAsia="Calibri"/>
          <w:b/>
          <w:szCs w:val="22"/>
          <w:lang w:val="en-NZ" w:eastAsia="en-US"/>
        </w:rPr>
      </w:pPr>
    </w:p>
    <w:p w:rsidR="00526ACB" w:rsidRPr="00526ACB" w:rsidRDefault="00526ACB" w:rsidP="00526ACB">
      <w:pPr>
        <w:jc w:val="center"/>
        <w:rPr>
          <w:rFonts w:eastAsia="Calibri"/>
          <w:b/>
          <w:szCs w:val="22"/>
          <w:lang w:val="en-NZ" w:eastAsia="en-US"/>
        </w:rPr>
      </w:pPr>
    </w:p>
    <w:p w:rsidR="00526ACB" w:rsidRPr="00526ACB" w:rsidRDefault="00526ACB" w:rsidP="00526ACB">
      <w:pPr>
        <w:jc w:val="center"/>
        <w:rPr>
          <w:rFonts w:eastAsia="Calibri"/>
          <w:b/>
          <w:szCs w:val="22"/>
          <w:lang w:val="en-NZ" w:eastAsia="en-US"/>
        </w:rPr>
      </w:pPr>
    </w:p>
    <w:p w:rsidR="00526ACB" w:rsidRPr="00526ACB" w:rsidRDefault="00F92033" w:rsidP="00526ACB">
      <w:pPr>
        <w:pBdr>
          <w:bottom w:val="single" w:sz="4" w:space="5" w:color="auto"/>
        </w:pBdr>
        <w:jc w:val="center"/>
        <w:rPr>
          <w:rFonts w:eastAsia="Calibri"/>
          <w:sz w:val="68"/>
          <w:szCs w:val="68"/>
          <w:lang w:val="en-NZ" w:eastAsia="en-US"/>
        </w:rPr>
      </w:pPr>
      <w:r>
        <w:rPr>
          <w:rFonts w:eastAsia="Calibri"/>
          <w:sz w:val="68"/>
          <w:szCs w:val="68"/>
          <w:lang w:val="en-NZ" w:eastAsia="en-US"/>
        </w:rPr>
        <w:t>NRWT</w:t>
      </w:r>
      <w:r w:rsidR="005058C9">
        <w:rPr>
          <w:rFonts w:eastAsia="Calibri"/>
          <w:sz w:val="68"/>
          <w:szCs w:val="68"/>
          <w:lang w:val="en-NZ" w:eastAsia="en-US"/>
        </w:rPr>
        <w:t>:</w:t>
      </w:r>
      <w:r w:rsidR="00C21D11">
        <w:rPr>
          <w:rFonts w:eastAsia="Calibri"/>
          <w:sz w:val="68"/>
          <w:szCs w:val="68"/>
          <w:lang w:val="en-NZ" w:eastAsia="en-US"/>
        </w:rPr>
        <w:t xml:space="preserve"> </w:t>
      </w:r>
      <w:r w:rsidR="00526ACB">
        <w:rPr>
          <w:rFonts w:eastAsia="Calibri"/>
          <w:sz w:val="68"/>
          <w:szCs w:val="68"/>
          <w:lang w:val="en-NZ" w:eastAsia="en-US"/>
        </w:rPr>
        <w:t>related party</w:t>
      </w:r>
      <w:r w:rsidR="00C21D11">
        <w:rPr>
          <w:rFonts w:eastAsia="Calibri"/>
          <w:sz w:val="68"/>
          <w:szCs w:val="68"/>
          <w:lang w:val="en-NZ" w:eastAsia="en-US"/>
        </w:rPr>
        <w:t xml:space="preserve"> and branch lending</w:t>
      </w:r>
    </w:p>
    <w:p w:rsidR="00526ACB" w:rsidRPr="00526ACB" w:rsidRDefault="00526ACB" w:rsidP="00526ACB">
      <w:pPr>
        <w:jc w:val="center"/>
        <w:rPr>
          <w:rFonts w:eastAsia="Calibri"/>
          <w:b/>
          <w:sz w:val="40"/>
          <w:szCs w:val="40"/>
          <w:lang w:val="en-NZ" w:eastAsia="en-US"/>
        </w:rPr>
      </w:pPr>
    </w:p>
    <w:p w:rsidR="00526ACB" w:rsidRPr="00526ACB" w:rsidRDefault="00526ACB" w:rsidP="00526ACB">
      <w:pPr>
        <w:jc w:val="center"/>
        <w:rPr>
          <w:rFonts w:eastAsia="Calibri"/>
          <w:i/>
          <w:sz w:val="28"/>
          <w:szCs w:val="28"/>
          <w:lang w:val="en-NZ" w:eastAsia="en-US"/>
        </w:rPr>
      </w:pPr>
      <w:r w:rsidRPr="00526ACB">
        <w:rPr>
          <w:rFonts w:eastAsia="Calibri"/>
          <w:i/>
          <w:sz w:val="28"/>
          <w:szCs w:val="28"/>
          <w:lang w:val="en-NZ" w:eastAsia="en-US"/>
        </w:rPr>
        <w:t>An officials’ issues paper</w:t>
      </w:r>
      <w:r w:rsidR="00C936C3">
        <w:rPr>
          <w:rFonts w:eastAsia="Calibri"/>
          <w:i/>
          <w:sz w:val="28"/>
          <w:szCs w:val="28"/>
          <w:lang w:val="en-NZ" w:eastAsia="en-US"/>
        </w:rPr>
        <w:t xml:space="preserve"> </w:t>
      </w:r>
      <w:bookmarkStart w:id="0" w:name="_GoBack"/>
      <w:r w:rsidRPr="00526ACB">
        <w:rPr>
          <w:rFonts w:eastAsia="Calibri"/>
          <w:i/>
          <w:sz w:val="28"/>
          <w:szCs w:val="28"/>
          <w:lang w:val="en-NZ" w:eastAsia="en-US"/>
        </w:rPr>
        <w:t xml:space="preserve">on possible changes to the </w:t>
      </w:r>
      <w:r w:rsidR="00C454DA">
        <w:rPr>
          <w:rFonts w:eastAsia="Calibri"/>
          <w:i/>
          <w:sz w:val="28"/>
          <w:szCs w:val="28"/>
          <w:lang w:val="en-NZ" w:eastAsia="en-US"/>
        </w:rPr>
        <w:t>non-resident withholding tax</w:t>
      </w:r>
      <w:r>
        <w:rPr>
          <w:rFonts w:eastAsia="Calibri"/>
          <w:i/>
          <w:sz w:val="28"/>
          <w:szCs w:val="28"/>
          <w:lang w:val="en-NZ" w:eastAsia="en-US"/>
        </w:rPr>
        <w:t xml:space="preserve"> rules</w:t>
      </w:r>
      <w:bookmarkEnd w:id="0"/>
    </w:p>
    <w:p w:rsidR="00526ACB" w:rsidRPr="00D33642" w:rsidRDefault="00526ACB" w:rsidP="00D33642">
      <w:pPr>
        <w:rPr>
          <w:rFonts w:eastAsia="Calibri"/>
          <w:szCs w:val="22"/>
          <w:lang w:val="en-NZ" w:eastAsia="en-US"/>
        </w:rPr>
      </w:pPr>
    </w:p>
    <w:p w:rsidR="00526ACB" w:rsidRPr="00D33642" w:rsidRDefault="00526ACB" w:rsidP="00D33642">
      <w:pPr>
        <w:rPr>
          <w:rFonts w:eastAsia="Calibri"/>
          <w:szCs w:val="22"/>
          <w:lang w:val="en-NZ" w:eastAsia="en-US"/>
        </w:rPr>
      </w:pPr>
    </w:p>
    <w:p w:rsidR="00526ACB" w:rsidRPr="00D33642" w:rsidRDefault="00526ACB" w:rsidP="00D33642">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Default="00526ACB" w:rsidP="00526ACB">
      <w:pPr>
        <w:rPr>
          <w:rFonts w:eastAsia="Calibri"/>
          <w:szCs w:val="22"/>
          <w:lang w:val="en-NZ" w:eastAsia="en-US"/>
        </w:rPr>
      </w:pPr>
    </w:p>
    <w:p w:rsidR="00D33642" w:rsidRDefault="00D33642" w:rsidP="00526ACB">
      <w:pPr>
        <w:rPr>
          <w:rFonts w:eastAsia="Calibri"/>
          <w:szCs w:val="22"/>
          <w:lang w:val="en-NZ" w:eastAsia="en-US"/>
        </w:rPr>
      </w:pPr>
    </w:p>
    <w:p w:rsidR="00D33642" w:rsidRDefault="00D33642" w:rsidP="00526ACB">
      <w:pPr>
        <w:rPr>
          <w:rFonts w:eastAsia="Calibri"/>
          <w:szCs w:val="22"/>
          <w:lang w:val="en-NZ" w:eastAsia="en-US"/>
        </w:rPr>
      </w:pPr>
    </w:p>
    <w:p w:rsidR="00D33642" w:rsidRPr="00526ACB" w:rsidRDefault="00D33642"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D33642" w:rsidRPr="00526ACB" w:rsidRDefault="00D33642"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526ACB" w:rsidP="00526ACB">
      <w:pPr>
        <w:rPr>
          <w:rFonts w:eastAsia="Calibri"/>
          <w:szCs w:val="22"/>
          <w:lang w:val="en-NZ" w:eastAsia="en-US"/>
        </w:rPr>
      </w:pPr>
    </w:p>
    <w:p w:rsidR="00526ACB" w:rsidRPr="00526ACB" w:rsidRDefault="004F0CB7" w:rsidP="00526ACB">
      <w:pPr>
        <w:tabs>
          <w:tab w:val="left" w:pos="6237"/>
        </w:tabs>
        <w:rPr>
          <w:rFonts w:eastAsia="Calibri"/>
          <w:sz w:val="28"/>
          <w:szCs w:val="28"/>
          <w:lang w:val="en-NZ" w:eastAsia="en-US"/>
        </w:rPr>
      </w:pPr>
      <w:r>
        <w:rPr>
          <w:rFonts w:eastAsia="Calibri"/>
          <w:sz w:val="28"/>
          <w:szCs w:val="28"/>
          <w:lang w:val="en-NZ" w:eastAsia="en-US"/>
        </w:rPr>
        <w:t>May</w:t>
      </w:r>
      <w:r w:rsidR="00526ACB">
        <w:rPr>
          <w:rFonts w:eastAsia="Calibri"/>
          <w:sz w:val="28"/>
          <w:szCs w:val="28"/>
          <w:lang w:val="en-NZ" w:eastAsia="en-US"/>
        </w:rPr>
        <w:t xml:space="preserve"> 2015</w:t>
      </w:r>
    </w:p>
    <w:p w:rsidR="00526ACB" w:rsidRPr="00D33642" w:rsidRDefault="00526ACB" w:rsidP="00526ACB">
      <w:pPr>
        <w:tabs>
          <w:tab w:val="left" w:pos="6237"/>
        </w:tabs>
        <w:rPr>
          <w:rFonts w:eastAsia="Calibri"/>
          <w:szCs w:val="22"/>
          <w:lang w:val="en-NZ" w:eastAsia="en-US"/>
        </w:rPr>
      </w:pPr>
    </w:p>
    <w:p w:rsidR="00D33642" w:rsidRPr="00D33642" w:rsidRDefault="00D33642" w:rsidP="00526ACB">
      <w:pPr>
        <w:tabs>
          <w:tab w:val="left" w:pos="6237"/>
        </w:tabs>
        <w:rPr>
          <w:rFonts w:eastAsia="Calibri"/>
          <w:szCs w:val="22"/>
          <w:lang w:val="en-NZ" w:eastAsia="en-US"/>
        </w:rPr>
      </w:pPr>
    </w:p>
    <w:p w:rsidR="00725975" w:rsidRPr="00AE1C04" w:rsidRDefault="00526ACB" w:rsidP="00526ACB">
      <w:pPr>
        <w:rPr>
          <w:sz w:val="20"/>
          <w:lang w:val="en-NZ"/>
        </w:rPr>
      </w:pPr>
      <w:r w:rsidRPr="00ED78F4">
        <w:rPr>
          <w:rFonts w:eastAsia="Calibri"/>
          <w:i/>
          <w:szCs w:val="22"/>
          <w:lang w:val="en-NZ" w:eastAsia="en-US"/>
        </w:rPr>
        <w:t>Prepared by Policy and Strategy, Inland Revenue</w:t>
      </w:r>
      <w:r w:rsidR="00C936C3" w:rsidRPr="00ED78F4">
        <w:rPr>
          <w:rFonts w:eastAsia="Calibri"/>
          <w:i/>
          <w:szCs w:val="22"/>
          <w:lang w:val="en-NZ" w:eastAsia="en-US"/>
        </w:rPr>
        <w:t>, and the</w:t>
      </w:r>
      <w:r w:rsidR="00382D62" w:rsidRPr="00ED78F4">
        <w:rPr>
          <w:rFonts w:eastAsia="Calibri"/>
          <w:i/>
          <w:szCs w:val="22"/>
          <w:lang w:val="en-NZ" w:eastAsia="en-US"/>
        </w:rPr>
        <w:t xml:space="preserve"> Treasury</w:t>
      </w:r>
      <w:r w:rsidRPr="00AE1C04">
        <w:rPr>
          <w:sz w:val="20"/>
          <w:lang w:val="en-NZ"/>
        </w:rPr>
        <w:t xml:space="preserve"> </w:t>
      </w:r>
      <w:r w:rsidR="00725975" w:rsidRPr="00AE1C04">
        <w:rPr>
          <w:sz w:val="20"/>
          <w:lang w:val="en-NZ"/>
        </w:rPr>
        <w:br w:type="page"/>
      </w: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4955E2" w:rsidRPr="00AE1C04" w:rsidRDefault="004955E2" w:rsidP="00725975">
      <w:pPr>
        <w:rPr>
          <w:sz w:val="20"/>
          <w:lang w:val="en-NZ"/>
        </w:rPr>
      </w:pPr>
    </w:p>
    <w:p w:rsidR="004955E2" w:rsidRPr="00AE1C04" w:rsidRDefault="004955E2"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Pr="00AE1C04" w:rsidRDefault="00725975" w:rsidP="00725975">
      <w:pPr>
        <w:rPr>
          <w:sz w:val="20"/>
          <w:lang w:val="en-NZ"/>
        </w:rPr>
      </w:pPr>
    </w:p>
    <w:p w:rsidR="00725975" w:rsidRDefault="00725975" w:rsidP="00725975">
      <w:pPr>
        <w:rPr>
          <w:sz w:val="20"/>
          <w:lang w:val="en-NZ"/>
        </w:rPr>
      </w:pPr>
    </w:p>
    <w:p w:rsidR="0023401E" w:rsidRPr="00AE1C04" w:rsidRDefault="0023401E" w:rsidP="00725975">
      <w:pPr>
        <w:rPr>
          <w:sz w:val="20"/>
          <w:lang w:val="en-NZ"/>
        </w:rPr>
      </w:pPr>
    </w:p>
    <w:p w:rsidR="00526ACB" w:rsidRPr="00526ACB" w:rsidRDefault="00526ACB" w:rsidP="00526ACB">
      <w:pPr>
        <w:rPr>
          <w:rFonts w:eastAsia="Calibri"/>
          <w:sz w:val="20"/>
          <w:lang w:val="en-NZ" w:eastAsia="en-US"/>
        </w:rPr>
      </w:pPr>
      <w:r w:rsidRPr="00526ACB">
        <w:rPr>
          <w:rFonts w:eastAsia="Calibri"/>
          <w:sz w:val="20"/>
          <w:lang w:val="en-NZ" w:eastAsia="en-US"/>
        </w:rPr>
        <w:t xml:space="preserve">First published in </w:t>
      </w:r>
      <w:r w:rsidR="00D87DC7">
        <w:rPr>
          <w:rFonts w:eastAsia="Calibri"/>
          <w:sz w:val="20"/>
          <w:lang w:val="en-NZ" w:eastAsia="en-US"/>
        </w:rPr>
        <w:t>May</w:t>
      </w:r>
      <w:r>
        <w:rPr>
          <w:rFonts w:eastAsia="Calibri"/>
          <w:sz w:val="20"/>
          <w:lang w:val="en-NZ" w:eastAsia="en-US"/>
        </w:rPr>
        <w:t xml:space="preserve"> 2015</w:t>
      </w:r>
      <w:r w:rsidRPr="00526ACB">
        <w:rPr>
          <w:rFonts w:eastAsia="Calibri"/>
          <w:sz w:val="20"/>
          <w:lang w:val="en-NZ" w:eastAsia="en-US"/>
        </w:rPr>
        <w:t xml:space="preserve"> by Policy and Strategy, Inland Revenue,</w:t>
      </w:r>
      <w:r w:rsidR="00EB2246">
        <w:rPr>
          <w:rFonts w:eastAsia="Calibri"/>
          <w:sz w:val="20"/>
          <w:lang w:val="en-NZ" w:eastAsia="en-US"/>
        </w:rPr>
        <w:t xml:space="preserve"> PO Box 2198, Wellington 6140.</w:t>
      </w:r>
    </w:p>
    <w:p w:rsidR="00526ACB" w:rsidRPr="00526ACB" w:rsidRDefault="00526ACB" w:rsidP="00526ACB">
      <w:pPr>
        <w:rPr>
          <w:rFonts w:eastAsia="Calibri"/>
          <w:sz w:val="20"/>
          <w:lang w:val="en-NZ" w:eastAsia="en-US"/>
        </w:rPr>
      </w:pPr>
    </w:p>
    <w:p w:rsidR="00526ACB" w:rsidRPr="00526ACB" w:rsidRDefault="00F92033" w:rsidP="00526ACB">
      <w:pPr>
        <w:rPr>
          <w:rFonts w:eastAsia="Calibri"/>
          <w:sz w:val="20"/>
          <w:lang w:val="en-NZ" w:eastAsia="en-US"/>
        </w:rPr>
      </w:pPr>
      <w:r>
        <w:rPr>
          <w:rFonts w:eastAsia="Calibri"/>
          <w:sz w:val="20"/>
          <w:lang w:val="en-NZ" w:eastAsia="en-US"/>
        </w:rPr>
        <w:t>NRWT</w:t>
      </w:r>
      <w:r w:rsidR="00D22971">
        <w:rPr>
          <w:rFonts w:eastAsia="Calibri"/>
          <w:sz w:val="20"/>
          <w:lang w:val="en-NZ" w:eastAsia="en-US"/>
        </w:rPr>
        <w:t>:</w:t>
      </w:r>
      <w:r>
        <w:rPr>
          <w:rFonts w:eastAsia="Calibri"/>
          <w:sz w:val="20"/>
          <w:lang w:val="en-NZ" w:eastAsia="en-US"/>
        </w:rPr>
        <w:t xml:space="preserve"> </w:t>
      </w:r>
      <w:r w:rsidR="00526ACB">
        <w:rPr>
          <w:rFonts w:eastAsia="Calibri"/>
          <w:sz w:val="20"/>
          <w:lang w:val="en-NZ" w:eastAsia="en-US"/>
        </w:rPr>
        <w:t xml:space="preserve">related party </w:t>
      </w:r>
      <w:r w:rsidR="00E579AC">
        <w:rPr>
          <w:rFonts w:eastAsia="Calibri"/>
          <w:sz w:val="20"/>
          <w:lang w:val="en-NZ" w:eastAsia="en-US"/>
        </w:rPr>
        <w:t>and branch lending</w:t>
      </w:r>
      <w:r w:rsidR="00526ACB" w:rsidRPr="00526ACB">
        <w:rPr>
          <w:rFonts w:eastAsia="Calibri"/>
          <w:sz w:val="20"/>
          <w:lang w:val="en-NZ" w:eastAsia="en-US"/>
        </w:rPr>
        <w:t xml:space="preserve"> – an officials’ issues paper</w:t>
      </w:r>
      <w:r w:rsidR="00F70240">
        <w:rPr>
          <w:rFonts w:eastAsia="Calibri"/>
          <w:sz w:val="20"/>
          <w:lang w:val="en-NZ" w:eastAsia="en-US"/>
        </w:rPr>
        <w:t xml:space="preserve"> </w:t>
      </w:r>
      <w:r w:rsidR="00F70240" w:rsidRPr="00F70240">
        <w:rPr>
          <w:rFonts w:eastAsia="Calibri"/>
          <w:sz w:val="20"/>
          <w:lang w:val="en-NZ" w:eastAsia="en-US"/>
        </w:rPr>
        <w:t>on possible changes to the non-resident withholding tax rules</w:t>
      </w:r>
      <w:r w:rsidR="00526ACB" w:rsidRPr="00526ACB">
        <w:rPr>
          <w:rFonts w:eastAsia="Calibri"/>
          <w:sz w:val="20"/>
          <w:lang w:val="en-NZ" w:eastAsia="en-US"/>
        </w:rPr>
        <w:t>.</w:t>
      </w:r>
    </w:p>
    <w:p w:rsidR="008E6715" w:rsidRPr="00AE1C04" w:rsidRDefault="00725975" w:rsidP="00725975">
      <w:pPr>
        <w:rPr>
          <w:sz w:val="20"/>
          <w:lang w:val="en-NZ"/>
        </w:rPr>
      </w:pPr>
      <w:r w:rsidRPr="00AE1C04">
        <w:rPr>
          <w:sz w:val="20"/>
          <w:lang w:val="en-NZ"/>
        </w:rPr>
        <w:t xml:space="preserve">ISBN </w:t>
      </w:r>
      <w:r w:rsidR="00C936C3">
        <w:rPr>
          <w:sz w:val="20"/>
          <w:lang w:val="en-NZ"/>
        </w:rPr>
        <w:t>978-0-478-42410-2</w:t>
      </w:r>
    </w:p>
    <w:p w:rsidR="008E6715" w:rsidRPr="004510BF" w:rsidRDefault="008E6715" w:rsidP="00725975">
      <w:pPr>
        <w:rPr>
          <w:sz w:val="20"/>
          <w:lang w:val="en-NZ"/>
        </w:rPr>
      </w:pPr>
      <w:r w:rsidRPr="00AE1C04">
        <w:rPr>
          <w:sz w:val="20"/>
          <w:lang w:val="en-NZ"/>
        </w:rPr>
        <w:br w:type="page"/>
      </w:r>
    </w:p>
    <w:p w:rsidR="00370F9D" w:rsidRPr="00AE1C04" w:rsidRDefault="00725975" w:rsidP="00373F5D">
      <w:pPr>
        <w:pStyle w:val="Style14ptBoldCenteredAfter20pt"/>
        <w:rPr>
          <w:lang w:val="en-NZ"/>
        </w:rPr>
      </w:pPr>
      <w:r w:rsidRPr="00AE1C04">
        <w:rPr>
          <w:lang w:val="en-NZ"/>
        </w:rPr>
        <w:lastRenderedPageBreak/>
        <w:t>CONTENTS</w:t>
      </w:r>
    </w:p>
    <w:p w:rsidR="00D85A75" w:rsidRDefault="00D85A75" w:rsidP="00D85A75">
      <w:pPr>
        <w:pStyle w:val="TOC1"/>
      </w:pPr>
      <w:r>
        <w:rPr>
          <w:sz w:val="22"/>
          <w:lang w:val="en-NZ"/>
        </w:rPr>
        <w:t xml:space="preserve"> </w:t>
      </w:r>
      <w:r w:rsidR="007A5E4F">
        <w:rPr>
          <w:sz w:val="22"/>
          <w:lang w:val="en-NZ"/>
        </w:rPr>
        <w:fldChar w:fldCharType="begin"/>
      </w:r>
      <w:r w:rsidR="007A5E4F">
        <w:rPr>
          <w:sz w:val="22"/>
          <w:lang w:val="en-NZ"/>
        </w:rPr>
        <w:instrText xml:space="preserve"> TOC \h \z \t "Heading 1,2,Chapter heading,1" </w:instrText>
      </w:r>
      <w:r w:rsidR="007A5E4F">
        <w:rPr>
          <w:sz w:val="22"/>
          <w:lang w:val="en-NZ"/>
        </w:rPr>
        <w:fldChar w:fldCharType="separate"/>
      </w:r>
    </w:p>
    <w:p w:rsidR="00D85A75" w:rsidRDefault="00652B22">
      <w:pPr>
        <w:pStyle w:val="TOC1"/>
        <w:rPr>
          <w:rFonts w:asciiTheme="minorHAnsi" w:eastAsiaTheme="minorEastAsia" w:hAnsiTheme="minorHAnsi" w:cstheme="minorBidi"/>
          <w:b w:val="0"/>
          <w:sz w:val="22"/>
          <w:szCs w:val="22"/>
          <w:lang w:val="en-NZ" w:eastAsia="en-NZ"/>
        </w:rPr>
      </w:pPr>
      <w:hyperlink w:anchor="_Toc418756695" w:history="1">
        <w:r w:rsidR="00D85A75" w:rsidRPr="00FC61FB">
          <w:rPr>
            <w:rStyle w:val="Hyperlink"/>
          </w:rPr>
          <w:t>CHAPTER 1</w:t>
        </w:r>
        <w:r w:rsidR="00D85A75">
          <w:rPr>
            <w:webHidden/>
          </w:rPr>
          <w:tab/>
        </w:r>
      </w:hyperlink>
      <w:hyperlink w:anchor="_Toc418756696" w:history="1">
        <w:r w:rsidR="00D85A75" w:rsidRPr="00FC61FB">
          <w:rPr>
            <w:rStyle w:val="Hyperlink"/>
          </w:rPr>
          <w:t>Introduction</w:t>
        </w:r>
        <w:r w:rsidR="00D85A75">
          <w:rPr>
            <w:webHidden/>
          </w:rPr>
          <w:tab/>
        </w:r>
        <w:r w:rsidR="00D85A75">
          <w:rPr>
            <w:webHidden/>
          </w:rPr>
          <w:fldChar w:fldCharType="begin"/>
        </w:r>
        <w:r w:rsidR="00D85A75">
          <w:rPr>
            <w:webHidden/>
          </w:rPr>
          <w:instrText xml:space="preserve"> PAGEREF _Toc418756696 \h </w:instrText>
        </w:r>
        <w:r w:rsidR="00D85A75">
          <w:rPr>
            <w:webHidden/>
          </w:rPr>
        </w:r>
        <w:r w:rsidR="00D85A75">
          <w:rPr>
            <w:webHidden/>
          </w:rPr>
          <w:fldChar w:fldCharType="separate"/>
        </w:r>
        <w:r w:rsidR="006B68CF">
          <w:rPr>
            <w:webHidden/>
          </w:rPr>
          <w:t>1</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697" w:history="1">
        <w:r w:rsidR="00D85A75" w:rsidRPr="00FC61FB">
          <w:rPr>
            <w:rStyle w:val="Hyperlink"/>
          </w:rPr>
          <w:t>Preventing arbitrage of NRWT rules with financial arrangement rules</w:t>
        </w:r>
        <w:r w:rsidR="00D85A75">
          <w:rPr>
            <w:webHidden/>
          </w:rPr>
          <w:tab/>
        </w:r>
        <w:r w:rsidR="00D85A75">
          <w:rPr>
            <w:webHidden/>
          </w:rPr>
          <w:fldChar w:fldCharType="begin"/>
        </w:r>
        <w:r w:rsidR="00D85A75">
          <w:rPr>
            <w:webHidden/>
          </w:rPr>
          <w:instrText xml:space="preserve"> PAGEREF _Toc418756697 \h </w:instrText>
        </w:r>
        <w:r w:rsidR="00D85A75">
          <w:rPr>
            <w:webHidden/>
          </w:rPr>
        </w:r>
        <w:r w:rsidR="00D85A75">
          <w:rPr>
            <w:webHidden/>
          </w:rPr>
          <w:fldChar w:fldCharType="separate"/>
        </w:r>
        <w:r w:rsidR="006B68CF">
          <w:rPr>
            <w:webHidden/>
          </w:rPr>
          <w:t>1</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698" w:history="1">
        <w:r w:rsidR="00D85A75" w:rsidRPr="00FC61FB">
          <w:rPr>
            <w:rStyle w:val="Hyperlink"/>
            <w:lang w:val="en-NZ"/>
          </w:rPr>
          <w:t>Preventing associated persons accessing the AIL rules</w:t>
        </w:r>
        <w:r w:rsidR="00D85A75">
          <w:rPr>
            <w:webHidden/>
          </w:rPr>
          <w:tab/>
        </w:r>
        <w:r w:rsidR="00D85A75">
          <w:rPr>
            <w:webHidden/>
          </w:rPr>
          <w:fldChar w:fldCharType="begin"/>
        </w:r>
        <w:r w:rsidR="00D85A75">
          <w:rPr>
            <w:webHidden/>
          </w:rPr>
          <w:instrText xml:space="preserve"> PAGEREF _Toc418756698 \h </w:instrText>
        </w:r>
        <w:r w:rsidR="00D85A75">
          <w:rPr>
            <w:webHidden/>
          </w:rPr>
        </w:r>
        <w:r w:rsidR="00D85A75">
          <w:rPr>
            <w:webHidden/>
          </w:rPr>
          <w:fldChar w:fldCharType="separate"/>
        </w:r>
        <w:r w:rsidR="006B68CF">
          <w:rPr>
            <w:webHidden/>
          </w:rPr>
          <w:t>1</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699" w:history="1">
        <w:r w:rsidR="00D85A75" w:rsidRPr="00FC61FB">
          <w:rPr>
            <w:rStyle w:val="Hyperlink"/>
            <w:lang w:val="en-NZ"/>
          </w:rPr>
          <w:t>Restricting the branch exemptions</w:t>
        </w:r>
        <w:r w:rsidR="00D85A75">
          <w:rPr>
            <w:webHidden/>
          </w:rPr>
          <w:tab/>
        </w:r>
        <w:r w:rsidR="00D85A75">
          <w:rPr>
            <w:webHidden/>
          </w:rPr>
          <w:fldChar w:fldCharType="begin"/>
        </w:r>
        <w:r w:rsidR="00D85A75">
          <w:rPr>
            <w:webHidden/>
          </w:rPr>
          <w:instrText xml:space="preserve"> PAGEREF _Toc418756699 \h </w:instrText>
        </w:r>
        <w:r w:rsidR="00D85A75">
          <w:rPr>
            <w:webHidden/>
          </w:rPr>
        </w:r>
        <w:r w:rsidR="00D85A75">
          <w:rPr>
            <w:webHidden/>
          </w:rPr>
          <w:fldChar w:fldCharType="separate"/>
        </w:r>
        <w:r w:rsidR="006B68CF">
          <w:rPr>
            <w:webHidden/>
          </w:rPr>
          <w:t>2</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00" w:history="1">
        <w:r w:rsidR="00D85A75" w:rsidRPr="00FC61FB">
          <w:rPr>
            <w:rStyle w:val="Hyperlink"/>
            <w:lang w:val="en-NZ"/>
          </w:rPr>
          <w:t>How to make a submission</w:t>
        </w:r>
        <w:r w:rsidR="00D85A75">
          <w:rPr>
            <w:webHidden/>
          </w:rPr>
          <w:tab/>
        </w:r>
        <w:r w:rsidR="00D85A75">
          <w:rPr>
            <w:webHidden/>
          </w:rPr>
          <w:fldChar w:fldCharType="begin"/>
        </w:r>
        <w:r w:rsidR="00D85A75">
          <w:rPr>
            <w:webHidden/>
          </w:rPr>
          <w:instrText xml:space="preserve"> PAGEREF _Toc418756700 \h </w:instrText>
        </w:r>
        <w:r w:rsidR="00D85A75">
          <w:rPr>
            <w:webHidden/>
          </w:rPr>
        </w:r>
        <w:r w:rsidR="00D85A75">
          <w:rPr>
            <w:webHidden/>
          </w:rPr>
          <w:fldChar w:fldCharType="separate"/>
        </w:r>
        <w:r w:rsidR="006B68CF">
          <w:rPr>
            <w:webHidden/>
          </w:rPr>
          <w:t>3</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01" w:history="1">
        <w:r w:rsidR="00D85A75" w:rsidRPr="00FC61FB">
          <w:rPr>
            <w:rStyle w:val="Hyperlink"/>
          </w:rPr>
          <w:t>CHAPTER 2</w:t>
        </w:r>
        <w:r w:rsidR="00D85A75">
          <w:rPr>
            <w:webHidden/>
          </w:rPr>
          <w:tab/>
        </w:r>
      </w:hyperlink>
      <w:hyperlink w:anchor="_Toc418756702" w:history="1">
        <w:r w:rsidR="00D85A75" w:rsidRPr="00FC61FB">
          <w:rPr>
            <w:rStyle w:val="Hyperlink"/>
          </w:rPr>
          <w:t>Background</w:t>
        </w:r>
        <w:r w:rsidR="00D85A75">
          <w:rPr>
            <w:webHidden/>
          </w:rPr>
          <w:tab/>
        </w:r>
        <w:r w:rsidR="00D85A75">
          <w:rPr>
            <w:webHidden/>
          </w:rPr>
          <w:fldChar w:fldCharType="begin"/>
        </w:r>
        <w:r w:rsidR="00D85A75">
          <w:rPr>
            <w:webHidden/>
          </w:rPr>
          <w:instrText xml:space="preserve"> PAGEREF _Toc418756702 \h </w:instrText>
        </w:r>
        <w:r w:rsidR="00D85A75">
          <w:rPr>
            <w:webHidden/>
          </w:rPr>
        </w:r>
        <w:r w:rsidR="00D85A75">
          <w:rPr>
            <w:webHidden/>
          </w:rPr>
          <w:fldChar w:fldCharType="separate"/>
        </w:r>
        <w:r w:rsidR="006B68CF">
          <w:rPr>
            <w:webHidden/>
          </w:rPr>
          <w:t>4</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03" w:history="1">
        <w:r w:rsidR="00D85A75" w:rsidRPr="00FC61FB">
          <w:rPr>
            <w:rStyle w:val="Hyperlink"/>
            <w:lang w:val="en-NZ"/>
          </w:rPr>
          <w:t>Policy framework</w:t>
        </w:r>
        <w:r w:rsidR="00D85A75">
          <w:rPr>
            <w:webHidden/>
          </w:rPr>
          <w:tab/>
        </w:r>
        <w:r w:rsidR="00D85A75">
          <w:rPr>
            <w:webHidden/>
          </w:rPr>
          <w:fldChar w:fldCharType="begin"/>
        </w:r>
        <w:r w:rsidR="00D85A75">
          <w:rPr>
            <w:webHidden/>
          </w:rPr>
          <w:instrText xml:space="preserve"> PAGEREF _Toc418756703 \h </w:instrText>
        </w:r>
        <w:r w:rsidR="00D85A75">
          <w:rPr>
            <w:webHidden/>
          </w:rPr>
        </w:r>
        <w:r w:rsidR="00D85A75">
          <w:rPr>
            <w:webHidden/>
          </w:rPr>
          <w:fldChar w:fldCharType="separate"/>
        </w:r>
        <w:r w:rsidR="006B68CF">
          <w:rPr>
            <w:webHidden/>
          </w:rPr>
          <w:t>4</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04" w:history="1">
        <w:r w:rsidR="00D85A75" w:rsidRPr="00FC61FB">
          <w:rPr>
            <w:rStyle w:val="Hyperlink"/>
            <w:lang w:val="en-NZ"/>
          </w:rPr>
          <w:t>Avoidance concerns</w:t>
        </w:r>
        <w:r w:rsidR="00D85A75">
          <w:rPr>
            <w:webHidden/>
          </w:rPr>
          <w:tab/>
        </w:r>
        <w:r w:rsidR="00D85A75">
          <w:rPr>
            <w:webHidden/>
          </w:rPr>
          <w:fldChar w:fldCharType="begin"/>
        </w:r>
        <w:r w:rsidR="00D85A75">
          <w:rPr>
            <w:webHidden/>
          </w:rPr>
          <w:instrText xml:space="preserve"> PAGEREF _Toc418756704 \h </w:instrText>
        </w:r>
        <w:r w:rsidR="00D85A75">
          <w:rPr>
            <w:webHidden/>
          </w:rPr>
        </w:r>
        <w:r w:rsidR="00D85A75">
          <w:rPr>
            <w:webHidden/>
          </w:rPr>
          <w:fldChar w:fldCharType="separate"/>
        </w:r>
        <w:r w:rsidR="006B68CF">
          <w:rPr>
            <w:webHidden/>
          </w:rPr>
          <w:t>6</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05" w:history="1">
        <w:r w:rsidR="00D85A75" w:rsidRPr="00FC61FB">
          <w:rPr>
            <w:rStyle w:val="Hyperlink"/>
            <w:lang w:val="en-NZ"/>
          </w:rPr>
          <w:t>CHAPTER 3</w:t>
        </w:r>
        <w:r w:rsidR="00D85A75">
          <w:rPr>
            <w:webHidden/>
          </w:rPr>
          <w:tab/>
        </w:r>
      </w:hyperlink>
      <w:hyperlink w:anchor="_Toc418756706" w:history="1">
        <w:r w:rsidR="00D85A75" w:rsidRPr="00FC61FB">
          <w:rPr>
            <w:rStyle w:val="Hyperlink"/>
            <w:lang w:val="en-NZ"/>
          </w:rPr>
          <w:t xml:space="preserve">Problems with definition and recognition of income under </w:t>
        </w:r>
        <w:r w:rsidR="00D85A75">
          <w:rPr>
            <w:rStyle w:val="Hyperlink"/>
            <w:lang w:val="en-NZ"/>
          </w:rPr>
          <w:br/>
        </w:r>
        <w:r w:rsidR="00D85A75" w:rsidRPr="00FC61FB">
          <w:rPr>
            <w:rStyle w:val="Hyperlink"/>
            <w:lang w:val="en-NZ"/>
          </w:rPr>
          <w:t>the NRWT rules</w:t>
        </w:r>
        <w:r w:rsidR="00D85A75">
          <w:rPr>
            <w:webHidden/>
          </w:rPr>
          <w:tab/>
        </w:r>
        <w:r w:rsidR="00D85A75">
          <w:rPr>
            <w:webHidden/>
          </w:rPr>
          <w:fldChar w:fldCharType="begin"/>
        </w:r>
        <w:r w:rsidR="00D85A75">
          <w:rPr>
            <w:webHidden/>
          </w:rPr>
          <w:instrText xml:space="preserve"> PAGEREF _Toc418756706 \h </w:instrText>
        </w:r>
        <w:r w:rsidR="00D85A75">
          <w:rPr>
            <w:webHidden/>
          </w:rPr>
        </w:r>
        <w:r w:rsidR="00D85A75">
          <w:rPr>
            <w:webHidden/>
          </w:rPr>
          <w:fldChar w:fldCharType="separate"/>
        </w:r>
        <w:r w:rsidR="006B68CF">
          <w:rPr>
            <w:webHidden/>
          </w:rPr>
          <w:t>8</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07" w:history="1">
        <w:r w:rsidR="00D85A75" w:rsidRPr="00FC61FB">
          <w:rPr>
            <w:rStyle w:val="Hyperlink"/>
          </w:rPr>
          <w:t>Suggestions for addressing the problem</w:t>
        </w:r>
        <w:r w:rsidR="00D85A75">
          <w:rPr>
            <w:webHidden/>
          </w:rPr>
          <w:tab/>
        </w:r>
        <w:r w:rsidR="00D85A75">
          <w:rPr>
            <w:webHidden/>
          </w:rPr>
          <w:fldChar w:fldCharType="begin"/>
        </w:r>
        <w:r w:rsidR="00D85A75">
          <w:rPr>
            <w:webHidden/>
          </w:rPr>
          <w:instrText xml:space="preserve"> PAGEREF _Toc418756707 \h </w:instrText>
        </w:r>
        <w:r w:rsidR="00D85A75">
          <w:rPr>
            <w:webHidden/>
          </w:rPr>
        </w:r>
        <w:r w:rsidR="00D85A75">
          <w:rPr>
            <w:webHidden/>
          </w:rPr>
          <w:fldChar w:fldCharType="separate"/>
        </w:r>
        <w:r w:rsidR="006B68CF">
          <w:rPr>
            <w:webHidden/>
          </w:rPr>
          <w:t>9</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08" w:history="1">
        <w:r w:rsidR="00D85A75" w:rsidRPr="00FC61FB">
          <w:rPr>
            <w:rStyle w:val="Hyperlink"/>
            <w:lang w:val="en-NZ"/>
          </w:rPr>
          <w:t xml:space="preserve">Further detail on timing mismatches: non-resident financial </w:t>
        </w:r>
        <w:r w:rsidR="00D85A75">
          <w:rPr>
            <w:rStyle w:val="Hyperlink"/>
            <w:lang w:val="en-NZ"/>
          </w:rPr>
          <w:br/>
        </w:r>
        <w:r w:rsidR="00D85A75" w:rsidRPr="00FC61FB">
          <w:rPr>
            <w:rStyle w:val="Hyperlink"/>
            <w:lang w:val="en-NZ"/>
          </w:rPr>
          <w:t>arrangement income</w:t>
        </w:r>
        <w:r w:rsidR="00D85A75">
          <w:rPr>
            <w:webHidden/>
          </w:rPr>
          <w:tab/>
        </w:r>
        <w:r w:rsidR="00D85A75">
          <w:rPr>
            <w:webHidden/>
          </w:rPr>
          <w:fldChar w:fldCharType="begin"/>
        </w:r>
        <w:r w:rsidR="00D85A75">
          <w:rPr>
            <w:webHidden/>
          </w:rPr>
          <w:instrText xml:space="preserve"> PAGEREF _Toc418756708 \h </w:instrText>
        </w:r>
        <w:r w:rsidR="00D85A75">
          <w:rPr>
            <w:webHidden/>
          </w:rPr>
        </w:r>
        <w:r w:rsidR="00D85A75">
          <w:rPr>
            <w:webHidden/>
          </w:rPr>
          <w:fldChar w:fldCharType="separate"/>
        </w:r>
        <w:r w:rsidR="006B68CF">
          <w:rPr>
            <w:webHidden/>
          </w:rPr>
          <w:t>10</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09" w:history="1">
        <w:r w:rsidR="00D85A75" w:rsidRPr="00FC61FB">
          <w:rPr>
            <w:rStyle w:val="Hyperlink"/>
          </w:rPr>
          <w:t>Australian provision</w:t>
        </w:r>
        <w:r w:rsidR="00D85A75">
          <w:rPr>
            <w:webHidden/>
          </w:rPr>
          <w:tab/>
        </w:r>
        <w:r w:rsidR="00D85A75">
          <w:rPr>
            <w:webHidden/>
          </w:rPr>
          <w:fldChar w:fldCharType="begin"/>
        </w:r>
        <w:r w:rsidR="00D85A75">
          <w:rPr>
            <w:webHidden/>
          </w:rPr>
          <w:instrText xml:space="preserve"> PAGEREF _Toc418756709 \h </w:instrText>
        </w:r>
        <w:r w:rsidR="00D85A75">
          <w:rPr>
            <w:webHidden/>
          </w:rPr>
        </w:r>
        <w:r w:rsidR="00D85A75">
          <w:rPr>
            <w:webHidden/>
          </w:rPr>
          <w:fldChar w:fldCharType="separate"/>
        </w:r>
        <w:r w:rsidR="006B68CF">
          <w:rPr>
            <w:webHidden/>
          </w:rPr>
          <w:t>16</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0" w:history="1">
        <w:r w:rsidR="00D85A75" w:rsidRPr="00FC61FB">
          <w:rPr>
            <w:rStyle w:val="Hyperlink"/>
          </w:rPr>
          <w:t>Foreign tax credits</w:t>
        </w:r>
        <w:r w:rsidR="00D85A75">
          <w:rPr>
            <w:webHidden/>
          </w:rPr>
          <w:tab/>
        </w:r>
        <w:r w:rsidR="00D85A75">
          <w:rPr>
            <w:webHidden/>
          </w:rPr>
          <w:fldChar w:fldCharType="begin"/>
        </w:r>
        <w:r w:rsidR="00D85A75">
          <w:rPr>
            <w:webHidden/>
          </w:rPr>
          <w:instrText xml:space="preserve"> PAGEREF _Toc418756710 \h </w:instrText>
        </w:r>
        <w:r w:rsidR="00D85A75">
          <w:rPr>
            <w:webHidden/>
          </w:rPr>
        </w:r>
        <w:r w:rsidR="00D85A75">
          <w:rPr>
            <w:webHidden/>
          </w:rPr>
          <w:fldChar w:fldCharType="separate"/>
        </w:r>
        <w:r w:rsidR="006B68CF">
          <w:rPr>
            <w:webHidden/>
          </w:rPr>
          <w:t>16</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1" w:history="1">
        <w:r w:rsidR="00D85A75" w:rsidRPr="00FC61FB">
          <w:rPr>
            <w:rStyle w:val="Hyperlink"/>
            <w:lang w:val="en-NZ"/>
          </w:rPr>
          <w:t>Application dates</w:t>
        </w:r>
        <w:r w:rsidR="00D85A75">
          <w:rPr>
            <w:webHidden/>
          </w:rPr>
          <w:tab/>
        </w:r>
        <w:r w:rsidR="00D85A75">
          <w:rPr>
            <w:webHidden/>
          </w:rPr>
          <w:fldChar w:fldCharType="begin"/>
        </w:r>
        <w:r w:rsidR="00D85A75">
          <w:rPr>
            <w:webHidden/>
          </w:rPr>
          <w:instrText xml:space="preserve"> PAGEREF _Toc418756711 \h </w:instrText>
        </w:r>
        <w:r w:rsidR="00D85A75">
          <w:rPr>
            <w:webHidden/>
          </w:rPr>
        </w:r>
        <w:r w:rsidR="00D85A75">
          <w:rPr>
            <w:webHidden/>
          </w:rPr>
          <w:fldChar w:fldCharType="separate"/>
        </w:r>
        <w:r w:rsidR="006B68CF">
          <w:rPr>
            <w:webHidden/>
          </w:rPr>
          <w:t>17</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12" w:history="1">
        <w:r w:rsidR="00D85A75" w:rsidRPr="00FC61FB">
          <w:rPr>
            <w:rStyle w:val="Hyperlink"/>
            <w:lang w:val="en-NZ"/>
          </w:rPr>
          <w:t>CHAPTER 4</w:t>
        </w:r>
        <w:r w:rsidR="00D85A75">
          <w:rPr>
            <w:webHidden/>
          </w:rPr>
          <w:tab/>
        </w:r>
      </w:hyperlink>
      <w:hyperlink w:anchor="_Toc418756713" w:history="1">
        <w:r w:rsidR="00D85A75" w:rsidRPr="00FC61FB">
          <w:rPr>
            <w:rStyle w:val="Hyperlink"/>
            <w:lang w:val="en-NZ"/>
          </w:rPr>
          <w:t>Defining when payments are to a related person</w:t>
        </w:r>
        <w:r w:rsidR="00D85A75">
          <w:rPr>
            <w:webHidden/>
          </w:rPr>
          <w:tab/>
        </w:r>
        <w:r w:rsidR="00D85A75">
          <w:rPr>
            <w:webHidden/>
          </w:rPr>
          <w:fldChar w:fldCharType="begin"/>
        </w:r>
        <w:r w:rsidR="00D85A75">
          <w:rPr>
            <w:webHidden/>
          </w:rPr>
          <w:instrText xml:space="preserve"> PAGEREF _Toc418756713 \h </w:instrText>
        </w:r>
        <w:r w:rsidR="00D85A75">
          <w:rPr>
            <w:webHidden/>
          </w:rPr>
        </w:r>
        <w:r w:rsidR="00D85A75">
          <w:rPr>
            <w:webHidden/>
          </w:rPr>
          <w:fldChar w:fldCharType="separate"/>
        </w:r>
        <w:r w:rsidR="006B68CF">
          <w:rPr>
            <w:webHidden/>
          </w:rPr>
          <w:t>19</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4" w:history="1">
        <w:r w:rsidR="00D85A75" w:rsidRPr="00FC61FB">
          <w:rPr>
            <w:rStyle w:val="Hyperlink"/>
          </w:rPr>
          <w:t>Back-to-back loans</w:t>
        </w:r>
        <w:r w:rsidR="00D85A75">
          <w:rPr>
            <w:webHidden/>
          </w:rPr>
          <w:tab/>
        </w:r>
        <w:r w:rsidR="00D85A75">
          <w:rPr>
            <w:webHidden/>
          </w:rPr>
          <w:fldChar w:fldCharType="begin"/>
        </w:r>
        <w:r w:rsidR="00D85A75">
          <w:rPr>
            <w:webHidden/>
          </w:rPr>
          <w:instrText xml:space="preserve"> PAGEREF _Toc418756714 \h </w:instrText>
        </w:r>
        <w:r w:rsidR="00D85A75">
          <w:rPr>
            <w:webHidden/>
          </w:rPr>
        </w:r>
        <w:r w:rsidR="00D85A75">
          <w:rPr>
            <w:webHidden/>
          </w:rPr>
          <w:fldChar w:fldCharType="separate"/>
        </w:r>
        <w:r w:rsidR="006B68CF">
          <w:rPr>
            <w:webHidden/>
          </w:rPr>
          <w:t>19</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5" w:history="1">
        <w:r w:rsidR="00D85A75" w:rsidRPr="00FC61FB">
          <w:rPr>
            <w:rStyle w:val="Hyperlink"/>
          </w:rPr>
          <w:t>Other multi-party arrangements</w:t>
        </w:r>
        <w:r w:rsidR="00D85A75">
          <w:rPr>
            <w:webHidden/>
          </w:rPr>
          <w:tab/>
        </w:r>
        <w:r w:rsidR="00D85A75">
          <w:rPr>
            <w:webHidden/>
          </w:rPr>
          <w:fldChar w:fldCharType="begin"/>
        </w:r>
        <w:r w:rsidR="00D85A75">
          <w:rPr>
            <w:webHidden/>
          </w:rPr>
          <w:instrText xml:space="preserve"> PAGEREF _Toc418756715 \h </w:instrText>
        </w:r>
        <w:r w:rsidR="00D85A75">
          <w:rPr>
            <w:webHidden/>
          </w:rPr>
        </w:r>
        <w:r w:rsidR="00D85A75">
          <w:rPr>
            <w:webHidden/>
          </w:rPr>
          <w:fldChar w:fldCharType="separate"/>
        </w:r>
        <w:r w:rsidR="006B68CF">
          <w:rPr>
            <w:webHidden/>
          </w:rPr>
          <w:t>20</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6" w:history="1">
        <w:r w:rsidR="00D85A75" w:rsidRPr="00FC61FB">
          <w:rPr>
            <w:rStyle w:val="Hyperlink"/>
          </w:rPr>
          <w:t>Addressing the problem</w:t>
        </w:r>
        <w:r w:rsidR="00D85A75">
          <w:rPr>
            <w:webHidden/>
          </w:rPr>
          <w:tab/>
        </w:r>
        <w:r w:rsidR="00D85A75">
          <w:rPr>
            <w:webHidden/>
          </w:rPr>
          <w:fldChar w:fldCharType="begin"/>
        </w:r>
        <w:r w:rsidR="00D85A75">
          <w:rPr>
            <w:webHidden/>
          </w:rPr>
          <w:instrText xml:space="preserve"> PAGEREF _Toc418756716 \h </w:instrText>
        </w:r>
        <w:r w:rsidR="00D85A75">
          <w:rPr>
            <w:webHidden/>
          </w:rPr>
        </w:r>
        <w:r w:rsidR="00D85A75">
          <w:rPr>
            <w:webHidden/>
          </w:rPr>
          <w:fldChar w:fldCharType="separate"/>
        </w:r>
        <w:r w:rsidR="006B68CF">
          <w:rPr>
            <w:webHidden/>
          </w:rPr>
          <w:t>21</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7" w:history="1">
        <w:r w:rsidR="00D85A75" w:rsidRPr="00FC61FB">
          <w:rPr>
            <w:rStyle w:val="Hyperlink"/>
            <w:lang w:val="en-NZ"/>
          </w:rPr>
          <w:t>Acting together</w:t>
        </w:r>
        <w:r w:rsidR="00D85A75">
          <w:rPr>
            <w:webHidden/>
          </w:rPr>
          <w:tab/>
        </w:r>
        <w:r w:rsidR="00D85A75">
          <w:rPr>
            <w:webHidden/>
          </w:rPr>
          <w:fldChar w:fldCharType="begin"/>
        </w:r>
        <w:r w:rsidR="00D85A75">
          <w:rPr>
            <w:webHidden/>
          </w:rPr>
          <w:instrText xml:space="preserve"> PAGEREF _Toc418756717 \h </w:instrText>
        </w:r>
        <w:r w:rsidR="00D85A75">
          <w:rPr>
            <w:webHidden/>
          </w:rPr>
        </w:r>
        <w:r w:rsidR="00D85A75">
          <w:rPr>
            <w:webHidden/>
          </w:rPr>
          <w:fldChar w:fldCharType="separate"/>
        </w:r>
        <w:r w:rsidR="006B68CF">
          <w:rPr>
            <w:webHidden/>
          </w:rPr>
          <w:t>24</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18" w:history="1">
        <w:r w:rsidR="00D85A75" w:rsidRPr="00FC61FB">
          <w:rPr>
            <w:rStyle w:val="Hyperlink"/>
            <w:lang w:val="en-NZ"/>
          </w:rPr>
          <w:t>Application dates</w:t>
        </w:r>
        <w:r w:rsidR="00D85A75">
          <w:rPr>
            <w:webHidden/>
          </w:rPr>
          <w:tab/>
        </w:r>
        <w:r w:rsidR="00D85A75">
          <w:rPr>
            <w:webHidden/>
          </w:rPr>
          <w:fldChar w:fldCharType="begin"/>
        </w:r>
        <w:r w:rsidR="00D85A75">
          <w:rPr>
            <w:webHidden/>
          </w:rPr>
          <w:instrText xml:space="preserve"> PAGEREF _Toc418756718 \h </w:instrText>
        </w:r>
        <w:r w:rsidR="00D85A75">
          <w:rPr>
            <w:webHidden/>
          </w:rPr>
        </w:r>
        <w:r w:rsidR="00D85A75">
          <w:rPr>
            <w:webHidden/>
          </w:rPr>
          <w:fldChar w:fldCharType="separate"/>
        </w:r>
        <w:r w:rsidR="006B68CF">
          <w:rPr>
            <w:webHidden/>
          </w:rPr>
          <w:t>25</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19" w:history="1">
        <w:r w:rsidR="00D85A75" w:rsidRPr="00FC61FB">
          <w:rPr>
            <w:rStyle w:val="Hyperlink"/>
            <w:lang w:val="en-NZ"/>
          </w:rPr>
          <w:t>CHAPTER 5</w:t>
        </w:r>
        <w:r w:rsidR="00D85A75">
          <w:rPr>
            <w:webHidden/>
          </w:rPr>
          <w:tab/>
        </w:r>
      </w:hyperlink>
      <w:hyperlink w:anchor="_Toc418756720" w:history="1">
        <w:r w:rsidR="00D85A75" w:rsidRPr="00FC61FB">
          <w:rPr>
            <w:rStyle w:val="Hyperlink"/>
            <w:lang w:val="en-NZ"/>
          </w:rPr>
          <w:t>Eligibility for AIL</w:t>
        </w:r>
        <w:r w:rsidR="00D85A75">
          <w:rPr>
            <w:webHidden/>
          </w:rPr>
          <w:tab/>
        </w:r>
        <w:r w:rsidR="00D85A75">
          <w:rPr>
            <w:webHidden/>
          </w:rPr>
          <w:fldChar w:fldCharType="begin"/>
        </w:r>
        <w:r w:rsidR="00D85A75">
          <w:rPr>
            <w:webHidden/>
          </w:rPr>
          <w:instrText xml:space="preserve"> PAGEREF _Toc418756720 \h </w:instrText>
        </w:r>
        <w:r w:rsidR="00D85A75">
          <w:rPr>
            <w:webHidden/>
          </w:rPr>
        </w:r>
        <w:r w:rsidR="00D85A75">
          <w:rPr>
            <w:webHidden/>
          </w:rPr>
          <w:fldChar w:fldCharType="separate"/>
        </w:r>
        <w:r w:rsidR="006B68CF">
          <w:rPr>
            <w:webHidden/>
          </w:rPr>
          <w:t>26</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21" w:history="1">
        <w:r w:rsidR="00D85A75" w:rsidRPr="00FC61FB">
          <w:rPr>
            <w:rStyle w:val="Hyperlink"/>
          </w:rPr>
          <w:t>Registration requirement</w:t>
        </w:r>
        <w:r w:rsidR="00D85A75">
          <w:rPr>
            <w:webHidden/>
          </w:rPr>
          <w:tab/>
        </w:r>
        <w:r w:rsidR="00D85A75">
          <w:rPr>
            <w:webHidden/>
          </w:rPr>
          <w:fldChar w:fldCharType="begin"/>
        </w:r>
        <w:r w:rsidR="00D85A75">
          <w:rPr>
            <w:webHidden/>
          </w:rPr>
          <w:instrText xml:space="preserve"> PAGEREF _Toc418756721 \h </w:instrText>
        </w:r>
        <w:r w:rsidR="00D85A75">
          <w:rPr>
            <w:webHidden/>
          </w:rPr>
        </w:r>
        <w:r w:rsidR="00D85A75">
          <w:rPr>
            <w:webHidden/>
          </w:rPr>
          <w:fldChar w:fldCharType="separate"/>
        </w:r>
        <w:r w:rsidR="006B68CF">
          <w:rPr>
            <w:webHidden/>
          </w:rPr>
          <w:t>26</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22" w:history="1">
        <w:r w:rsidR="00D85A75" w:rsidRPr="00FC61FB">
          <w:rPr>
            <w:rStyle w:val="Hyperlink"/>
          </w:rPr>
          <w:t>AIL return</w:t>
        </w:r>
        <w:r w:rsidR="00D85A75">
          <w:rPr>
            <w:webHidden/>
          </w:rPr>
          <w:tab/>
        </w:r>
        <w:r w:rsidR="00D85A75">
          <w:rPr>
            <w:webHidden/>
          </w:rPr>
          <w:fldChar w:fldCharType="begin"/>
        </w:r>
        <w:r w:rsidR="00D85A75">
          <w:rPr>
            <w:webHidden/>
          </w:rPr>
          <w:instrText xml:space="preserve"> PAGEREF _Toc418756722 \h </w:instrText>
        </w:r>
        <w:r w:rsidR="00D85A75">
          <w:rPr>
            <w:webHidden/>
          </w:rPr>
        </w:r>
        <w:r w:rsidR="00D85A75">
          <w:rPr>
            <w:webHidden/>
          </w:rPr>
          <w:fldChar w:fldCharType="separate"/>
        </w:r>
        <w:r w:rsidR="006B68CF">
          <w:rPr>
            <w:webHidden/>
          </w:rPr>
          <w:t>27</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23" w:history="1">
        <w:r w:rsidR="00D85A75" w:rsidRPr="00FC61FB">
          <w:rPr>
            <w:rStyle w:val="Hyperlink"/>
            <w:lang w:val="en-NZ"/>
          </w:rPr>
          <w:t>CHAPTER 6</w:t>
        </w:r>
        <w:r w:rsidR="00D85A75">
          <w:rPr>
            <w:webHidden/>
          </w:rPr>
          <w:tab/>
        </w:r>
      </w:hyperlink>
      <w:hyperlink w:anchor="_Toc418756724" w:history="1">
        <w:r w:rsidR="00D85A75" w:rsidRPr="00FC61FB">
          <w:rPr>
            <w:rStyle w:val="Hyperlink"/>
            <w:lang w:val="en-NZ"/>
          </w:rPr>
          <w:t>How branches interact with the NRWT rules</w:t>
        </w:r>
        <w:r w:rsidR="00D85A75">
          <w:rPr>
            <w:webHidden/>
          </w:rPr>
          <w:tab/>
        </w:r>
        <w:r w:rsidR="00D85A75">
          <w:rPr>
            <w:webHidden/>
          </w:rPr>
          <w:fldChar w:fldCharType="begin"/>
        </w:r>
        <w:r w:rsidR="00D85A75">
          <w:rPr>
            <w:webHidden/>
          </w:rPr>
          <w:instrText xml:space="preserve"> PAGEREF _Toc418756724 \h </w:instrText>
        </w:r>
        <w:r w:rsidR="00D85A75">
          <w:rPr>
            <w:webHidden/>
          </w:rPr>
        </w:r>
        <w:r w:rsidR="00D85A75">
          <w:rPr>
            <w:webHidden/>
          </w:rPr>
          <w:fldChar w:fldCharType="separate"/>
        </w:r>
        <w:r w:rsidR="006B68CF">
          <w:rPr>
            <w:webHidden/>
          </w:rPr>
          <w:t>28</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25" w:history="1">
        <w:r w:rsidR="00D85A75" w:rsidRPr="00FC61FB">
          <w:rPr>
            <w:rStyle w:val="Hyperlink"/>
            <w:lang w:val="en-NZ"/>
          </w:rPr>
          <w:t>Offshore branch exemption</w:t>
        </w:r>
        <w:r w:rsidR="00D85A75">
          <w:rPr>
            <w:webHidden/>
          </w:rPr>
          <w:tab/>
        </w:r>
        <w:r w:rsidR="00D85A75">
          <w:rPr>
            <w:webHidden/>
          </w:rPr>
          <w:fldChar w:fldCharType="begin"/>
        </w:r>
        <w:r w:rsidR="00D85A75">
          <w:rPr>
            <w:webHidden/>
          </w:rPr>
          <w:instrText xml:space="preserve"> PAGEREF _Toc418756725 \h </w:instrText>
        </w:r>
        <w:r w:rsidR="00D85A75">
          <w:rPr>
            <w:webHidden/>
          </w:rPr>
        </w:r>
        <w:r w:rsidR="00D85A75">
          <w:rPr>
            <w:webHidden/>
          </w:rPr>
          <w:fldChar w:fldCharType="separate"/>
        </w:r>
        <w:r w:rsidR="006B68CF">
          <w:rPr>
            <w:webHidden/>
          </w:rPr>
          <w:t>28</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26" w:history="1">
        <w:r w:rsidR="00D85A75" w:rsidRPr="00FC61FB">
          <w:rPr>
            <w:rStyle w:val="Hyperlink"/>
          </w:rPr>
          <w:t>Application date</w:t>
        </w:r>
        <w:r w:rsidR="00D85A75">
          <w:rPr>
            <w:webHidden/>
          </w:rPr>
          <w:tab/>
        </w:r>
        <w:r w:rsidR="00D85A75">
          <w:rPr>
            <w:webHidden/>
          </w:rPr>
          <w:fldChar w:fldCharType="begin"/>
        </w:r>
        <w:r w:rsidR="00D85A75">
          <w:rPr>
            <w:webHidden/>
          </w:rPr>
          <w:instrText xml:space="preserve"> PAGEREF _Toc418756726 \h </w:instrText>
        </w:r>
        <w:r w:rsidR="00D85A75">
          <w:rPr>
            <w:webHidden/>
          </w:rPr>
        </w:r>
        <w:r w:rsidR="00D85A75">
          <w:rPr>
            <w:webHidden/>
          </w:rPr>
          <w:fldChar w:fldCharType="separate"/>
        </w:r>
        <w:r w:rsidR="006B68CF">
          <w:rPr>
            <w:webHidden/>
          </w:rPr>
          <w:t>31</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27" w:history="1">
        <w:r w:rsidR="00D85A75" w:rsidRPr="00FC61FB">
          <w:rPr>
            <w:rStyle w:val="Hyperlink"/>
            <w:lang w:val="en-NZ"/>
          </w:rPr>
          <w:t>Onshore branch exemption</w:t>
        </w:r>
        <w:r w:rsidR="00D85A75">
          <w:rPr>
            <w:webHidden/>
          </w:rPr>
          <w:tab/>
        </w:r>
        <w:r w:rsidR="00D85A75">
          <w:rPr>
            <w:webHidden/>
          </w:rPr>
          <w:fldChar w:fldCharType="begin"/>
        </w:r>
        <w:r w:rsidR="00D85A75">
          <w:rPr>
            <w:webHidden/>
          </w:rPr>
          <w:instrText xml:space="preserve"> PAGEREF _Toc418756727 \h </w:instrText>
        </w:r>
        <w:r w:rsidR="00D85A75">
          <w:rPr>
            <w:webHidden/>
          </w:rPr>
        </w:r>
        <w:r w:rsidR="00D85A75">
          <w:rPr>
            <w:webHidden/>
          </w:rPr>
          <w:fldChar w:fldCharType="separate"/>
        </w:r>
        <w:r w:rsidR="006B68CF">
          <w:rPr>
            <w:webHidden/>
          </w:rPr>
          <w:t>32</w:t>
        </w:r>
        <w:r w:rsidR="00D85A75">
          <w:rPr>
            <w:webHidden/>
          </w:rPr>
          <w:fldChar w:fldCharType="end"/>
        </w:r>
      </w:hyperlink>
    </w:p>
    <w:p w:rsidR="00D85A75" w:rsidRDefault="00652B22">
      <w:pPr>
        <w:pStyle w:val="TOC2"/>
        <w:rPr>
          <w:rFonts w:asciiTheme="minorHAnsi" w:eastAsiaTheme="minorEastAsia" w:hAnsiTheme="minorHAnsi" w:cstheme="minorBidi"/>
          <w:szCs w:val="22"/>
          <w:lang w:val="en-NZ" w:eastAsia="en-NZ"/>
        </w:rPr>
      </w:pPr>
      <w:hyperlink w:anchor="_Toc418756728" w:history="1">
        <w:r w:rsidR="00D85A75" w:rsidRPr="00FC61FB">
          <w:rPr>
            <w:rStyle w:val="Hyperlink"/>
            <w:lang w:val="en-NZ"/>
          </w:rPr>
          <w:t>Cross-border related-party borrowing by banks</w:t>
        </w:r>
        <w:r w:rsidR="00D85A75">
          <w:rPr>
            <w:webHidden/>
          </w:rPr>
          <w:tab/>
        </w:r>
        <w:r w:rsidR="00D85A75">
          <w:rPr>
            <w:webHidden/>
          </w:rPr>
          <w:fldChar w:fldCharType="begin"/>
        </w:r>
        <w:r w:rsidR="00D85A75">
          <w:rPr>
            <w:webHidden/>
          </w:rPr>
          <w:instrText xml:space="preserve"> PAGEREF _Toc418756728 \h </w:instrText>
        </w:r>
        <w:r w:rsidR="00D85A75">
          <w:rPr>
            <w:webHidden/>
          </w:rPr>
        </w:r>
        <w:r w:rsidR="00D85A75">
          <w:rPr>
            <w:webHidden/>
          </w:rPr>
          <w:fldChar w:fldCharType="separate"/>
        </w:r>
        <w:r w:rsidR="006B68CF">
          <w:rPr>
            <w:webHidden/>
          </w:rPr>
          <w:t>35</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29" w:history="1">
        <w:r w:rsidR="00D85A75" w:rsidRPr="00FC61FB">
          <w:rPr>
            <w:rStyle w:val="Hyperlink"/>
            <w:lang w:val="en-NZ"/>
          </w:rPr>
          <w:t>APPENDIX 1</w:t>
        </w:r>
        <w:r w:rsidR="00D85A75">
          <w:rPr>
            <w:webHidden/>
          </w:rPr>
          <w:tab/>
        </w:r>
      </w:hyperlink>
      <w:hyperlink w:anchor="_Toc418756730" w:history="1">
        <w:r w:rsidR="00D85A75" w:rsidRPr="00FC61FB">
          <w:rPr>
            <w:rStyle w:val="Hyperlink"/>
            <w:lang w:val="en-NZ"/>
          </w:rPr>
          <w:t>Current law</w:t>
        </w:r>
        <w:r w:rsidR="00D85A75">
          <w:rPr>
            <w:webHidden/>
          </w:rPr>
          <w:tab/>
        </w:r>
        <w:r w:rsidR="00D85A75">
          <w:rPr>
            <w:webHidden/>
          </w:rPr>
          <w:fldChar w:fldCharType="begin"/>
        </w:r>
        <w:r w:rsidR="00D85A75">
          <w:rPr>
            <w:webHidden/>
          </w:rPr>
          <w:instrText xml:space="preserve"> PAGEREF _Toc418756730 \h </w:instrText>
        </w:r>
        <w:r w:rsidR="00D85A75">
          <w:rPr>
            <w:webHidden/>
          </w:rPr>
        </w:r>
        <w:r w:rsidR="00D85A75">
          <w:rPr>
            <w:webHidden/>
          </w:rPr>
          <w:fldChar w:fldCharType="separate"/>
        </w:r>
        <w:r w:rsidR="006B68CF">
          <w:rPr>
            <w:webHidden/>
          </w:rPr>
          <w:t>37</w:t>
        </w:r>
        <w:r w:rsidR="00D85A75">
          <w:rPr>
            <w:webHidden/>
          </w:rPr>
          <w:fldChar w:fldCharType="end"/>
        </w:r>
      </w:hyperlink>
    </w:p>
    <w:p w:rsidR="00D85A75" w:rsidRDefault="00652B22">
      <w:pPr>
        <w:pStyle w:val="TOC1"/>
        <w:rPr>
          <w:rFonts w:asciiTheme="minorHAnsi" w:eastAsiaTheme="minorEastAsia" w:hAnsiTheme="minorHAnsi" w:cstheme="minorBidi"/>
          <w:b w:val="0"/>
          <w:sz w:val="22"/>
          <w:szCs w:val="22"/>
          <w:lang w:val="en-NZ" w:eastAsia="en-NZ"/>
        </w:rPr>
      </w:pPr>
      <w:hyperlink w:anchor="_Toc418756731" w:history="1">
        <w:r w:rsidR="00D85A75" w:rsidRPr="00FC61FB">
          <w:rPr>
            <w:rStyle w:val="Hyperlink"/>
            <w:lang w:val="en-NZ"/>
          </w:rPr>
          <w:t>APPENDIX 2</w:t>
        </w:r>
        <w:r w:rsidR="00D85A75">
          <w:rPr>
            <w:webHidden/>
          </w:rPr>
          <w:tab/>
        </w:r>
      </w:hyperlink>
      <w:hyperlink w:anchor="_Toc418756732" w:history="1">
        <w:r w:rsidR="00D85A75" w:rsidRPr="00FC61FB">
          <w:rPr>
            <w:rStyle w:val="Hyperlink"/>
            <w:lang w:val="en-NZ"/>
          </w:rPr>
          <w:t>Non-resident owning body</w:t>
        </w:r>
        <w:r w:rsidR="00D85A75">
          <w:rPr>
            <w:webHidden/>
          </w:rPr>
          <w:tab/>
        </w:r>
        <w:r w:rsidR="00D85A75">
          <w:rPr>
            <w:webHidden/>
          </w:rPr>
          <w:fldChar w:fldCharType="begin"/>
        </w:r>
        <w:r w:rsidR="00D85A75">
          <w:rPr>
            <w:webHidden/>
          </w:rPr>
          <w:instrText xml:space="preserve"> PAGEREF _Toc418756732 \h </w:instrText>
        </w:r>
        <w:r w:rsidR="00D85A75">
          <w:rPr>
            <w:webHidden/>
          </w:rPr>
        </w:r>
        <w:r w:rsidR="00D85A75">
          <w:rPr>
            <w:webHidden/>
          </w:rPr>
          <w:fldChar w:fldCharType="separate"/>
        </w:r>
        <w:r w:rsidR="006B68CF">
          <w:rPr>
            <w:webHidden/>
          </w:rPr>
          <w:t>42</w:t>
        </w:r>
        <w:r w:rsidR="00D85A75">
          <w:rPr>
            <w:webHidden/>
          </w:rPr>
          <w:fldChar w:fldCharType="end"/>
        </w:r>
      </w:hyperlink>
    </w:p>
    <w:p w:rsidR="004B37FB" w:rsidRPr="00AE1C04" w:rsidRDefault="007A5E4F" w:rsidP="00B13C16">
      <w:pPr>
        <w:jc w:val="center"/>
        <w:rPr>
          <w:b/>
          <w:lang w:val="en-NZ"/>
        </w:rPr>
      </w:pPr>
      <w:r>
        <w:rPr>
          <w:noProof/>
          <w:sz w:val="22"/>
          <w:szCs w:val="24"/>
          <w:lang w:val="en-NZ"/>
        </w:rPr>
        <w:fldChar w:fldCharType="end"/>
      </w:r>
    </w:p>
    <w:p w:rsidR="00725975" w:rsidRPr="00AE1C04" w:rsidRDefault="00725975" w:rsidP="00E253EA">
      <w:pPr>
        <w:jc w:val="center"/>
        <w:rPr>
          <w:b/>
          <w:lang w:val="en-NZ"/>
        </w:rPr>
        <w:sectPr w:rsidR="00725975" w:rsidRPr="00AE1C04" w:rsidSect="008840A1">
          <w:footerReference w:type="even" r:id="rId10"/>
          <w:pgSz w:w="11906" w:h="16838" w:code="9"/>
          <w:pgMar w:top="1134" w:right="1797" w:bottom="567" w:left="1797" w:header="709" w:footer="709" w:gutter="0"/>
          <w:cols w:space="708"/>
          <w:titlePg/>
          <w:docGrid w:linePitch="360"/>
        </w:sectPr>
      </w:pPr>
    </w:p>
    <w:p w:rsidR="007809E0" w:rsidRPr="00D22971" w:rsidRDefault="00312170" w:rsidP="00D22971">
      <w:pPr>
        <w:pStyle w:val="Chapterheading"/>
      </w:pPr>
      <w:bookmarkStart w:id="1" w:name="_Toc418756695"/>
      <w:r w:rsidRPr="00D22971">
        <w:rPr>
          <w:caps w:val="0"/>
        </w:rPr>
        <w:lastRenderedPageBreak/>
        <w:t xml:space="preserve">CHAPTER </w:t>
      </w:r>
      <w:r w:rsidR="00AC2E81" w:rsidRPr="00D22971">
        <w:t>1</w:t>
      </w:r>
      <w:bookmarkEnd w:id="1"/>
    </w:p>
    <w:p w:rsidR="00A77C6C" w:rsidRPr="00D22971" w:rsidRDefault="00A77C6C" w:rsidP="00D22971"/>
    <w:p w:rsidR="00EA330F" w:rsidRPr="00D22971" w:rsidRDefault="00D22971" w:rsidP="00D22971">
      <w:pPr>
        <w:pStyle w:val="Chapterheading"/>
      </w:pPr>
      <w:bookmarkStart w:id="2" w:name="_Toc418756696"/>
      <w:r>
        <w:rPr>
          <w:caps w:val="0"/>
        </w:rPr>
        <w:t>I</w:t>
      </w:r>
      <w:r w:rsidRPr="00D22971">
        <w:rPr>
          <w:caps w:val="0"/>
        </w:rPr>
        <w:t>ntroduction</w:t>
      </w:r>
      <w:bookmarkEnd w:id="2"/>
    </w:p>
    <w:p w:rsidR="00EA330F" w:rsidRPr="00AE1C04" w:rsidRDefault="00EA330F" w:rsidP="00B13C16"/>
    <w:p w:rsidR="002152CE" w:rsidRPr="004510BF" w:rsidRDefault="002152CE" w:rsidP="00B13C16"/>
    <w:p w:rsidR="00262E5D" w:rsidRDefault="00262E5D" w:rsidP="00D20B7D">
      <w:pPr>
        <w:pStyle w:val="Chapter1"/>
      </w:pPr>
      <w:r>
        <w:t xml:space="preserve">In common with many other countries, New Zealand </w:t>
      </w:r>
      <w:r w:rsidR="00B02780">
        <w:t xml:space="preserve">taxes </w:t>
      </w:r>
      <w:r>
        <w:t>non-resident</w:t>
      </w:r>
      <w:r w:rsidR="00B02780">
        <w:t>s</w:t>
      </w:r>
      <w:r>
        <w:t xml:space="preserve"> on their New Zealand-sourced income</w:t>
      </w:r>
      <w:r w:rsidR="001A318D">
        <w:t>.  N</w:t>
      </w:r>
      <w:r>
        <w:t xml:space="preserve">ew Zealand companies owned by non-residents pay income tax on their net profits </w:t>
      </w:r>
      <w:r w:rsidR="000255B8">
        <w:t>in the same way that</w:t>
      </w:r>
      <w:r>
        <w:t xml:space="preserve"> all New Zealand taxpayers do</w:t>
      </w:r>
      <w:r w:rsidR="001A318D">
        <w:t>.  I</w:t>
      </w:r>
      <w:r>
        <w:t>ncome from interest</w:t>
      </w:r>
      <w:r w:rsidR="00704DF2">
        <w:t xml:space="preserve">, dividends and royalties, known as </w:t>
      </w:r>
      <w:r w:rsidR="009C143E">
        <w:t xml:space="preserve">non-resident </w:t>
      </w:r>
      <w:r w:rsidR="00704DF2">
        <w:t>passive income,</w:t>
      </w:r>
      <w:r>
        <w:t xml:space="preserve"> earned in New Zealand </w:t>
      </w:r>
      <w:r w:rsidR="00B02780">
        <w:t xml:space="preserve">directly </w:t>
      </w:r>
      <w:r>
        <w:t>by non-residents is subject to non-resident withholding tax</w:t>
      </w:r>
      <w:r w:rsidR="0042091B">
        <w:t xml:space="preserve"> (NRWT)</w:t>
      </w:r>
      <w:r w:rsidR="00704DF2">
        <w:t>.</w:t>
      </w:r>
    </w:p>
    <w:p w:rsidR="00704DF2" w:rsidRDefault="00704DF2" w:rsidP="00B13C16"/>
    <w:p w:rsidR="00704DF2" w:rsidRPr="00990CA2" w:rsidRDefault="00704DF2" w:rsidP="00704DF2">
      <w:pPr>
        <w:pStyle w:val="Chapter1"/>
        <w:rPr>
          <w:szCs w:val="24"/>
        </w:rPr>
      </w:pPr>
      <w:r w:rsidRPr="00990CA2">
        <w:rPr>
          <w:szCs w:val="24"/>
        </w:rPr>
        <w:t xml:space="preserve">Applying income tax and </w:t>
      </w:r>
      <w:r w:rsidR="0042091B" w:rsidRPr="00990CA2">
        <w:rPr>
          <w:szCs w:val="24"/>
        </w:rPr>
        <w:t xml:space="preserve">NRWT </w:t>
      </w:r>
      <w:r w:rsidRPr="00990CA2">
        <w:rPr>
          <w:szCs w:val="24"/>
        </w:rPr>
        <w:t>in this way is intended to ensure an appropriate level of tax</w:t>
      </w:r>
      <w:r w:rsidR="009C143E" w:rsidRPr="00990CA2">
        <w:rPr>
          <w:szCs w:val="24"/>
        </w:rPr>
        <w:t>ation on</w:t>
      </w:r>
      <w:r w:rsidR="00D02644" w:rsidRPr="00990CA2">
        <w:rPr>
          <w:szCs w:val="24"/>
        </w:rPr>
        <w:t xml:space="preserve"> non-resident investors.</w:t>
      </w:r>
    </w:p>
    <w:p w:rsidR="009C143E" w:rsidRDefault="009C143E" w:rsidP="00B13C16"/>
    <w:p w:rsidR="009C143E" w:rsidRDefault="009C143E" w:rsidP="00704DF2">
      <w:pPr>
        <w:pStyle w:val="Chapter1"/>
      </w:pPr>
      <w:r>
        <w:t>Without non-resident withholding tax</w:t>
      </w:r>
      <w:r w:rsidR="00181514">
        <w:t>,</w:t>
      </w:r>
      <w:r>
        <w:t xml:space="preserve"> non-residents would be able to shift profits out of New Zealand</w:t>
      </w:r>
      <w:r w:rsidR="00FC5076">
        <w:t>,</w:t>
      </w:r>
      <w:r>
        <w:t xml:space="preserve"> paying little or no tax</w:t>
      </w:r>
      <w:r w:rsidR="001A318D">
        <w:t>.  T</w:t>
      </w:r>
      <w:r>
        <w:t xml:space="preserve">his would </w:t>
      </w:r>
      <w:r w:rsidR="00B02780">
        <w:t xml:space="preserve">not be consistent with New Zealand’s tax policy settings and would </w:t>
      </w:r>
      <w:r>
        <w:t xml:space="preserve">clearly be an </w:t>
      </w:r>
      <w:r w:rsidR="00D02644">
        <w:t>unfair outcome for New Zealand.</w:t>
      </w:r>
    </w:p>
    <w:p w:rsidR="00E84122" w:rsidRDefault="00E84122" w:rsidP="00B13C16"/>
    <w:p w:rsidR="00E84122" w:rsidRDefault="00E84122" w:rsidP="00704DF2">
      <w:pPr>
        <w:pStyle w:val="Chapter1"/>
      </w:pPr>
      <w:r>
        <w:t xml:space="preserve">However, since the NRWT rules were </w:t>
      </w:r>
      <w:r w:rsidR="000255B8">
        <w:t xml:space="preserve">first </w:t>
      </w:r>
      <w:r>
        <w:t>formulated, financial transactions have evolved and become more sophisticated</w:t>
      </w:r>
      <w:r w:rsidR="00B02780">
        <w:t>.  Taxpayers have developed various mechanisms for</w:t>
      </w:r>
      <w:r>
        <w:t xml:space="preserve"> </w:t>
      </w:r>
      <w:r w:rsidR="00B02780">
        <w:t xml:space="preserve">deferring or </w:t>
      </w:r>
      <w:r>
        <w:t>circumvent</w:t>
      </w:r>
      <w:r w:rsidR="00B02780">
        <w:t>ing</w:t>
      </w:r>
      <w:r>
        <w:t xml:space="preserve"> NRWT.</w:t>
      </w:r>
    </w:p>
    <w:p w:rsidR="00B02780" w:rsidRDefault="00B02780" w:rsidP="00B13C16"/>
    <w:p w:rsidR="003A31FD" w:rsidRDefault="00D20B7D" w:rsidP="00D20B7D">
      <w:pPr>
        <w:pStyle w:val="Chapter1"/>
      </w:pPr>
      <w:r>
        <w:t>The Government announced in November 2014 that it would undertake</w:t>
      </w:r>
      <w:r w:rsidR="00BF381D" w:rsidRPr="00AE1C04">
        <w:t xml:space="preserve"> </w:t>
      </w:r>
      <w:r w:rsidRPr="00D20B7D">
        <w:t xml:space="preserve">consultation aimed at </w:t>
      </w:r>
      <w:r w:rsidR="000255B8">
        <w:t xml:space="preserve">updating and </w:t>
      </w:r>
      <w:r w:rsidRPr="00D20B7D">
        <w:t xml:space="preserve">strengthening New Zealand’s </w:t>
      </w:r>
      <w:r w:rsidR="006279F9" w:rsidRPr="00EE4B8C">
        <w:t>NRWT</w:t>
      </w:r>
      <w:r w:rsidR="006279F9" w:rsidRPr="00EE4B8C">
        <w:rPr>
          <w:i/>
        </w:rPr>
        <w:t xml:space="preserve"> </w:t>
      </w:r>
      <w:r w:rsidRPr="00D20B7D">
        <w:t>rules</w:t>
      </w:r>
      <w:r w:rsidR="006C2015">
        <w:t xml:space="preserve"> on related party debt</w:t>
      </w:r>
      <w:r>
        <w:t>.</w:t>
      </w:r>
      <w:r w:rsidR="00CC26CB">
        <w:t xml:space="preserve">  This issues paper identifies a number of </w:t>
      </w:r>
      <w:r w:rsidR="00CF7C43">
        <w:t>issues</w:t>
      </w:r>
      <w:r w:rsidR="00CC26CB">
        <w:t xml:space="preserve"> with the application of the current </w:t>
      </w:r>
      <w:r w:rsidR="006279F9">
        <w:t>NRWT</w:t>
      </w:r>
      <w:r w:rsidR="00CC26CB">
        <w:t xml:space="preserve"> rules and suggests a number of complementary changes to address these concerns.</w:t>
      </w:r>
    </w:p>
    <w:p w:rsidR="008840A1" w:rsidRDefault="008840A1" w:rsidP="00B13C16"/>
    <w:p w:rsidR="00D22971" w:rsidRPr="00AE1C04" w:rsidRDefault="00D22971" w:rsidP="00B13C16"/>
    <w:p w:rsidR="00430BB2" w:rsidRPr="00D22971" w:rsidRDefault="004F0CB7" w:rsidP="00D22971">
      <w:pPr>
        <w:pStyle w:val="Heading1"/>
      </w:pPr>
      <w:bookmarkStart w:id="3" w:name="_Toc418756697"/>
      <w:r w:rsidRPr="00D22971">
        <w:t>Prevent</w:t>
      </w:r>
      <w:r w:rsidR="005946ED" w:rsidRPr="00D22971">
        <w:t>ing</w:t>
      </w:r>
      <w:r w:rsidR="00D1736F" w:rsidRPr="00D22971">
        <w:t xml:space="preserve"> arbitrage of NRWT rules with </w:t>
      </w:r>
      <w:r w:rsidR="00CC26CB" w:rsidRPr="00D22971">
        <w:t>f</w:t>
      </w:r>
      <w:r w:rsidR="00D1736F" w:rsidRPr="00D22971">
        <w:t xml:space="preserve">inancial </w:t>
      </w:r>
      <w:r w:rsidR="00CC26CB" w:rsidRPr="00D22971">
        <w:t>a</w:t>
      </w:r>
      <w:r w:rsidR="00D1736F" w:rsidRPr="00D22971">
        <w:t>rrangement rules</w:t>
      </w:r>
      <w:bookmarkEnd w:id="3"/>
    </w:p>
    <w:p w:rsidR="00430BB2" w:rsidRPr="00AE1C04" w:rsidRDefault="00430BB2" w:rsidP="00430BB2">
      <w:pPr>
        <w:pStyle w:val="Chapter1"/>
        <w:numPr>
          <w:ilvl w:val="0"/>
          <w:numId w:val="0"/>
        </w:numPr>
      </w:pPr>
    </w:p>
    <w:p w:rsidR="00373F5D" w:rsidRDefault="005946ED" w:rsidP="00BF2FC2">
      <w:pPr>
        <w:pStyle w:val="Chapter1"/>
      </w:pPr>
      <w:r>
        <w:t xml:space="preserve">Officials suggest </w:t>
      </w:r>
      <w:r w:rsidR="005A1088">
        <w:t>that for</w:t>
      </w:r>
      <w:r w:rsidR="00526ACB">
        <w:t xml:space="preserve"> </w:t>
      </w:r>
      <w:r w:rsidR="000E6E28">
        <w:t xml:space="preserve">certain </w:t>
      </w:r>
      <w:r w:rsidR="00526ACB">
        <w:t xml:space="preserve">related party </w:t>
      </w:r>
      <w:r w:rsidR="000E6E28">
        <w:t>debt structures</w:t>
      </w:r>
      <w:r w:rsidR="00526ACB">
        <w:t xml:space="preserve"> that would </w:t>
      </w:r>
      <w:r w:rsidR="000E6E28">
        <w:t>have generated</w:t>
      </w:r>
      <w:r w:rsidR="00526ACB">
        <w:t xml:space="preserve"> </w:t>
      </w:r>
      <w:r w:rsidR="006C2015">
        <w:t>financial arrangement</w:t>
      </w:r>
      <w:r w:rsidR="006279F9">
        <w:t xml:space="preserve"> </w:t>
      </w:r>
      <w:r w:rsidR="00526ACB">
        <w:t>income of a non-resident if that non-resident was subject to the financial arrangement rules</w:t>
      </w:r>
      <w:r w:rsidR="00DD733C">
        <w:t xml:space="preserve">, </w:t>
      </w:r>
      <w:r w:rsidR="00B253F8">
        <w:t xml:space="preserve">an </w:t>
      </w:r>
      <w:r w:rsidR="00CC26CB">
        <w:t>NRWT</w:t>
      </w:r>
      <w:r w:rsidR="00E53E21">
        <w:t xml:space="preserve"> </w:t>
      </w:r>
      <w:r w:rsidR="000E6E28">
        <w:t>liability</w:t>
      </w:r>
      <w:r w:rsidR="00DD733C">
        <w:t xml:space="preserve"> will be triggered and determined by reference to the financial arrangement rules rather than the existing rules</w:t>
      </w:r>
      <w:r w:rsidR="00CC26CB">
        <w:t>.</w:t>
      </w:r>
    </w:p>
    <w:p w:rsidR="00CC26CB" w:rsidRDefault="00CC26CB" w:rsidP="00B13C16"/>
    <w:p w:rsidR="00D22971" w:rsidRDefault="00D22971" w:rsidP="00B13C16"/>
    <w:p w:rsidR="00373F5D" w:rsidRPr="005A7703" w:rsidRDefault="00D1736F" w:rsidP="005A7703">
      <w:pPr>
        <w:pStyle w:val="Heading1"/>
        <w:rPr>
          <w:lang w:val="en-NZ"/>
        </w:rPr>
      </w:pPr>
      <w:bookmarkStart w:id="4" w:name="_Toc418756698"/>
      <w:r w:rsidRPr="005A7703">
        <w:rPr>
          <w:lang w:val="en-NZ"/>
        </w:rPr>
        <w:t>P</w:t>
      </w:r>
      <w:r w:rsidR="004F0CB7">
        <w:rPr>
          <w:lang w:val="en-NZ"/>
        </w:rPr>
        <w:t>revent</w:t>
      </w:r>
      <w:r w:rsidR="005946ED">
        <w:rPr>
          <w:lang w:val="en-NZ"/>
        </w:rPr>
        <w:t>ing</w:t>
      </w:r>
      <w:r w:rsidR="00B11CB4" w:rsidRPr="005A7703">
        <w:rPr>
          <w:lang w:val="en-NZ"/>
        </w:rPr>
        <w:t xml:space="preserve"> associated persons accessing the AIL </w:t>
      </w:r>
      <w:r w:rsidR="006279F9">
        <w:rPr>
          <w:lang w:val="en-NZ"/>
        </w:rPr>
        <w:t>rules</w:t>
      </w:r>
      <w:bookmarkEnd w:id="4"/>
    </w:p>
    <w:p w:rsidR="00373F5D" w:rsidRDefault="00373F5D" w:rsidP="00B13C16"/>
    <w:p w:rsidR="006279F9" w:rsidRPr="00D20B7D" w:rsidRDefault="006279F9" w:rsidP="00D22971">
      <w:pPr>
        <w:pStyle w:val="Heading2"/>
      </w:pPr>
      <w:r w:rsidRPr="00D20B7D">
        <w:t>Back</w:t>
      </w:r>
      <w:r>
        <w:t>-</w:t>
      </w:r>
      <w:r w:rsidRPr="00D20B7D">
        <w:t>to</w:t>
      </w:r>
      <w:r>
        <w:t>-</w:t>
      </w:r>
      <w:r w:rsidRPr="00D20B7D">
        <w:t>back loans</w:t>
      </w:r>
      <w:r w:rsidR="00DD733C">
        <w:t xml:space="preserve"> and other forms of indirect funding</w:t>
      </w:r>
    </w:p>
    <w:p w:rsidR="006279F9" w:rsidRPr="00AE1C04" w:rsidRDefault="006279F9" w:rsidP="00B13C16"/>
    <w:p w:rsidR="006279F9" w:rsidRDefault="006279F9" w:rsidP="006279F9">
      <w:pPr>
        <w:pStyle w:val="Chapter1"/>
      </w:pPr>
      <w:r>
        <w:t xml:space="preserve">We </w:t>
      </w:r>
      <w:r w:rsidR="00745C92">
        <w:t>suggest that</w:t>
      </w:r>
      <w:r w:rsidR="00DD733C">
        <w:t xml:space="preserve"> NRWT (rather than</w:t>
      </w:r>
      <w:r>
        <w:t xml:space="preserve"> </w:t>
      </w:r>
      <w:r w:rsidR="006C2015">
        <w:t>approved issuer levy (</w:t>
      </w:r>
      <w:r>
        <w:t>AIL</w:t>
      </w:r>
      <w:r w:rsidR="006C2015">
        <w:t>)</w:t>
      </w:r>
      <w:r w:rsidR="00DD733C">
        <w:t>) be paid</w:t>
      </w:r>
      <w:r>
        <w:t xml:space="preserve"> when New Zealand</w:t>
      </w:r>
      <w:r w:rsidR="006C2015">
        <w:t>-</w:t>
      </w:r>
      <w:r>
        <w:t>sourced interest is paid to a third party if it is part of an arrangement for that third-party lender to be provided funds by a</w:t>
      </w:r>
      <w:r w:rsidR="005A1088">
        <w:t xml:space="preserve"> </w:t>
      </w:r>
      <w:r>
        <w:t>n</w:t>
      </w:r>
      <w:r w:rsidR="005A1088">
        <w:t>on-resident</w:t>
      </w:r>
      <w:r>
        <w:t xml:space="preserve"> associated p</w:t>
      </w:r>
      <w:r w:rsidR="006C2015">
        <w:t>erson</w:t>
      </w:r>
      <w:r>
        <w:t xml:space="preserve"> of the New Zealand borrower.</w:t>
      </w:r>
    </w:p>
    <w:p w:rsidR="006279F9" w:rsidRPr="00AE1C04" w:rsidRDefault="006279F9" w:rsidP="00B13C16"/>
    <w:p w:rsidR="00D22971" w:rsidRDefault="00D22971">
      <w:pPr>
        <w:jc w:val="left"/>
        <w:rPr>
          <w:b/>
          <w:i/>
          <w:lang w:val="en-NZ"/>
        </w:rPr>
      </w:pPr>
      <w:r>
        <w:rPr>
          <w:b/>
          <w:i/>
        </w:rPr>
        <w:br w:type="page"/>
      </w:r>
    </w:p>
    <w:p w:rsidR="00D20B7D" w:rsidRPr="00D20B7D" w:rsidRDefault="00D20B7D" w:rsidP="00F04767">
      <w:pPr>
        <w:pStyle w:val="Heading2"/>
      </w:pPr>
      <w:r w:rsidRPr="00D20B7D">
        <w:lastRenderedPageBreak/>
        <w:t xml:space="preserve">Persons acting </w:t>
      </w:r>
      <w:r w:rsidR="007A508D">
        <w:t>together</w:t>
      </w:r>
    </w:p>
    <w:p w:rsidR="00D20B7D" w:rsidRPr="00AE1C04" w:rsidRDefault="00D20B7D" w:rsidP="00B13C16"/>
    <w:p w:rsidR="00373F5D" w:rsidRPr="00AE1C04" w:rsidRDefault="00DF4085" w:rsidP="00BF2FC2">
      <w:pPr>
        <w:pStyle w:val="Chapter1"/>
      </w:pPr>
      <w:r>
        <w:t xml:space="preserve">We </w:t>
      </w:r>
      <w:r w:rsidR="00745C92">
        <w:t>suggest that</w:t>
      </w:r>
      <w:r w:rsidR="00DD733C">
        <w:t xml:space="preserve"> NRWT (rather than </w:t>
      </w:r>
      <w:r w:rsidR="008E1D17">
        <w:t>AIL</w:t>
      </w:r>
      <w:r w:rsidR="00DD733C">
        <w:t>) be paid</w:t>
      </w:r>
      <w:r w:rsidR="008E1D17">
        <w:t xml:space="preserve"> when New Zealand</w:t>
      </w:r>
      <w:r w:rsidR="006C2015">
        <w:t>-</w:t>
      </w:r>
      <w:r w:rsidR="008E1D17">
        <w:t xml:space="preserve">sourced interest is paid to </w:t>
      </w:r>
      <w:r w:rsidR="00DD733C">
        <w:t xml:space="preserve">a non-resident who is not associated with the borrower, but is part of a group of persons who are </w:t>
      </w:r>
      <w:r w:rsidR="008E1D17">
        <w:t>acting together and would be associated with the borrower if they were a single entity.</w:t>
      </w:r>
      <w:r w:rsidR="00D3478B">
        <w:t xml:space="preserve">  This </w:t>
      </w:r>
      <w:r w:rsidR="005946ED">
        <w:t xml:space="preserve">would be </w:t>
      </w:r>
      <w:r w:rsidR="00D3478B">
        <w:t>similar to the non-resident owning body changes recently introduced to the thin capitalisation rules.</w:t>
      </w:r>
    </w:p>
    <w:p w:rsidR="00D20B7D" w:rsidRDefault="00D20B7D" w:rsidP="00B13C16"/>
    <w:p w:rsidR="009978DE" w:rsidRPr="00D20B7D" w:rsidRDefault="00335DAE" w:rsidP="00F04767">
      <w:pPr>
        <w:pStyle w:val="Heading2"/>
      </w:pPr>
      <w:r>
        <w:t xml:space="preserve">Eligibility for </w:t>
      </w:r>
      <w:r w:rsidR="00D02644">
        <w:t>AIL</w:t>
      </w:r>
    </w:p>
    <w:p w:rsidR="009978DE" w:rsidRPr="00AE1C04" w:rsidRDefault="009978DE" w:rsidP="00B13C16"/>
    <w:p w:rsidR="009978DE" w:rsidRPr="00AE1C04" w:rsidRDefault="007D3D82" w:rsidP="009978DE">
      <w:pPr>
        <w:pStyle w:val="Chapter1"/>
      </w:pPr>
      <w:r>
        <w:t xml:space="preserve">In order to deal with issues that have arisen with the improper </w:t>
      </w:r>
      <w:r w:rsidR="00B253F8">
        <w:t xml:space="preserve">substitution of </w:t>
      </w:r>
      <w:r>
        <w:t>AIL</w:t>
      </w:r>
      <w:r w:rsidR="00B253F8">
        <w:t xml:space="preserve"> for NRWT</w:t>
      </w:r>
      <w:r>
        <w:t xml:space="preserve"> on interest to </w:t>
      </w:r>
      <w:r w:rsidR="00B253F8">
        <w:t>related</w:t>
      </w:r>
      <w:r>
        <w:t xml:space="preserve"> persons, </w:t>
      </w:r>
      <w:r w:rsidR="00745C92">
        <w:t>officials wish to explore</w:t>
      </w:r>
      <w:r w:rsidR="009978DE">
        <w:t xml:space="preserve"> </w:t>
      </w:r>
      <w:r>
        <w:t>limit</w:t>
      </w:r>
      <w:r w:rsidR="00745C92">
        <w:t>ing</w:t>
      </w:r>
      <w:r>
        <w:t xml:space="preserve"> the ability to pay AIL to loans </w:t>
      </w:r>
      <w:r w:rsidR="00C778DF">
        <w:t xml:space="preserve">where there is a much lower risk of undisclosed association.  The suggestion in this paper is to limit AIL to loans </w:t>
      </w:r>
      <w:r>
        <w:t>which are either to or from a financial intermediary</w:t>
      </w:r>
      <w:r w:rsidR="005A1088">
        <w:t xml:space="preserve"> or raised from a group of 10 or more non-associated persons</w:t>
      </w:r>
      <w:r>
        <w:t>.</w:t>
      </w:r>
    </w:p>
    <w:p w:rsidR="009978DE" w:rsidRDefault="009978DE" w:rsidP="00B13C16"/>
    <w:p w:rsidR="00F04767" w:rsidRPr="00AE1C04" w:rsidRDefault="00F04767" w:rsidP="00B13C16"/>
    <w:p w:rsidR="00373F5D" w:rsidRPr="005A7703" w:rsidRDefault="005946ED" w:rsidP="00F04767">
      <w:pPr>
        <w:pStyle w:val="Heading1"/>
        <w:rPr>
          <w:lang w:val="en-NZ"/>
        </w:rPr>
      </w:pPr>
      <w:bookmarkStart w:id="5" w:name="_Toc418756699"/>
      <w:r>
        <w:rPr>
          <w:lang w:val="en-NZ"/>
        </w:rPr>
        <w:t>R</w:t>
      </w:r>
      <w:r w:rsidR="004F0CB7">
        <w:rPr>
          <w:lang w:val="en-NZ"/>
        </w:rPr>
        <w:t>estrict</w:t>
      </w:r>
      <w:r>
        <w:rPr>
          <w:lang w:val="en-NZ"/>
        </w:rPr>
        <w:t>ing</w:t>
      </w:r>
      <w:r w:rsidR="0080753E" w:rsidRPr="005A7703">
        <w:rPr>
          <w:lang w:val="en-NZ"/>
        </w:rPr>
        <w:t xml:space="preserve"> the branch exemption</w:t>
      </w:r>
      <w:r w:rsidR="006B4BD1">
        <w:rPr>
          <w:lang w:val="en-NZ"/>
        </w:rPr>
        <w:t>s</w:t>
      </w:r>
      <w:bookmarkEnd w:id="5"/>
    </w:p>
    <w:p w:rsidR="00373F5D" w:rsidRDefault="00373F5D" w:rsidP="00B13C16"/>
    <w:p w:rsidR="000E6E28" w:rsidRPr="00D20B7D" w:rsidRDefault="000E6E28" w:rsidP="00F04767">
      <w:pPr>
        <w:pStyle w:val="Heading2"/>
      </w:pPr>
      <w:r>
        <w:t>Offshore branch exemption</w:t>
      </w:r>
    </w:p>
    <w:p w:rsidR="000E6E28" w:rsidRDefault="000E6E28" w:rsidP="00B13C16"/>
    <w:p w:rsidR="000E6E28" w:rsidRPr="0080753E" w:rsidRDefault="005946ED" w:rsidP="000E6E28">
      <w:pPr>
        <w:pStyle w:val="Chapter1"/>
      </w:pPr>
      <w:r>
        <w:t>Officials suggest</w:t>
      </w:r>
      <w:r w:rsidR="000E6E28">
        <w:t xml:space="preserve"> limit</w:t>
      </w:r>
      <w:r>
        <w:t>ing</w:t>
      </w:r>
      <w:r w:rsidR="000E6E28">
        <w:t xml:space="preserve"> the existing offshore branch exemption so that interest paid by the offshore branch of a New Zealand resident </w:t>
      </w:r>
      <w:r w:rsidR="00C778DF">
        <w:t xml:space="preserve">is </w:t>
      </w:r>
      <w:r w:rsidR="000E6E28">
        <w:t>subject to NRWT or AIL</w:t>
      </w:r>
      <w:r w:rsidR="007D3D82">
        <w:t xml:space="preserve"> to the extent that the interest is paid on money which is lent to a N</w:t>
      </w:r>
      <w:r w:rsidR="005A1088">
        <w:t xml:space="preserve">ew </w:t>
      </w:r>
      <w:r w:rsidR="007D3D82">
        <w:t>Z</w:t>
      </w:r>
      <w:r w:rsidR="005A1088">
        <w:t>ealand</w:t>
      </w:r>
      <w:r w:rsidR="007D3D82">
        <w:t xml:space="preserve"> resident</w:t>
      </w:r>
      <w:r w:rsidR="000E6E28">
        <w:t>.</w:t>
      </w:r>
    </w:p>
    <w:p w:rsidR="000E6E28" w:rsidRPr="00AE1C04" w:rsidRDefault="000E6E28" w:rsidP="00B13C16"/>
    <w:p w:rsidR="000E6E28" w:rsidRPr="00D20B7D" w:rsidRDefault="000E6E28" w:rsidP="00F04767">
      <w:pPr>
        <w:pStyle w:val="Heading2"/>
      </w:pPr>
      <w:r>
        <w:t>Onshore branch exemption</w:t>
      </w:r>
    </w:p>
    <w:p w:rsidR="000E6E28" w:rsidRDefault="000E6E28" w:rsidP="00B13C16"/>
    <w:p w:rsidR="000E6E28" w:rsidRDefault="000E6E28" w:rsidP="000E6E28">
      <w:pPr>
        <w:pStyle w:val="Chapter1"/>
      </w:pPr>
      <w:r>
        <w:t xml:space="preserve">We </w:t>
      </w:r>
      <w:r w:rsidR="005946ED">
        <w:t>suggest</w:t>
      </w:r>
      <w:r>
        <w:t xml:space="preserve"> limit</w:t>
      </w:r>
      <w:r w:rsidR="005946ED">
        <w:t>ing</w:t>
      </w:r>
      <w:r>
        <w:t xml:space="preserve"> the existing onshore branch exemption </w:t>
      </w:r>
      <w:r w:rsidR="007D3D82">
        <w:t xml:space="preserve">from NRWT </w:t>
      </w:r>
      <w:r>
        <w:t>so that it appl</w:t>
      </w:r>
      <w:r w:rsidR="00C778DF">
        <w:t>ies</w:t>
      </w:r>
      <w:r w:rsidR="006C2015">
        <w:t xml:space="preserve"> only</w:t>
      </w:r>
      <w:r>
        <w:t xml:space="preserve"> to interest that is </w:t>
      </w:r>
      <w:r w:rsidR="007D3D82">
        <w:t>received</w:t>
      </w:r>
      <w:r>
        <w:t xml:space="preserve"> by a non-resident </w:t>
      </w:r>
      <w:r w:rsidR="007D3D82">
        <w:t>in connection with</w:t>
      </w:r>
      <w:r>
        <w:t xml:space="preserve"> a business carried on through a fixed establishment in New Zealand.  Where a non-resident operates a New Zealand branch</w:t>
      </w:r>
      <w:r w:rsidR="004F0CB7">
        <w:t>,</w:t>
      </w:r>
      <w:r w:rsidR="006C2015">
        <w:t xml:space="preserve"> New Zealand-sourced interest </w:t>
      </w:r>
      <w:r w:rsidR="004F0CB7">
        <w:t xml:space="preserve">income </w:t>
      </w:r>
      <w:r w:rsidR="006C2015">
        <w:t>not connected</w:t>
      </w:r>
      <w:r w:rsidR="002B2FA0">
        <w:t xml:space="preserve"> with</w:t>
      </w:r>
      <w:r>
        <w:t xml:space="preserve"> their New Zealand branch </w:t>
      </w:r>
      <w:r w:rsidR="0020475B">
        <w:t xml:space="preserve">would </w:t>
      </w:r>
      <w:r w:rsidR="004F0CB7">
        <w:t>be</w:t>
      </w:r>
      <w:r>
        <w:t xml:space="preserve"> </w:t>
      </w:r>
      <w:r w:rsidR="005A1088">
        <w:t xml:space="preserve">non-resident </w:t>
      </w:r>
      <w:r w:rsidR="009B6D39">
        <w:t xml:space="preserve">passive income </w:t>
      </w:r>
      <w:r w:rsidR="005A1088">
        <w:t>(</w:t>
      </w:r>
      <w:r w:rsidR="00CD08B5">
        <w:t>NR</w:t>
      </w:r>
      <w:r w:rsidR="009B6D39">
        <w:t>P</w:t>
      </w:r>
      <w:r w:rsidR="00CD08B5">
        <w:t>I</w:t>
      </w:r>
      <w:r w:rsidR="005A1088">
        <w:t>)</w:t>
      </w:r>
      <w:r w:rsidR="00B64230">
        <w:t>, subject to NRWT or AIL</w:t>
      </w:r>
      <w:r>
        <w:t>.</w:t>
      </w:r>
    </w:p>
    <w:p w:rsidR="000E6E28" w:rsidRPr="0080753E" w:rsidRDefault="000E6E28" w:rsidP="00B13C16"/>
    <w:p w:rsidR="006B4BD1" w:rsidRPr="00D20B7D" w:rsidRDefault="006B4BD1" w:rsidP="00F04767">
      <w:pPr>
        <w:pStyle w:val="Heading2"/>
      </w:pPr>
      <w:r>
        <w:t xml:space="preserve">Banking </w:t>
      </w:r>
      <w:r w:rsidR="00FC5076">
        <w:t>related-</w:t>
      </w:r>
      <w:r w:rsidR="000838D0">
        <w:t>party lending</w:t>
      </w:r>
    </w:p>
    <w:p w:rsidR="006B4BD1" w:rsidRPr="00AE1C04" w:rsidRDefault="006B4BD1" w:rsidP="00B13C16"/>
    <w:p w:rsidR="0080753E" w:rsidRDefault="00DF4085" w:rsidP="0080753E">
      <w:pPr>
        <w:pStyle w:val="Chapter1"/>
      </w:pPr>
      <w:r>
        <w:t xml:space="preserve">We </w:t>
      </w:r>
      <w:r w:rsidR="0020475B">
        <w:t>suggest</w:t>
      </w:r>
      <w:r w:rsidR="006B4BD1">
        <w:t xml:space="preserve"> </w:t>
      </w:r>
      <w:r w:rsidR="000E6E28">
        <w:t>allow</w:t>
      </w:r>
      <w:r w:rsidR="0020475B">
        <w:t>ing</w:t>
      </w:r>
      <w:r w:rsidR="000E6E28">
        <w:t xml:space="preserve"> </w:t>
      </w:r>
      <w:r w:rsidR="007D3D82">
        <w:t xml:space="preserve">members of </w:t>
      </w:r>
      <w:r w:rsidR="006B4BD1">
        <w:t xml:space="preserve">New Zealand </w:t>
      </w:r>
      <w:r w:rsidR="006279F9">
        <w:t>b</w:t>
      </w:r>
      <w:r w:rsidR="006B4BD1">
        <w:t>ank</w:t>
      </w:r>
      <w:r w:rsidR="000838D0">
        <w:t xml:space="preserve">ing groups to </w:t>
      </w:r>
      <w:r w:rsidR="00FC5076">
        <w:t xml:space="preserve">access the AIL rules on interest payments to </w:t>
      </w:r>
      <w:r w:rsidR="000838D0">
        <w:t xml:space="preserve">their </w:t>
      </w:r>
      <w:r w:rsidR="003A1DC8">
        <w:t>non-resident</w:t>
      </w:r>
      <w:r w:rsidR="007D3D82">
        <w:t xml:space="preserve"> associate</w:t>
      </w:r>
      <w:r w:rsidR="003A1DC8">
        <w:t>s</w:t>
      </w:r>
      <w:r w:rsidR="006B4BD1">
        <w:t xml:space="preserve">.  </w:t>
      </w:r>
      <w:r w:rsidR="000838D0">
        <w:t>This recognises that the owners of New Zealand banks are themselves margin lenders</w:t>
      </w:r>
      <w:r w:rsidR="00B64230">
        <w:t>, whose funding in the main is sourced from unrelated lenders</w:t>
      </w:r>
      <w:r w:rsidR="000D6B4F">
        <w:t>.</w:t>
      </w:r>
      <w:r w:rsidR="00B64230">
        <w:t xml:space="preserve">  The tax system would be improved by providing them with a </w:t>
      </w:r>
      <w:r w:rsidR="006B4BD1">
        <w:t xml:space="preserve">transparent </w:t>
      </w:r>
      <w:r w:rsidR="00B64230">
        <w:t>way to borrow from offshore with an appropriate level of tax,</w:t>
      </w:r>
      <w:r w:rsidR="006B4BD1">
        <w:t xml:space="preserve"> </w:t>
      </w:r>
      <w:r w:rsidR="000838D0">
        <w:t xml:space="preserve">rather than </w:t>
      </w:r>
      <w:r w:rsidR="00B64230">
        <w:t xml:space="preserve">leaving them to rely on </w:t>
      </w:r>
      <w:r w:rsidR="000838D0">
        <w:t xml:space="preserve">the </w:t>
      </w:r>
      <w:r w:rsidR="006B4BD1">
        <w:t>offshore and onshore branch exemptions</w:t>
      </w:r>
      <w:r w:rsidR="00B64230">
        <w:t>, neither of which has a policy which supports its use in this context</w:t>
      </w:r>
      <w:r w:rsidR="006B4BD1">
        <w:t>.</w:t>
      </w:r>
    </w:p>
    <w:p w:rsidR="00181514" w:rsidRDefault="00181514" w:rsidP="00B13C16"/>
    <w:p w:rsidR="00F04767" w:rsidRDefault="00F04767">
      <w:pPr>
        <w:jc w:val="left"/>
        <w:rPr>
          <w:lang w:val="en-NZ"/>
        </w:rPr>
      </w:pPr>
      <w:r>
        <w:br w:type="page"/>
      </w:r>
    </w:p>
    <w:p w:rsidR="000D6B4F" w:rsidRPr="00AE1C04" w:rsidRDefault="000D6B4F" w:rsidP="0080753E">
      <w:pPr>
        <w:pStyle w:val="Chapter1"/>
      </w:pPr>
      <w:r>
        <w:lastRenderedPageBreak/>
        <w:t>New Zealand aims to ensure that tax rules are not unduly complex or impose excessive compliance costs</w:t>
      </w:r>
      <w:r w:rsidR="001A318D">
        <w:t>.  T</w:t>
      </w:r>
      <w:r>
        <w:t xml:space="preserve">he </w:t>
      </w:r>
      <w:r w:rsidR="00745C92">
        <w:t xml:space="preserve">suggested </w:t>
      </w:r>
      <w:r w:rsidR="000255B8">
        <w:t xml:space="preserve">NRWT </w:t>
      </w:r>
      <w:r>
        <w:t>changes in this issues paper are aimed primarily at companies using complex and sophisticated transactions to circumvent the NRWT rules</w:t>
      </w:r>
      <w:r w:rsidR="001A318D">
        <w:t>.  I</w:t>
      </w:r>
      <w:r>
        <w:t xml:space="preserve">n order to help ensure </w:t>
      </w:r>
      <w:r w:rsidR="005946ED">
        <w:t>fairness and practicality</w:t>
      </w:r>
      <w:r>
        <w:t xml:space="preserve">, taxpayers are invited to make a submission on any aspect of </w:t>
      </w:r>
      <w:r w:rsidR="005946ED">
        <w:t>matters discussed in this paper</w:t>
      </w:r>
      <w:r>
        <w:t>.</w:t>
      </w:r>
    </w:p>
    <w:p w:rsidR="0080753E" w:rsidRDefault="0080753E" w:rsidP="00B13C16"/>
    <w:p w:rsidR="00E84122" w:rsidRPr="00AE1C04" w:rsidRDefault="00E84122" w:rsidP="00E84122">
      <w:pPr>
        <w:pStyle w:val="Chapter1"/>
      </w:pPr>
      <w:r w:rsidRPr="006875A3">
        <w:t xml:space="preserve">Subject to consultation, </w:t>
      </w:r>
      <w:r>
        <w:t xml:space="preserve">amendments </w:t>
      </w:r>
      <w:r w:rsidR="000255B8">
        <w:t>to the NRWT rules</w:t>
      </w:r>
      <w:r>
        <w:t xml:space="preserve"> could</w:t>
      </w:r>
      <w:r w:rsidRPr="006875A3">
        <w:t xml:space="preserve"> be included in the </w:t>
      </w:r>
      <w:r>
        <w:t xml:space="preserve">next </w:t>
      </w:r>
      <w:r w:rsidRPr="006875A3">
        <w:t xml:space="preserve">tax bill </w:t>
      </w:r>
      <w:r>
        <w:t>which is currently scheduled for introduction in late 2015.</w:t>
      </w:r>
    </w:p>
    <w:p w:rsidR="006B4BD1" w:rsidRDefault="006B4BD1" w:rsidP="00B13C16"/>
    <w:p w:rsidR="00F04767" w:rsidRPr="00AE1C04" w:rsidRDefault="00F04767" w:rsidP="00B13C16"/>
    <w:p w:rsidR="0080753E" w:rsidRPr="005A7703" w:rsidRDefault="0080753E" w:rsidP="00F04767">
      <w:pPr>
        <w:pStyle w:val="Heading1"/>
        <w:rPr>
          <w:lang w:val="en-NZ"/>
        </w:rPr>
      </w:pPr>
      <w:bookmarkStart w:id="6" w:name="_Toc418756700"/>
      <w:r w:rsidRPr="005A7703">
        <w:rPr>
          <w:lang w:val="en-NZ"/>
        </w:rPr>
        <w:t>How to make a submission</w:t>
      </w:r>
      <w:bookmarkEnd w:id="6"/>
    </w:p>
    <w:p w:rsidR="0080753E" w:rsidRDefault="0080753E" w:rsidP="00B13C16"/>
    <w:p w:rsidR="0080753E" w:rsidRPr="0080753E" w:rsidRDefault="00F30EBF" w:rsidP="0080753E">
      <w:pPr>
        <w:pStyle w:val="Chapter1"/>
      </w:pPr>
      <w:r>
        <w:t>Officials</w:t>
      </w:r>
      <w:r w:rsidR="0080753E" w:rsidRPr="0080753E">
        <w:t xml:space="preserve"> invite submissions on the proposed reforms and points raised in this </w:t>
      </w:r>
      <w:r w:rsidR="00C454DA">
        <w:t>issues paper</w:t>
      </w:r>
      <w:r w:rsidR="001A318D">
        <w:t>.  S</w:t>
      </w:r>
      <w:r w:rsidR="0080753E" w:rsidRPr="0080753E">
        <w:t>ubmissions should be addressed to:</w:t>
      </w:r>
    </w:p>
    <w:p w:rsidR="0080753E" w:rsidRPr="00DF4085" w:rsidRDefault="0080753E" w:rsidP="00DF4085"/>
    <w:p w:rsidR="0080753E" w:rsidRPr="00DF4085" w:rsidRDefault="0080753E" w:rsidP="00DF4085">
      <w:pPr>
        <w:ind w:left="851"/>
      </w:pPr>
      <w:r w:rsidRPr="00DF4085">
        <w:t>NRWT</w:t>
      </w:r>
      <w:r w:rsidR="007D3D82">
        <w:t xml:space="preserve">: </w:t>
      </w:r>
      <w:r w:rsidR="00C83ADE">
        <w:t xml:space="preserve">related party </w:t>
      </w:r>
      <w:r w:rsidR="007D3D82">
        <w:t>and branch lending</w:t>
      </w:r>
    </w:p>
    <w:p w:rsidR="0080753E" w:rsidRPr="00DF4085" w:rsidRDefault="0080753E" w:rsidP="00DF4085">
      <w:pPr>
        <w:ind w:left="851"/>
      </w:pPr>
      <w:r w:rsidRPr="00DF4085">
        <w:t>C/- Deputy Commissioner, Policy and Strategy</w:t>
      </w:r>
    </w:p>
    <w:p w:rsidR="0080753E" w:rsidRPr="00DF4085" w:rsidRDefault="0080753E" w:rsidP="00DF4085">
      <w:pPr>
        <w:ind w:left="851"/>
      </w:pPr>
      <w:r w:rsidRPr="00DF4085">
        <w:t>Inland Revenue Department</w:t>
      </w:r>
    </w:p>
    <w:p w:rsidR="0080753E" w:rsidRPr="00DF4085" w:rsidRDefault="0080753E" w:rsidP="00DF4085">
      <w:pPr>
        <w:ind w:left="851"/>
      </w:pPr>
      <w:r w:rsidRPr="00DF4085">
        <w:t>PO Box 2198</w:t>
      </w:r>
    </w:p>
    <w:p w:rsidR="0080753E" w:rsidRPr="00DF4085" w:rsidRDefault="0080753E" w:rsidP="00DF4085">
      <w:pPr>
        <w:ind w:left="851"/>
      </w:pPr>
      <w:r w:rsidRPr="00DF4085">
        <w:t>Wellington 6140</w:t>
      </w:r>
    </w:p>
    <w:p w:rsidR="0080753E" w:rsidRPr="00DF4085" w:rsidRDefault="0080753E" w:rsidP="00DF4085">
      <w:pPr>
        <w:ind w:left="851"/>
      </w:pPr>
    </w:p>
    <w:p w:rsidR="0080753E" w:rsidRPr="00DF4085" w:rsidRDefault="0080753E" w:rsidP="00DF4085">
      <w:pPr>
        <w:ind w:left="851"/>
      </w:pPr>
      <w:r w:rsidRPr="00DF4085">
        <w:t xml:space="preserve">Or email </w:t>
      </w:r>
      <w:r w:rsidRPr="00F04767">
        <w:rPr>
          <w:u w:val="single"/>
        </w:rPr>
        <w:t>policy.webmaster@ird.govt.nz</w:t>
      </w:r>
      <w:r w:rsidRPr="00DF4085">
        <w:t xml:space="preserve"> with </w:t>
      </w:r>
      <w:r w:rsidR="00F04767">
        <w:t>“</w:t>
      </w:r>
      <w:r w:rsidRPr="00DF4085">
        <w:t>NRWT</w:t>
      </w:r>
      <w:r w:rsidR="0042091B">
        <w:t>:</w:t>
      </w:r>
      <w:r w:rsidR="00C83ADE">
        <w:t xml:space="preserve"> related party </w:t>
      </w:r>
      <w:r w:rsidR="004F0CB7">
        <w:t>and branch lending</w:t>
      </w:r>
      <w:r w:rsidR="00F04767">
        <w:t>”</w:t>
      </w:r>
      <w:r w:rsidRPr="00DF4085">
        <w:t xml:space="preserve"> in the subject line</w:t>
      </w:r>
      <w:r w:rsidR="001A318D">
        <w:t>.  E</w:t>
      </w:r>
      <w:r w:rsidRPr="00DF4085">
        <w:t>lectronic submissions are encouraged</w:t>
      </w:r>
      <w:r w:rsidR="001A318D">
        <w:t>.  T</w:t>
      </w:r>
      <w:r w:rsidRPr="00DF4085">
        <w:t xml:space="preserve">he closing date for submissions is </w:t>
      </w:r>
      <w:r w:rsidR="002440A3" w:rsidRPr="00F04767">
        <w:t>1</w:t>
      </w:r>
      <w:r w:rsidR="00FA50A9" w:rsidRPr="00F04767">
        <w:t>6</w:t>
      </w:r>
      <w:r w:rsidR="002440A3" w:rsidRPr="00F04767">
        <w:t xml:space="preserve"> June</w:t>
      </w:r>
      <w:r w:rsidRPr="00F04767">
        <w:t xml:space="preserve"> 2015.</w:t>
      </w:r>
    </w:p>
    <w:p w:rsidR="0080753E" w:rsidRPr="00B13C16" w:rsidRDefault="0080753E" w:rsidP="0080753E">
      <w:pPr>
        <w:jc w:val="left"/>
        <w:rPr>
          <w:bCs/>
          <w:caps/>
          <w:lang w:val="en-NZ"/>
        </w:rPr>
      </w:pPr>
    </w:p>
    <w:p w:rsidR="0080753E" w:rsidRPr="0080753E" w:rsidRDefault="0080753E" w:rsidP="00F04767">
      <w:pPr>
        <w:pStyle w:val="Chapter1"/>
      </w:pPr>
      <w:r w:rsidRPr="0080753E">
        <w:t>Submissions should include a brief summary of major points and recommendations</w:t>
      </w:r>
      <w:r w:rsidR="001A318D">
        <w:t>.  T</w:t>
      </w:r>
      <w:r w:rsidRPr="00F04767">
        <w:t>hey</w:t>
      </w:r>
      <w:r w:rsidRPr="0080753E">
        <w:t xml:space="preserve"> should also indicate whether it would be acceptable for Inland Revenue and Treasury officials to contact those making the submission to discuss the points raised, if required.</w:t>
      </w:r>
    </w:p>
    <w:p w:rsidR="0080753E" w:rsidRPr="00AE1C04" w:rsidRDefault="0080753E" w:rsidP="0080753E">
      <w:pPr>
        <w:pStyle w:val="Chapter1"/>
        <w:numPr>
          <w:ilvl w:val="0"/>
          <w:numId w:val="0"/>
        </w:numPr>
      </w:pPr>
    </w:p>
    <w:p w:rsidR="0080753E" w:rsidRPr="0080753E" w:rsidRDefault="0080753E" w:rsidP="00F04767">
      <w:pPr>
        <w:pStyle w:val="Chapter1"/>
      </w:pPr>
      <w:r w:rsidRPr="0080753E">
        <w:t>Submissions may be the subject of a request under the Official Information Act 1982, which may result in their release</w:t>
      </w:r>
      <w:r w:rsidR="001A318D">
        <w:t>.  T</w:t>
      </w:r>
      <w:r w:rsidRPr="0080753E">
        <w:t>he withholding of particular submissions, or parts thereof, on the grounds of privacy, or commercial sensitivity, or for any other reason, will be determined in accordance with that Act</w:t>
      </w:r>
      <w:r w:rsidR="001A318D">
        <w:t>.  T</w:t>
      </w:r>
      <w:r w:rsidRPr="0080753E">
        <w:t>hose making a submission who consider that there is any part of it that should properly be withheld under the Act should clearly indicate this.</w:t>
      </w:r>
    </w:p>
    <w:p w:rsidR="0080753E" w:rsidRPr="00B13C16" w:rsidRDefault="0080753E" w:rsidP="0080753E">
      <w:pPr>
        <w:jc w:val="left"/>
        <w:rPr>
          <w:bCs/>
          <w:caps/>
          <w:lang w:val="en-NZ"/>
        </w:rPr>
      </w:pPr>
    </w:p>
    <w:p w:rsidR="00373F5D" w:rsidRPr="00F04767" w:rsidRDefault="00373F5D" w:rsidP="00F04767">
      <w:pPr>
        <w:pStyle w:val="Chapterheading"/>
      </w:pPr>
      <w:r w:rsidRPr="00AE1C04">
        <w:rPr>
          <w:lang w:val="en-NZ"/>
        </w:rPr>
        <w:br w:type="page"/>
      </w:r>
      <w:bookmarkStart w:id="7" w:name="_Toc418756701"/>
      <w:r w:rsidR="00312170" w:rsidRPr="00F04767">
        <w:rPr>
          <w:caps w:val="0"/>
        </w:rPr>
        <w:lastRenderedPageBreak/>
        <w:t xml:space="preserve">CHAPTER </w:t>
      </w:r>
      <w:r w:rsidRPr="00F04767">
        <w:t>2</w:t>
      </w:r>
      <w:bookmarkEnd w:id="7"/>
    </w:p>
    <w:p w:rsidR="00373F5D" w:rsidRPr="00F04767" w:rsidRDefault="00373F5D" w:rsidP="00F04767">
      <w:pPr>
        <w:pStyle w:val="Chapterheading"/>
      </w:pPr>
    </w:p>
    <w:p w:rsidR="00373F5D" w:rsidRPr="00F04767" w:rsidRDefault="00F04767" w:rsidP="00F04767">
      <w:pPr>
        <w:pStyle w:val="Chapterheading"/>
      </w:pPr>
      <w:bookmarkStart w:id="8" w:name="_Toc418756702"/>
      <w:r>
        <w:rPr>
          <w:caps w:val="0"/>
        </w:rPr>
        <w:t>B</w:t>
      </w:r>
      <w:r w:rsidRPr="00F04767">
        <w:rPr>
          <w:caps w:val="0"/>
        </w:rPr>
        <w:t>ackground</w:t>
      </w:r>
      <w:bookmarkEnd w:id="8"/>
    </w:p>
    <w:p w:rsidR="00567F65" w:rsidRDefault="00567F65" w:rsidP="00B13C16"/>
    <w:p w:rsidR="00F04767" w:rsidRPr="00AE1C04" w:rsidRDefault="00F04767" w:rsidP="00B13C16"/>
    <w:p w:rsidR="00567F65" w:rsidRDefault="00567F65" w:rsidP="00567F65">
      <w:pPr>
        <w:pStyle w:val="Chapter2"/>
      </w:pPr>
      <w:r>
        <w:t xml:space="preserve">New Zealand has a policy of taxing non-residents on income that has a New Zealand source.  When a non-resident has a branch or </w:t>
      </w:r>
      <w:r w:rsidR="006279F9">
        <w:t>subsidiary</w:t>
      </w:r>
      <w:r>
        <w:t xml:space="preserve"> in New Zealand, tax can be imposed on the income of that branch or </w:t>
      </w:r>
      <w:r w:rsidR="006279F9">
        <w:t xml:space="preserve">subsidiary </w:t>
      </w:r>
      <w:r>
        <w:t xml:space="preserve">in the same way as it would be on New Zealanders.  When the non-resident does not have a New Zealand presence, it is substantially more difficult for New Zealand to collect normal </w:t>
      </w:r>
      <w:r w:rsidR="004F0CB7">
        <w:t xml:space="preserve">net </w:t>
      </w:r>
      <w:r>
        <w:t>income tax from the non-resident.  Instead, a</w:t>
      </w:r>
      <w:r w:rsidR="004F0CB7">
        <w:t xml:space="preserve"> gross</w:t>
      </w:r>
      <w:r>
        <w:t xml:space="preserve"> withholding tax is imposed on the payer of </w:t>
      </w:r>
      <w:r w:rsidR="006C2015">
        <w:t xml:space="preserve">certain types of </w:t>
      </w:r>
      <w:r>
        <w:t>income, typically being a resident that New Zealand can enforce tax obligations upon</w:t>
      </w:r>
      <w:r w:rsidR="004F0CB7">
        <w:t xml:space="preserve"> (though the non-resident </w:t>
      </w:r>
      <w:r w:rsidR="002725A7">
        <w:t xml:space="preserve">payee </w:t>
      </w:r>
      <w:r w:rsidR="004F0CB7">
        <w:t>also has a liability to pay this tax if it is not withheld)</w:t>
      </w:r>
      <w:r>
        <w:t xml:space="preserve">.  This withholding tax is called NRWT.  </w:t>
      </w:r>
      <w:r w:rsidR="002725A7" w:rsidRPr="0052746B">
        <w:t>For interest payments, the rate of NRWT is usually 10%</w:t>
      </w:r>
      <w:r w:rsidR="002725A7" w:rsidRPr="00F04767">
        <w:rPr>
          <w:rStyle w:val="FootnoteReference"/>
          <w:sz w:val="24"/>
          <w:szCs w:val="24"/>
        </w:rPr>
        <w:footnoteReference w:id="1"/>
      </w:r>
      <w:r w:rsidR="002725A7" w:rsidRPr="0052746B">
        <w:t xml:space="preserve"> of the interest paid</w:t>
      </w:r>
      <w:r w:rsidR="002725A7">
        <w:t>.</w:t>
      </w:r>
    </w:p>
    <w:p w:rsidR="00567F65" w:rsidRPr="00AE1C04" w:rsidRDefault="00567F65" w:rsidP="00B13C16"/>
    <w:p w:rsidR="00373F5D" w:rsidRDefault="00567F65" w:rsidP="00567F65">
      <w:pPr>
        <w:pStyle w:val="Chapter2"/>
      </w:pPr>
      <w:r>
        <w:t xml:space="preserve">New Zealand’s policy on taxing non-residents and the use of withholding taxes for income when the non-resident does not have a presence in New Zealand is </w:t>
      </w:r>
      <w:r w:rsidR="000255B8">
        <w:t xml:space="preserve">intended to ensure that an appropriate level of tax is paid and is </w:t>
      </w:r>
      <w:r>
        <w:t>broadly consistent with the OECD norm.</w:t>
      </w:r>
    </w:p>
    <w:p w:rsidR="00705C45" w:rsidRDefault="00705C45" w:rsidP="00B13C16"/>
    <w:p w:rsidR="00F04767" w:rsidRPr="00AE1C04" w:rsidRDefault="00F04767" w:rsidP="00B13C16"/>
    <w:p w:rsidR="00041E90" w:rsidRDefault="00041E90" w:rsidP="00F04767">
      <w:pPr>
        <w:pStyle w:val="Heading1"/>
        <w:rPr>
          <w:lang w:val="en-NZ"/>
        </w:rPr>
      </w:pPr>
      <w:bookmarkStart w:id="9" w:name="_Toc418756703"/>
      <w:r>
        <w:rPr>
          <w:lang w:val="en-NZ"/>
        </w:rPr>
        <w:t>Policy framework</w:t>
      </w:r>
      <w:bookmarkEnd w:id="9"/>
    </w:p>
    <w:p w:rsidR="00041E90" w:rsidRDefault="00041E90" w:rsidP="00B13C16">
      <w:pPr>
        <w:rPr>
          <w:lang w:val="en-NZ"/>
        </w:rPr>
      </w:pPr>
    </w:p>
    <w:p w:rsidR="00E528F7" w:rsidRPr="00E528F7" w:rsidRDefault="00E528F7" w:rsidP="00E528F7">
      <w:pPr>
        <w:pStyle w:val="Chapter2"/>
      </w:pPr>
      <w:r w:rsidRPr="00E528F7">
        <w:t>From an economic perspective there is little difference between debt and equity.  However, interest payments on debt are deductible whereas dividends are not.  Tax therefore can create a</w:t>
      </w:r>
      <w:r w:rsidR="00F42308">
        <w:t xml:space="preserve"> cross-border</w:t>
      </w:r>
      <w:r w:rsidRPr="00E528F7">
        <w:t xml:space="preserve"> bias in favour of debt over equity.</w:t>
      </w:r>
    </w:p>
    <w:p w:rsidR="00E528F7" w:rsidRPr="00E528F7" w:rsidRDefault="00E528F7" w:rsidP="00B13C16"/>
    <w:p w:rsidR="00E528F7" w:rsidRPr="00E528F7" w:rsidRDefault="00E528F7" w:rsidP="00E528F7">
      <w:pPr>
        <w:pStyle w:val="Chapter2"/>
      </w:pPr>
      <w:r w:rsidRPr="00E528F7">
        <w:t xml:space="preserve">In the case of cross-border </w:t>
      </w:r>
      <w:r w:rsidR="00DD25FA">
        <w:t>related</w:t>
      </w:r>
      <w:r w:rsidR="00FC5076">
        <w:t>-</w:t>
      </w:r>
      <w:r w:rsidR="00DD25FA">
        <w:t xml:space="preserve">party </w:t>
      </w:r>
      <w:r w:rsidRPr="00E528F7">
        <w:t xml:space="preserve">investment, NRWT reduces </w:t>
      </w:r>
      <w:r w:rsidR="00FC5076">
        <w:t>this bias by subjecting related-</w:t>
      </w:r>
      <w:r w:rsidRPr="00E528F7">
        <w:t>party interest payments to some amount of tax (usually 10%).</w:t>
      </w:r>
    </w:p>
    <w:p w:rsidR="00E528F7" w:rsidRPr="00E528F7" w:rsidRDefault="00E528F7" w:rsidP="00B13C16"/>
    <w:p w:rsidR="00E528F7" w:rsidRPr="00E528F7" w:rsidRDefault="00E528F7" w:rsidP="00E528F7">
      <w:pPr>
        <w:pStyle w:val="Chapter2"/>
      </w:pPr>
      <w:r w:rsidRPr="00E528F7">
        <w:t>New Zealand is often characterised as a small, capital importing country.  It is sometimes suggested it is not in the best interest</w:t>
      </w:r>
      <w:r w:rsidR="000255B8">
        <w:t>s</w:t>
      </w:r>
      <w:r w:rsidRPr="00E528F7">
        <w:t xml:space="preserve"> of such countries to impose any tax (corporate tax on profits or NRWT on related</w:t>
      </w:r>
      <w:r w:rsidR="00FC5076">
        <w:t>-</w:t>
      </w:r>
      <w:r w:rsidRPr="00E528F7">
        <w:t xml:space="preserve">party interest payments) on non-resident direct investment.  </w:t>
      </w:r>
      <w:r w:rsidR="002A42EF">
        <w:t>It is argued</w:t>
      </w:r>
      <w:r w:rsidRPr="00E528F7">
        <w:t xml:space="preserve"> that the tax will reduce investment in New Zealand and therefore its capital stock.  New Zealand </w:t>
      </w:r>
      <w:r w:rsidR="002A42EF">
        <w:t>would</w:t>
      </w:r>
      <w:r w:rsidR="002A42EF" w:rsidRPr="00E528F7">
        <w:t xml:space="preserve"> </w:t>
      </w:r>
      <w:r w:rsidRPr="00E528F7">
        <w:t>have fewer machines such as tractors, buildings and computers, making labour less productive and resulting in lower wages</w:t>
      </w:r>
      <w:r w:rsidR="001A318D">
        <w:t>.  B</w:t>
      </w:r>
      <w:r w:rsidR="002A42EF">
        <w:t xml:space="preserve">ased on </w:t>
      </w:r>
      <w:r w:rsidR="00C744E7">
        <w:t xml:space="preserve">some </w:t>
      </w:r>
      <w:r w:rsidR="002A42EF" w:rsidRPr="00E528F7">
        <w:t xml:space="preserve">strong assumptions, </w:t>
      </w:r>
      <w:r w:rsidR="002A42EF">
        <w:t xml:space="preserve">it is claimed that </w:t>
      </w:r>
      <w:r w:rsidR="002A42EF" w:rsidRPr="00E528F7">
        <w:t>a tax on non-resident investment is borne entirely by New Zealanders.</w:t>
      </w:r>
    </w:p>
    <w:p w:rsidR="00E528F7" w:rsidRPr="00E528F7" w:rsidRDefault="00E528F7" w:rsidP="00B13C16"/>
    <w:p w:rsidR="00F04767" w:rsidRDefault="00F04767">
      <w:pPr>
        <w:jc w:val="left"/>
        <w:rPr>
          <w:snapToGrid w:val="0"/>
          <w:lang w:val="en-NZ" w:eastAsia="en-US"/>
        </w:rPr>
      </w:pPr>
      <w:r>
        <w:br w:type="page"/>
      </w:r>
    </w:p>
    <w:p w:rsidR="00E528F7" w:rsidRPr="00E528F7" w:rsidRDefault="00E528F7" w:rsidP="00E528F7">
      <w:pPr>
        <w:pStyle w:val="Chapter2"/>
      </w:pPr>
      <w:r w:rsidRPr="00E528F7">
        <w:lastRenderedPageBreak/>
        <w:t xml:space="preserve">Nevertheless, New Zealand has decided to tax non-resident direct investment.  This decision has been frequently tested, most recently by the Savings and Investment Review conducted by the Treasury and Inland Revenue in 2012.  That review concluded it is in New Zealand’s best interests to tax </w:t>
      </w:r>
      <w:r w:rsidR="003518FE" w:rsidRPr="00E528F7">
        <w:t xml:space="preserve">direct investment </w:t>
      </w:r>
      <w:r w:rsidR="003518FE">
        <w:t xml:space="preserve">by </w:t>
      </w:r>
      <w:r w:rsidRPr="00E528F7">
        <w:t>non-resident</w:t>
      </w:r>
      <w:r w:rsidR="003518FE">
        <w:t>s</w:t>
      </w:r>
      <w:r w:rsidR="000E3639">
        <w:t xml:space="preserve">.  </w:t>
      </w:r>
      <w:r w:rsidR="000E3639" w:rsidRPr="00E528F7">
        <w:t>If</w:t>
      </w:r>
      <w:r w:rsidRPr="00E528F7">
        <w:t xml:space="preserve"> New Zealand reduced the tax on non-residents </w:t>
      </w:r>
      <w:r w:rsidR="00FC5076">
        <w:t>it</w:t>
      </w:r>
      <w:r w:rsidRPr="00E528F7">
        <w:t xml:space="preserve"> would lose more from giving up tax revenue </w:t>
      </w:r>
      <w:r w:rsidR="003518FE">
        <w:t>from</w:t>
      </w:r>
      <w:r w:rsidR="003518FE" w:rsidRPr="00E528F7">
        <w:t xml:space="preserve"> </w:t>
      </w:r>
      <w:r w:rsidRPr="00E528F7">
        <w:t xml:space="preserve">non-residents than </w:t>
      </w:r>
      <w:r w:rsidR="00FC5076">
        <w:t>it</w:t>
      </w:r>
      <w:r w:rsidRPr="00E528F7">
        <w:t xml:space="preserve"> would gain from </w:t>
      </w:r>
      <w:r w:rsidR="00335DAE">
        <w:t>increased investment by non-residents</w:t>
      </w:r>
      <w:r w:rsidRPr="00E528F7">
        <w:t>.</w:t>
      </w:r>
    </w:p>
    <w:p w:rsidR="00E528F7" w:rsidRPr="00E528F7" w:rsidRDefault="00E528F7" w:rsidP="00B13C16"/>
    <w:p w:rsidR="00E528F7" w:rsidRPr="00E528F7" w:rsidRDefault="00E528F7" w:rsidP="00E528F7">
      <w:pPr>
        <w:pStyle w:val="Chapter2"/>
      </w:pPr>
      <w:r w:rsidRPr="00E528F7">
        <w:t>This conclusion applies to related</w:t>
      </w:r>
      <w:r w:rsidR="00FC5076">
        <w:t>-</w:t>
      </w:r>
      <w:r w:rsidRPr="00E528F7">
        <w:t>party debt, which can be seen as a substitute for equity.  However, it is unlikely that it would be in New Zealand’s best interest to impose N</w:t>
      </w:r>
      <w:r w:rsidR="00FC5076">
        <w:t>RWT on third-party debt.  Third-</w:t>
      </w:r>
      <w:r w:rsidRPr="00E528F7">
        <w:t xml:space="preserve">party debt is unlikely to be a close substitute for equity.  At the same time, imposing NRWT on third-party borrowing would </w:t>
      </w:r>
      <w:r w:rsidR="00DD25FA">
        <w:t xml:space="preserve">be </w:t>
      </w:r>
      <w:r w:rsidRPr="00E528F7">
        <w:t xml:space="preserve">likely </w:t>
      </w:r>
      <w:r w:rsidR="00DD25FA">
        <w:t xml:space="preserve">to </w:t>
      </w:r>
      <w:r w:rsidRPr="00E528F7">
        <w:t>increase the cost of debt for New Zealand</w:t>
      </w:r>
      <w:r w:rsidR="00B64230">
        <w:t>ers</w:t>
      </w:r>
      <w:r w:rsidRPr="00E528F7">
        <w:t>.</w:t>
      </w:r>
    </w:p>
    <w:p w:rsidR="00E528F7" w:rsidRPr="00E528F7" w:rsidRDefault="00E528F7" w:rsidP="00B13C16"/>
    <w:p w:rsidR="00181514" w:rsidRDefault="00181514" w:rsidP="00181514">
      <w:pPr>
        <w:pStyle w:val="Chapter2"/>
      </w:pPr>
      <w:r>
        <w:t>In 1991 the effect of NRWT on the cost of capital for New Zealand borrowers was recognised and AIL was introduced to lower that cost</w:t>
      </w:r>
      <w:r w:rsidR="001A318D">
        <w:t>.  L</w:t>
      </w:r>
      <w:r>
        <w:t>ending by non-residents to unassociated New Zealand residents is subject to AIL rather than NRWT.</w:t>
      </w:r>
    </w:p>
    <w:p w:rsidR="00181514" w:rsidRDefault="00181514" w:rsidP="00B13C16"/>
    <w:p w:rsidR="00181514" w:rsidRDefault="00181514" w:rsidP="00181514">
      <w:pPr>
        <w:pStyle w:val="Chapter2"/>
      </w:pPr>
      <w:r w:rsidRPr="00E528F7">
        <w:t xml:space="preserve">While the imposition of AIL may still result in a small increase in the cost of borrowing from offshore, </w:t>
      </w:r>
      <w:r>
        <w:t xml:space="preserve">the economic distortion this creates is likely to be </w:t>
      </w:r>
      <w:r w:rsidRPr="00E528F7">
        <w:t xml:space="preserve">minimal.  </w:t>
      </w:r>
      <w:r>
        <w:t xml:space="preserve">It also may reduce the general </w:t>
      </w:r>
      <w:r w:rsidR="000F6CFA">
        <w:t xml:space="preserve">tax </w:t>
      </w:r>
      <w:r>
        <w:t xml:space="preserve">bias favouring non-resident debt </w:t>
      </w:r>
      <w:r w:rsidR="00F42308">
        <w:t xml:space="preserve">investment </w:t>
      </w:r>
      <w:r>
        <w:t>over non-resident equity</w:t>
      </w:r>
      <w:r w:rsidR="00F42308">
        <w:t xml:space="preserve"> investment</w:t>
      </w:r>
      <w:r>
        <w:t>.</w:t>
      </w:r>
    </w:p>
    <w:p w:rsidR="00181514" w:rsidRPr="00E528F7" w:rsidRDefault="00181514" w:rsidP="00B13C16"/>
    <w:p w:rsidR="00F30EC1" w:rsidRDefault="00C778DF" w:rsidP="00E528F7">
      <w:pPr>
        <w:pStyle w:val="Chapter2"/>
      </w:pPr>
      <w:r>
        <w:t>W</w:t>
      </w:r>
      <w:r w:rsidR="00E528F7" w:rsidRPr="00E528F7">
        <w:t xml:space="preserve">e </w:t>
      </w:r>
      <w:r>
        <w:t>continue to be</w:t>
      </w:r>
      <w:r w:rsidR="00E528F7" w:rsidRPr="00E528F7">
        <w:t xml:space="preserve"> relatively comfortable with</w:t>
      </w:r>
      <w:r w:rsidR="00F30EC1">
        <w:t xml:space="preserve"> the </w:t>
      </w:r>
      <w:r w:rsidR="00E528F7" w:rsidRPr="00E528F7">
        <w:t>AIL, imposed at an effective rate of 1.44%</w:t>
      </w:r>
      <w:r w:rsidR="00181514" w:rsidRPr="00F04767">
        <w:rPr>
          <w:rStyle w:val="FootnoteReference"/>
          <w:sz w:val="24"/>
          <w:szCs w:val="24"/>
        </w:rPr>
        <w:footnoteReference w:id="2"/>
      </w:r>
      <w:r w:rsidR="00E528F7" w:rsidRPr="00E528F7">
        <w:t xml:space="preserve">, </w:t>
      </w:r>
      <w:r w:rsidR="004F0CB7">
        <w:t>applying to interest</w:t>
      </w:r>
      <w:r w:rsidR="00E528F7" w:rsidRPr="00E528F7">
        <w:t xml:space="preserve"> on third-party borrowing</w:t>
      </w:r>
      <w:r w:rsidR="00FC0761">
        <w:t>.</w:t>
      </w:r>
    </w:p>
    <w:p w:rsidR="00F30EC1" w:rsidRDefault="00F30EC1" w:rsidP="00B13C16"/>
    <w:p w:rsidR="00E528F7" w:rsidRPr="00E528F7" w:rsidRDefault="00F57D12" w:rsidP="00E528F7">
      <w:pPr>
        <w:pStyle w:val="Chapter2"/>
      </w:pPr>
      <w:r>
        <w:t xml:space="preserve">Paragraphs </w:t>
      </w:r>
      <w:r w:rsidR="005D1E47">
        <w:t>6.26</w:t>
      </w:r>
      <w:r>
        <w:t xml:space="preserve"> to </w:t>
      </w:r>
      <w:r w:rsidR="005D1E47">
        <w:t>6.35</w:t>
      </w:r>
      <w:r w:rsidR="00E528F7" w:rsidRPr="00E528F7">
        <w:t xml:space="preserve"> of this paper </w:t>
      </w:r>
      <w:r w:rsidR="003518FE">
        <w:t>explore</w:t>
      </w:r>
      <w:r w:rsidR="003518FE" w:rsidRPr="00E528F7">
        <w:t xml:space="preserve"> </w:t>
      </w:r>
      <w:r w:rsidR="00E528F7" w:rsidRPr="00E528F7">
        <w:t>spe</w:t>
      </w:r>
      <w:r w:rsidR="00FC5076">
        <w:t>cial rules for when New Zealand-</w:t>
      </w:r>
      <w:r w:rsidR="00E528F7" w:rsidRPr="00E528F7">
        <w:t xml:space="preserve">registered banks borrow from related banks offshore.  In the case of banks, it is </w:t>
      </w:r>
      <w:r w:rsidR="003518FE">
        <w:t>suggested</w:t>
      </w:r>
      <w:r w:rsidR="003518FE" w:rsidRPr="00E528F7">
        <w:t xml:space="preserve"> </w:t>
      </w:r>
      <w:r w:rsidR="00E528F7" w:rsidRPr="00E528F7">
        <w:t>that AIL will be available even for related</w:t>
      </w:r>
      <w:r w:rsidR="00FC5076">
        <w:t>-</w:t>
      </w:r>
      <w:r w:rsidR="00E528F7" w:rsidRPr="00E528F7">
        <w:t>party borrowing.  The basis for this is that, as banks are margin lenders (i.e. they are largely debt financed) and conduits for ultimately unrelated non-resident lenders and domestic borrowers, there is less risk that the related-party debt will actually be in</w:t>
      </w:r>
      <w:r w:rsidR="00D1495A">
        <w:t>-</w:t>
      </w:r>
      <w:r w:rsidR="00E528F7" w:rsidRPr="00E528F7">
        <w:t>substance equity.  Rather, it is more likely to be on-lent debt sourced by the related non-resident bank.  In that case, the arguments for a lower rate of tax</w:t>
      </w:r>
      <w:r w:rsidR="00FC5076">
        <w:t xml:space="preserve"> are similar to those for third-</w:t>
      </w:r>
      <w:r w:rsidR="00E528F7" w:rsidRPr="00E528F7">
        <w:t>party debt generally.</w:t>
      </w:r>
    </w:p>
    <w:p w:rsidR="00473F30" w:rsidRDefault="00473F30" w:rsidP="00B13C16"/>
    <w:p w:rsidR="00473F30" w:rsidRDefault="00473F30" w:rsidP="00F04767">
      <w:pPr>
        <w:pStyle w:val="Heading2"/>
      </w:pPr>
      <w:r>
        <w:t>Link with the thin capitalisation rules</w:t>
      </w:r>
    </w:p>
    <w:p w:rsidR="00473F30" w:rsidRDefault="00473F30" w:rsidP="00B13C16"/>
    <w:p w:rsidR="00E528F7" w:rsidRPr="00E528F7" w:rsidRDefault="004F0CB7" w:rsidP="00E528F7">
      <w:pPr>
        <w:pStyle w:val="Chapter2"/>
        <w:rPr>
          <w:lang w:val="en-GB"/>
        </w:rPr>
      </w:pPr>
      <w:r>
        <w:rPr>
          <w:lang w:val="en-GB"/>
        </w:rPr>
        <w:t>T</w:t>
      </w:r>
      <w:r w:rsidR="00E528F7" w:rsidRPr="00E528F7">
        <w:rPr>
          <w:lang w:val="en-GB"/>
        </w:rPr>
        <w:t>here is an interface between the thin capitalisation rules and NRWT because they both have an impact on the effective taxation of inbound investment income.  Thin capitalisation rules restrict the amount of interest deductions that can be claimed by a New Zealand subsidiary of a non-resident owned group.  NRWT imposes a tax on interest payments from a New Zealand subsidiary to its non-resident owner</w:t>
      </w:r>
      <w:r>
        <w:rPr>
          <w:lang w:val="en-GB"/>
        </w:rPr>
        <w:t xml:space="preserve"> and associates</w:t>
      </w:r>
      <w:r w:rsidR="00E528F7" w:rsidRPr="00E528F7">
        <w:rPr>
          <w:lang w:val="en-GB"/>
        </w:rPr>
        <w:t>.</w:t>
      </w:r>
    </w:p>
    <w:p w:rsidR="00E528F7" w:rsidRPr="00E528F7" w:rsidRDefault="00E528F7" w:rsidP="00B13C16"/>
    <w:p w:rsidR="00F04767" w:rsidRDefault="00F04767">
      <w:pPr>
        <w:jc w:val="left"/>
        <w:rPr>
          <w:snapToGrid w:val="0"/>
          <w:lang w:eastAsia="en-US"/>
        </w:rPr>
      </w:pPr>
      <w:r>
        <w:br w:type="page"/>
      </w:r>
    </w:p>
    <w:p w:rsidR="00E528F7" w:rsidRPr="00E528F7" w:rsidRDefault="00E528F7" w:rsidP="00E528F7">
      <w:pPr>
        <w:pStyle w:val="Chapter2"/>
        <w:rPr>
          <w:lang w:val="en-GB"/>
        </w:rPr>
      </w:pPr>
      <w:r w:rsidRPr="00E528F7">
        <w:rPr>
          <w:lang w:val="en-GB"/>
        </w:rPr>
        <w:lastRenderedPageBreak/>
        <w:t>New Zealand has a worldwide group debt test in the thin capitalisation rules which is designed, in part, to prevent debt being used as a substitute for equity.  A New Zealand subsidiary of a multinational group is only able to deduct the interest on a related-party loan under the worldwide group debt test if the amount of that loan can be viewed as having been borrowed from a third party by a group member</w:t>
      </w:r>
      <w:r w:rsidR="00D02644">
        <w:rPr>
          <w:lang w:val="en-GB"/>
        </w:rPr>
        <w:t xml:space="preserve"> and on-lent to the subsidiary.</w:t>
      </w:r>
    </w:p>
    <w:p w:rsidR="00E528F7" w:rsidRPr="00E528F7" w:rsidRDefault="00E528F7" w:rsidP="00B13C16"/>
    <w:p w:rsidR="00E528F7" w:rsidRPr="00E528F7" w:rsidRDefault="00E528F7" w:rsidP="00E528F7">
      <w:pPr>
        <w:pStyle w:val="Chapter2"/>
        <w:rPr>
          <w:lang w:val="en-GB"/>
        </w:rPr>
      </w:pPr>
      <w:r w:rsidRPr="00E528F7">
        <w:rPr>
          <w:lang w:val="en-GB"/>
        </w:rPr>
        <w:t>As things stand, however, the worldwide group test is rarely applied because firms stay within a “safe harbour” which allows them to claim deductions on all debt up to a threshold of 60% of assets without reference to th</w:t>
      </w:r>
      <w:r w:rsidR="00D02644">
        <w:rPr>
          <w:lang w:val="en-GB"/>
        </w:rPr>
        <w:t>eir worldwide gearing position.</w:t>
      </w:r>
    </w:p>
    <w:p w:rsidR="00E528F7" w:rsidRPr="00E528F7" w:rsidRDefault="00E528F7" w:rsidP="00B13C16"/>
    <w:p w:rsidR="00E528F7" w:rsidRPr="00E528F7" w:rsidRDefault="00E528F7" w:rsidP="00E528F7">
      <w:pPr>
        <w:pStyle w:val="Chapter2"/>
        <w:rPr>
          <w:lang w:val="en-GB"/>
        </w:rPr>
      </w:pPr>
      <w:r w:rsidRPr="00E528F7">
        <w:rPr>
          <w:lang w:val="en-GB"/>
        </w:rPr>
        <w:t>The OECD is currently examining rules similar to ours in the context of the BEPS Action Plan</w:t>
      </w:r>
      <w:r w:rsidR="001A318D">
        <w:rPr>
          <w:lang w:val="en-GB"/>
        </w:rPr>
        <w:t>.  I</w:t>
      </w:r>
      <w:r w:rsidRPr="00E528F7">
        <w:rPr>
          <w:lang w:val="en-GB"/>
        </w:rPr>
        <w:t xml:space="preserve">t is possible that, as a result of this work, countries </w:t>
      </w:r>
      <w:r w:rsidR="00D1495A">
        <w:rPr>
          <w:lang w:val="en-GB"/>
        </w:rPr>
        <w:t xml:space="preserve">could </w:t>
      </w:r>
      <w:r w:rsidRPr="00E528F7">
        <w:rPr>
          <w:lang w:val="en-GB"/>
        </w:rPr>
        <w:t>substantially tighten their thin capitalisation rules well beyond our existing rules and the current international norm.  At one end of the range, new rules could require New Zealand subsidiaries to use the worldwide group debt test as a matter of course to determine interest deductibility.  In that event we would need to consider the overall picture in relation to the taxation of inbound direct investment</w:t>
      </w:r>
      <w:r w:rsidR="00B01FAF">
        <w:rPr>
          <w:lang w:val="en-GB"/>
        </w:rPr>
        <w:t xml:space="preserve"> </w:t>
      </w:r>
      <w:r w:rsidR="00B64230">
        <w:rPr>
          <w:lang w:val="en-GB"/>
        </w:rPr>
        <w:t>and the extent to which it is</w:t>
      </w:r>
      <w:r w:rsidRPr="00E528F7">
        <w:rPr>
          <w:lang w:val="en-GB"/>
        </w:rPr>
        <w:t xml:space="preserve"> necessary to continue to impose NRWT on interest.</w:t>
      </w:r>
    </w:p>
    <w:p w:rsidR="00041E90" w:rsidRDefault="00041E90" w:rsidP="00E46A1C">
      <w:pPr>
        <w:rPr>
          <w:lang w:val="en-NZ"/>
        </w:rPr>
      </w:pPr>
    </w:p>
    <w:p w:rsidR="00F04767" w:rsidRPr="00F04767" w:rsidRDefault="00F04767" w:rsidP="00F04767">
      <w:pPr>
        <w:rPr>
          <w:lang w:val="en-NZ"/>
        </w:rPr>
      </w:pPr>
    </w:p>
    <w:p w:rsidR="00373F5D" w:rsidRPr="00AE1C04" w:rsidRDefault="00862414" w:rsidP="00F04767">
      <w:pPr>
        <w:pStyle w:val="Heading1"/>
        <w:rPr>
          <w:lang w:val="en-NZ"/>
        </w:rPr>
      </w:pPr>
      <w:bookmarkStart w:id="10" w:name="_Toc418756704"/>
      <w:r>
        <w:rPr>
          <w:lang w:val="en-NZ"/>
        </w:rPr>
        <w:t>Avoidance concerns</w:t>
      </w:r>
      <w:bookmarkEnd w:id="10"/>
    </w:p>
    <w:p w:rsidR="00373F5D" w:rsidRPr="00AE1C04" w:rsidRDefault="00373F5D" w:rsidP="00B13C16"/>
    <w:p w:rsidR="00373F5D" w:rsidRDefault="00181514" w:rsidP="00373F5D">
      <w:pPr>
        <w:pStyle w:val="Chapter2"/>
      </w:pPr>
      <w:r>
        <w:t>I</w:t>
      </w:r>
      <w:r w:rsidR="001731C8">
        <w:t xml:space="preserve">nterest, dividends and royalties </w:t>
      </w:r>
      <w:r>
        <w:t xml:space="preserve">sourced in New Zealand and paid to non-residents are </w:t>
      </w:r>
      <w:r w:rsidR="001731C8">
        <w:t xml:space="preserve">known as </w:t>
      </w:r>
      <w:r w:rsidR="007B4178">
        <w:t>NRPI and</w:t>
      </w:r>
      <w:r w:rsidR="001731C8">
        <w:t xml:space="preserve"> </w:t>
      </w:r>
      <w:r w:rsidR="0045221B">
        <w:t>are</w:t>
      </w:r>
      <w:r w:rsidR="001731C8">
        <w:t xml:space="preserve"> subject to non-resident withholding tax</w:t>
      </w:r>
      <w:r w:rsidR="001A318D">
        <w:t>.  T</w:t>
      </w:r>
      <w:r w:rsidR="00F23C8C">
        <w:t xml:space="preserve">hrough Inland Revenue </w:t>
      </w:r>
      <w:r w:rsidR="0045221B">
        <w:t>compliance</w:t>
      </w:r>
      <w:r w:rsidR="00520F4A">
        <w:t xml:space="preserve"> </w:t>
      </w:r>
      <w:r w:rsidR="00F23C8C">
        <w:t xml:space="preserve">activity, officials have become aware that </w:t>
      </w:r>
      <w:r w:rsidR="00862414">
        <w:t xml:space="preserve">the NRWT rules have limited application </w:t>
      </w:r>
      <w:r w:rsidR="000D5AFC">
        <w:t xml:space="preserve">in relation to interest, </w:t>
      </w:r>
      <w:r w:rsidR="00862414">
        <w:t>due to the wide variety of transactions available to prevent</w:t>
      </w:r>
      <w:r w:rsidR="003A10EE">
        <w:t>, or delay,</w:t>
      </w:r>
      <w:r w:rsidR="00862414">
        <w:t xml:space="preserve"> the payment of </w:t>
      </w:r>
      <w:r w:rsidR="00F42308">
        <w:t>interest</w:t>
      </w:r>
      <w:r w:rsidR="00D1495A">
        <w:t xml:space="preserve"> </w:t>
      </w:r>
      <w:r w:rsidR="00862414">
        <w:t>with a New Zealand source</w:t>
      </w:r>
      <w:r w:rsidR="001A318D">
        <w:t>.  T</w:t>
      </w:r>
      <w:r w:rsidR="001F5988">
        <w:t>his is explored in Chapter 3.</w:t>
      </w:r>
    </w:p>
    <w:p w:rsidR="003A10EE" w:rsidRDefault="003A10EE" w:rsidP="00B13C16"/>
    <w:p w:rsidR="003A10EE" w:rsidRDefault="003A10EE" w:rsidP="00373F5D">
      <w:pPr>
        <w:pStyle w:val="Chapter2"/>
      </w:pPr>
      <w:r>
        <w:t xml:space="preserve">This ability to </w:t>
      </w:r>
      <w:r w:rsidR="006C2015">
        <w:t>circumvent</w:t>
      </w:r>
      <w:r>
        <w:t xml:space="preserve"> the NRWT rules contrasts with New Zealand’s comprehensive </w:t>
      </w:r>
      <w:r w:rsidR="00B64230">
        <w:t>financial arrangement</w:t>
      </w:r>
      <w:r w:rsidR="006279F9">
        <w:t xml:space="preserve"> </w:t>
      </w:r>
      <w:r>
        <w:t xml:space="preserve">rules that ensure financing </w:t>
      </w:r>
      <w:r w:rsidR="004F0CB7">
        <w:t xml:space="preserve">income is taxable to New Zealand residents </w:t>
      </w:r>
      <w:r>
        <w:t xml:space="preserve">over the term of </w:t>
      </w:r>
      <w:r w:rsidR="00DA6C29">
        <w:t>an</w:t>
      </w:r>
      <w:r>
        <w:t xml:space="preserve"> arrangement</w:t>
      </w:r>
      <w:r w:rsidR="00DA6C29">
        <w:t xml:space="preserve"> on some form of economic accrual basis</w:t>
      </w:r>
      <w:r>
        <w:t>.</w:t>
      </w:r>
    </w:p>
    <w:p w:rsidR="00862414" w:rsidRDefault="00862414" w:rsidP="00B13C16"/>
    <w:p w:rsidR="00862414" w:rsidRDefault="00F23C8C" w:rsidP="00373F5D">
      <w:pPr>
        <w:pStyle w:val="Chapter2"/>
      </w:pPr>
      <w:r>
        <w:t xml:space="preserve">Officials </w:t>
      </w:r>
      <w:r w:rsidR="001073AC">
        <w:t>believe</w:t>
      </w:r>
      <w:r>
        <w:t xml:space="preserve"> that t</w:t>
      </w:r>
      <w:r w:rsidR="00862414">
        <w:t>he combined effect of the transactions outlined below is that NRWT has largely been regarded as a voluntary tax for those with sufficient resources to avoid it.</w:t>
      </w:r>
      <w:r w:rsidR="00680270">
        <w:t xml:space="preserve">  T</w:t>
      </w:r>
      <w:r w:rsidR="005937BF">
        <w:t>ransactions to avoid the imposition of NRWT are not economically efficient</w:t>
      </w:r>
      <w:r w:rsidR="001A318D">
        <w:t>.  T</w:t>
      </w:r>
      <w:r w:rsidR="007B4178">
        <w:t>hey would not make good business sense in the absence of tax as a factor</w:t>
      </w:r>
      <w:r w:rsidR="000D5AFC">
        <w:t>.</w:t>
      </w:r>
      <w:r w:rsidR="0045221B">
        <w:t xml:space="preserve">  </w:t>
      </w:r>
      <w:r w:rsidR="000D5AFC">
        <w:t>T</w:t>
      </w:r>
      <w:r w:rsidR="00DA6C29">
        <w:t>heir tax consequences are often uncertain because of the general anti-avoidance provision</w:t>
      </w:r>
      <w:r w:rsidR="001A318D">
        <w:t>.  R</w:t>
      </w:r>
      <w:r w:rsidR="005937BF">
        <w:t>emov</w:t>
      </w:r>
      <w:r w:rsidR="00194093">
        <w:t>ing</w:t>
      </w:r>
      <w:r w:rsidR="005937BF">
        <w:t xml:space="preserve"> the </w:t>
      </w:r>
      <w:r w:rsidR="00194093">
        <w:t xml:space="preserve">tax </w:t>
      </w:r>
      <w:r w:rsidR="005937BF">
        <w:t xml:space="preserve">incentive to </w:t>
      </w:r>
      <w:r w:rsidR="00A23353">
        <w:t>structure into</w:t>
      </w:r>
      <w:r w:rsidR="008725B4">
        <w:t xml:space="preserve"> these transactions</w:t>
      </w:r>
      <w:r w:rsidR="005937BF">
        <w:t xml:space="preserve"> will level the playing field for other businesses who are unwilling or unable to undertake such transactions.</w:t>
      </w:r>
      <w:r w:rsidR="00D12AD8">
        <w:t xml:space="preserve">  Such transactions also risk bringing the tax system into disrepute.</w:t>
      </w:r>
    </w:p>
    <w:p w:rsidR="00862414" w:rsidRDefault="00862414" w:rsidP="00B13C16"/>
    <w:p w:rsidR="00F04767" w:rsidRDefault="00F04767">
      <w:pPr>
        <w:jc w:val="left"/>
        <w:rPr>
          <w:snapToGrid w:val="0"/>
          <w:lang w:val="en-NZ" w:eastAsia="en-US"/>
        </w:rPr>
      </w:pPr>
      <w:r>
        <w:br w:type="page"/>
      </w:r>
    </w:p>
    <w:p w:rsidR="00862414" w:rsidRDefault="00907AE5" w:rsidP="00373F5D">
      <w:pPr>
        <w:pStyle w:val="Chapter2"/>
      </w:pPr>
      <w:r>
        <w:lastRenderedPageBreak/>
        <w:t xml:space="preserve">Due to the large number of potential </w:t>
      </w:r>
      <w:r w:rsidR="00194093">
        <w:t>ways</w:t>
      </w:r>
      <w:r>
        <w:t xml:space="preserve"> to avoid NRWT it is not considered efficient </w:t>
      </w:r>
      <w:r w:rsidR="00D12AD8">
        <w:t xml:space="preserve">or effective </w:t>
      </w:r>
      <w:r>
        <w:t xml:space="preserve">to introduce specific rules to </w:t>
      </w:r>
      <w:r w:rsidR="000D5AFC">
        <w:t>deal with each specific type of transaction</w:t>
      </w:r>
      <w:r>
        <w:t>.  This is because each transaction would require detailed provisions and in many cases the introduction of these provisions would create the incentive for these transactions to be subtly modified so they did not fall within the new provisions.</w:t>
      </w:r>
    </w:p>
    <w:p w:rsidR="00907AE5" w:rsidRDefault="00907AE5" w:rsidP="00B13C16"/>
    <w:p w:rsidR="00907AE5" w:rsidRDefault="00907AE5" w:rsidP="00373F5D">
      <w:pPr>
        <w:pStyle w:val="Chapter2"/>
      </w:pPr>
      <w:r>
        <w:t xml:space="preserve">Instead this issues paper sets out </w:t>
      </w:r>
      <w:r w:rsidR="005946ED">
        <w:t>suggestions</w:t>
      </w:r>
      <w:r>
        <w:t xml:space="preserve"> intended to cover a wide range of transactions which currently avoid</w:t>
      </w:r>
      <w:r w:rsidR="009D52BB">
        <w:t>, or significantly defer,</w:t>
      </w:r>
      <w:r>
        <w:t xml:space="preserve"> the imposition of NRWT.</w:t>
      </w:r>
    </w:p>
    <w:p w:rsidR="003A10EE" w:rsidRDefault="003A10EE" w:rsidP="00B13C16"/>
    <w:p w:rsidR="003A10EE" w:rsidRDefault="00B64230" w:rsidP="006139A8">
      <w:pPr>
        <w:pStyle w:val="Chapter2"/>
      </w:pPr>
      <w:r>
        <w:t>T</w:t>
      </w:r>
      <w:r w:rsidR="003A10EE">
        <w:t xml:space="preserve">he </w:t>
      </w:r>
      <w:r w:rsidR="005946ED">
        <w:t xml:space="preserve">suggested changes </w:t>
      </w:r>
      <w:r w:rsidR="003A10EE">
        <w:t xml:space="preserve">in this issues paper </w:t>
      </w:r>
      <w:r w:rsidR="005946ED">
        <w:t>are aimed at helping ensure</w:t>
      </w:r>
      <w:r w:rsidR="003A10EE">
        <w:t xml:space="preserve"> </w:t>
      </w:r>
      <w:r w:rsidR="000E5DBC">
        <w:t>a more ap</w:t>
      </w:r>
      <w:r w:rsidR="00C74BC6">
        <w:t xml:space="preserve">propriate </w:t>
      </w:r>
      <w:r w:rsidR="003A10EE">
        <w:t>amount of tax</w:t>
      </w:r>
      <w:r w:rsidR="006139A8">
        <w:t xml:space="preserve"> is </w:t>
      </w:r>
      <w:r w:rsidR="006139A8" w:rsidRPr="006139A8">
        <w:t xml:space="preserve">paid </w:t>
      </w:r>
      <w:r w:rsidR="00D12AD8">
        <w:t>by non-residents on their New Zealand-sourced income</w:t>
      </w:r>
      <w:r w:rsidR="006139A8" w:rsidRPr="006139A8">
        <w:t>, thus better alig</w:t>
      </w:r>
      <w:r w:rsidR="000E5DBC">
        <w:t xml:space="preserve">ning taxation </w:t>
      </w:r>
      <w:r w:rsidR="006139A8" w:rsidRPr="006139A8">
        <w:t>with real economic activity and reducing current asymmetries.</w:t>
      </w:r>
    </w:p>
    <w:p w:rsidR="001073AC" w:rsidRDefault="001073AC" w:rsidP="00B13C16"/>
    <w:p w:rsidR="001073AC" w:rsidRDefault="001073AC" w:rsidP="006139A8">
      <w:pPr>
        <w:pStyle w:val="Chapter2"/>
      </w:pPr>
      <w:r>
        <w:t xml:space="preserve">This paper </w:t>
      </w:r>
      <w:r w:rsidR="005946ED">
        <w:t xml:space="preserve">does </w:t>
      </w:r>
      <w:r>
        <w:t xml:space="preserve">not deal with all </w:t>
      </w:r>
      <w:r w:rsidR="008725B4">
        <w:t>tax issues arising from related-</w:t>
      </w:r>
      <w:r>
        <w:t xml:space="preserve">party debt.  In particular, </w:t>
      </w:r>
      <w:r w:rsidR="005946ED">
        <w:t>it does</w:t>
      </w:r>
      <w:r>
        <w:t xml:space="preserve"> not deal with </w:t>
      </w:r>
      <w:r w:rsidR="00B64230">
        <w:t>cross-</w:t>
      </w:r>
      <w:r>
        <w:t>border hybrid issues</w:t>
      </w:r>
      <w:r w:rsidR="001A318D">
        <w:t>.  T</w:t>
      </w:r>
      <w:r>
        <w:t xml:space="preserve">he timetable for dealing with those issues is </w:t>
      </w:r>
      <w:r w:rsidR="00F42308">
        <w:t>linked to</w:t>
      </w:r>
      <w:r>
        <w:t xml:space="preserve"> the OECD</w:t>
      </w:r>
      <w:r w:rsidR="00F42308">
        <w:t>’s timetable</w:t>
      </w:r>
      <w:r>
        <w:t>.  Consultation is likely to commence on them by early 2016.</w:t>
      </w:r>
    </w:p>
    <w:p w:rsidR="00522192" w:rsidRDefault="00522192" w:rsidP="00B13C16"/>
    <w:p w:rsidR="00522192" w:rsidRPr="00AE1C04" w:rsidRDefault="00522192" w:rsidP="00522192">
      <w:pPr>
        <w:pStyle w:val="Chapter2"/>
      </w:pPr>
      <w:r>
        <w:t>Th</w:t>
      </w:r>
      <w:r w:rsidR="00F42308">
        <w:t>is</w:t>
      </w:r>
      <w:r>
        <w:t xml:space="preserve"> paper </w:t>
      </w:r>
      <w:r w:rsidRPr="00522192">
        <w:t xml:space="preserve">does not consider the potential application of section BG 1, the general anti-avoidance provision in the </w:t>
      </w:r>
      <w:r w:rsidR="006D7EF5">
        <w:t xml:space="preserve">Income Tax </w:t>
      </w:r>
      <w:r w:rsidRPr="00522192">
        <w:t>Act</w:t>
      </w:r>
      <w:r w:rsidR="006D7EF5">
        <w:t xml:space="preserve"> 2007</w:t>
      </w:r>
      <w:r w:rsidRPr="00522192">
        <w:t>, to any of the examples discussed.</w:t>
      </w:r>
    </w:p>
    <w:p w:rsidR="002B19D6" w:rsidRPr="00AE1C04" w:rsidRDefault="002B19D6" w:rsidP="00F04767">
      <w:pPr>
        <w:pStyle w:val="Chapterheading"/>
        <w:rPr>
          <w:lang w:val="en-NZ"/>
        </w:rPr>
      </w:pPr>
      <w:r w:rsidRPr="00AE1C04">
        <w:rPr>
          <w:lang w:val="en-NZ"/>
        </w:rPr>
        <w:br w:type="page"/>
      </w:r>
      <w:bookmarkStart w:id="11" w:name="_Toc418756705"/>
      <w:r w:rsidR="00312170" w:rsidRPr="00AE1C04">
        <w:rPr>
          <w:caps w:val="0"/>
          <w:lang w:val="en-NZ"/>
        </w:rPr>
        <w:lastRenderedPageBreak/>
        <w:t xml:space="preserve">CHAPTER </w:t>
      </w:r>
      <w:r w:rsidRPr="00AE1C04">
        <w:rPr>
          <w:lang w:val="en-NZ"/>
        </w:rPr>
        <w:t>3</w:t>
      </w:r>
      <w:bookmarkEnd w:id="11"/>
    </w:p>
    <w:p w:rsidR="002B19D6" w:rsidRPr="00AE1C04" w:rsidRDefault="002B19D6" w:rsidP="00F04767">
      <w:pPr>
        <w:pStyle w:val="Chapterheading"/>
        <w:rPr>
          <w:lang w:val="en-NZ"/>
        </w:rPr>
      </w:pPr>
    </w:p>
    <w:p w:rsidR="002B19D6" w:rsidRDefault="00F04767" w:rsidP="00F04767">
      <w:pPr>
        <w:pStyle w:val="Chapterheading"/>
        <w:rPr>
          <w:lang w:val="en-NZ"/>
        </w:rPr>
      </w:pPr>
      <w:bookmarkStart w:id="12" w:name="_Toc418756706"/>
      <w:r>
        <w:rPr>
          <w:caps w:val="0"/>
          <w:lang w:val="en-NZ"/>
        </w:rPr>
        <w:t>Problems with definition and recognition of income</w:t>
      </w:r>
      <w:r>
        <w:rPr>
          <w:caps w:val="0"/>
          <w:lang w:val="en-NZ"/>
        </w:rPr>
        <w:br/>
        <w:t>under the NRWT rules</w:t>
      </w:r>
      <w:bookmarkEnd w:id="12"/>
    </w:p>
    <w:p w:rsidR="00254560" w:rsidRPr="00F04767" w:rsidRDefault="00254560" w:rsidP="00F04767"/>
    <w:p w:rsidR="002B19D6" w:rsidRPr="00F04767" w:rsidRDefault="002B19D6" w:rsidP="00F04767"/>
    <w:p w:rsidR="008B1914" w:rsidRDefault="006A37F8" w:rsidP="003A669D">
      <w:pPr>
        <w:pStyle w:val="Chapter3"/>
        <w:tabs>
          <w:tab w:val="clear" w:pos="1702"/>
        </w:tabs>
        <w:ind w:left="851"/>
      </w:pPr>
      <w:r>
        <w:t>Liability to NRWT is triggered when New Zealand-sourced “interest” is “paid”.  “Interest” is defined as a payment for “money lent”, and “pay” is defined to include</w:t>
      </w:r>
      <w:r w:rsidR="008B1914">
        <w:t xml:space="preserve">, in relation to an amount and a person, distributing to, crediting for, or dealing with that amount on the person’s behalf.  These definitions </w:t>
      </w:r>
      <w:r w:rsidR="000E5DBC">
        <w:t>have not been changed since 1983</w:t>
      </w:r>
      <w:r w:rsidR="001A318D">
        <w:t>.  I</w:t>
      </w:r>
      <w:r w:rsidR="00254560">
        <w:t>n the case of a foreign currency loan, the</w:t>
      </w:r>
      <w:r w:rsidR="00B526CD">
        <w:t xml:space="preserve"> NRWT rules</w:t>
      </w:r>
      <w:r w:rsidR="00254560">
        <w:t xml:space="preserve"> do not take into account the effect of foreign currency fluctuations on the </w:t>
      </w:r>
      <w:r w:rsidR="00B418BB">
        <w:t xml:space="preserve">NZ$ value of the </w:t>
      </w:r>
      <w:r w:rsidR="00194093">
        <w:t>money</w:t>
      </w:r>
      <w:r w:rsidR="00254560">
        <w:t xml:space="preserve"> lent.</w:t>
      </w:r>
    </w:p>
    <w:p w:rsidR="008B1914" w:rsidRDefault="008B1914" w:rsidP="00B13C16"/>
    <w:p w:rsidR="008B1914" w:rsidRDefault="008B1914" w:rsidP="003A669D">
      <w:pPr>
        <w:pStyle w:val="Chapter3"/>
        <w:tabs>
          <w:tab w:val="clear" w:pos="1702"/>
        </w:tabs>
        <w:ind w:left="851"/>
      </w:pPr>
      <w:r>
        <w:t>The financial arrangement rules</w:t>
      </w:r>
      <w:r w:rsidR="000E5DBC">
        <w:t>, which apply to determine liability to income tax,</w:t>
      </w:r>
      <w:r>
        <w:t xml:space="preserve"> define financial arrangement income and expense under a completely s</w:t>
      </w:r>
      <w:r w:rsidR="000E5DBC">
        <w:t xml:space="preserve">eparate set of rules, </w:t>
      </w:r>
      <w:r>
        <w:t xml:space="preserve">based </w:t>
      </w:r>
      <w:r w:rsidR="00EB50CE">
        <w:t xml:space="preserve">much more on economic substance.  These rules require financing </w:t>
      </w:r>
      <w:r w:rsidR="00540D32">
        <w:t xml:space="preserve">income and </w:t>
      </w:r>
      <w:r w:rsidR="00EB50CE">
        <w:t xml:space="preserve">expense to be determined with regard to “financial arrangements” (rather than </w:t>
      </w:r>
      <w:r w:rsidR="00184504">
        <w:t>“</w:t>
      </w:r>
      <w:r w:rsidR="00EB50CE">
        <w:t>money lent</w:t>
      </w:r>
      <w:r w:rsidR="00184504">
        <w:t>”</w:t>
      </w:r>
      <w:r w:rsidR="00EB50CE">
        <w:t xml:space="preserve">), and require it to be calculated using either financial reporting methods or economic accrual methods such as </w:t>
      </w:r>
      <w:r w:rsidR="008725B4">
        <w:t>yield to maturity</w:t>
      </w:r>
      <w:r w:rsidR="00EB50CE">
        <w:t xml:space="preserve"> or straight line.</w:t>
      </w:r>
      <w:r w:rsidR="00254560">
        <w:t xml:space="preserve">  Using these methods, foreign currency fluctuations are taken into account.</w:t>
      </w:r>
    </w:p>
    <w:p w:rsidR="00EB50CE" w:rsidRDefault="00EB50CE" w:rsidP="00B13C16"/>
    <w:p w:rsidR="006F3EC4" w:rsidRDefault="00EB50CE" w:rsidP="003A669D">
      <w:pPr>
        <w:pStyle w:val="Chapter3"/>
        <w:tabs>
          <w:tab w:val="clear" w:pos="1702"/>
        </w:tabs>
        <w:ind w:left="851"/>
      </w:pPr>
      <w:r>
        <w:t>The predominantly cash basis and single instrument approach of the NRWT rules</w:t>
      </w:r>
      <w:r w:rsidR="006F3EC4">
        <w:t xml:space="preserve"> has </w:t>
      </w:r>
      <w:r w:rsidR="00B418BB">
        <w:t xml:space="preserve">a number of </w:t>
      </w:r>
      <w:r w:rsidR="006F3EC4">
        <w:t>consequences</w:t>
      </w:r>
      <w:r w:rsidR="00B418BB">
        <w:t>, including that:</w:t>
      </w:r>
    </w:p>
    <w:p w:rsidR="006F3EC4" w:rsidRDefault="006F3EC4" w:rsidP="00B13C16"/>
    <w:p w:rsidR="00176F1C" w:rsidRDefault="00B64230" w:rsidP="00AA70EB">
      <w:pPr>
        <w:pStyle w:val="Bullets"/>
      </w:pPr>
      <w:r>
        <w:t>w</w:t>
      </w:r>
      <w:r w:rsidR="00176F1C">
        <w:t>hat is treated by a N</w:t>
      </w:r>
      <w:r w:rsidR="00174FF5">
        <w:t xml:space="preserve">ew </w:t>
      </w:r>
      <w:r w:rsidR="00176F1C">
        <w:t>Z</w:t>
      </w:r>
      <w:r w:rsidR="00174FF5">
        <w:t>ealand</w:t>
      </w:r>
      <w:r w:rsidR="008725B4">
        <w:t>-</w:t>
      </w:r>
      <w:r w:rsidR="00176F1C">
        <w:t>resident borrower as a financial arrangement may not involve money lent, and therefore the return on the arrangement may not be subject to NRWT;</w:t>
      </w:r>
    </w:p>
    <w:p w:rsidR="006F3EC4" w:rsidRDefault="006F3EC4" w:rsidP="00AA70EB">
      <w:pPr>
        <w:pStyle w:val="Bullets"/>
      </w:pPr>
      <w:r>
        <w:t xml:space="preserve">income is not correctly measured </w:t>
      </w:r>
      <w:r w:rsidR="00540D32">
        <w:t xml:space="preserve">or allocated to income years </w:t>
      </w:r>
      <w:r>
        <w:t>for non-residents; and</w:t>
      </w:r>
    </w:p>
    <w:p w:rsidR="006F3EC4" w:rsidRDefault="00B64230" w:rsidP="00AA70EB">
      <w:pPr>
        <w:pStyle w:val="Bullets"/>
        <w:spacing w:after="0"/>
      </w:pPr>
      <w:r>
        <w:t>s</w:t>
      </w:r>
      <w:r w:rsidR="006F3EC4">
        <w:t xml:space="preserve">ignificant mismatches can arise between </w:t>
      </w:r>
      <w:r w:rsidR="008725B4">
        <w:t>New Zealand-</w:t>
      </w:r>
      <w:r w:rsidR="00B418BB">
        <w:t xml:space="preserve">resident </w:t>
      </w:r>
      <w:r w:rsidR="006F3EC4">
        <w:t xml:space="preserve">borrowers and </w:t>
      </w:r>
      <w:r w:rsidR="00B418BB">
        <w:t xml:space="preserve">non-resident </w:t>
      </w:r>
      <w:r w:rsidR="006F3EC4">
        <w:t>lenders.</w:t>
      </w:r>
    </w:p>
    <w:p w:rsidR="006F3EC4" w:rsidRDefault="006F3EC4" w:rsidP="00B13C16"/>
    <w:p w:rsidR="00B418BB" w:rsidRPr="0050561F" w:rsidRDefault="006F3EC4" w:rsidP="003A669D">
      <w:pPr>
        <w:pStyle w:val="Chapter3"/>
        <w:tabs>
          <w:tab w:val="clear" w:pos="1702"/>
        </w:tabs>
        <w:ind w:left="851"/>
        <w:rPr>
          <w:spacing w:val="-4"/>
        </w:rPr>
      </w:pPr>
      <w:r w:rsidRPr="0050561F">
        <w:rPr>
          <w:spacing w:val="-4"/>
        </w:rPr>
        <w:t>The</w:t>
      </w:r>
      <w:r w:rsidR="00B418BB" w:rsidRPr="0050561F">
        <w:rPr>
          <w:spacing w:val="-4"/>
        </w:rPr>
        <w:t xml:space="preserve">se </w:t>
      </w:r>
      <w:r w:rsidRPr="0050561F">
        <w:rPr>
          <w:spacing w:val="-4"/>
        </w:rPr>
        <w:t>consequence</w:t>
      </w:r>
      <w:r w:rsidR="00B526CD" w:rsidRPr="0050561F">
        <w:rPr>
          <w:spacing w:val="-4"/>
        </w:rPr>
        <w:t>s</w:t>
      </w:r>
      <w:r w:rsidRPr="0050561F">
        <w:rPr>
          <w:spacing w:val="-4"/>
        </w:rPr>
        <w:t xml:space="preserve"> can be particularly serious for the tax base where </w:t>
      </w:r>
      <w:r w:rsidR="00B526CD" w:rsidRPr="0050561F">
        <w:rPr>
          <w:spacing w:val="-4"/>
        </w:rPr>
        <w:t xml:space="preserve">the </w:t>
      </w:r>
      <w:r w:rsidRPr="0050561F">
        <w:rPr>
          <w:spacing w:val="-4"/>
        </w:rPr>
        <w:t>borrower and lender are associated, and can structure their arrangements with less re</w:t>
      </w:r>
      <w:r w:rsidR="003E7CC6" w:rsidRPr="0050561F">
        <w:rPr>
          <w:spacing w:val="-4"/>
        </w:rPr>
        <w:t>gard for commercial matters</w:t>
      </w:r>
      <w:r w:rsidRPr="0050561F">
        <w:rPr>
          <w:spacing w:val="-4"/>
        </w:rPr>
        <w:t xml:space="preserve"> and more regard for tax benefits.  </w:t>
      </w:r>
      <w:r w:rsidR="00B418BB" w:rsidRPr="0050561F">
        <w:rPr>
          <w:spacing w:val="-4"/>
        </w:rPr>
        <w:t>For example:</w:t>
      </w:r>
    </w:p>
    <w:p w:rsidR="00B418BB" w:rsidRDefault="00B418BB" w:rsidP="00B13C16"/>
    <w:p w:rsidR="00B418BB" w:rsidRPr="0050561F" w:rsidRDefault="00B418BB" w:rsidP="00AA70EB">
      <w:pPr>
        <w:pStyle w:val="Bullets"/>
        <w:spacing w:after="100"/>
      </w:pPr>
      <w:r w:rsidRPr="0050561F">
        <w:t xml:space="preserve">NRWT can be deferred for a non-resident lender for a substantial period, with no effect on the availability </w:t>
      </w:r>
      <w:r w:rsidR="00E07414" w:rsidRPr="0050561F">
        <w:t>to a N</w:t>
      </w:r>
      <w:r w:rsidR="00174FF5" w:rsidRPr="0050561F">
        <w:t xml:space="preserve">ew </w:t>
      </w:r>
      <w:r w:rsidR="00E07414" w:rsidRPr="0050561F">
        <w:t>Z</w:t>
      </w:r>
      <w:r w:rsidR="00174FF5" w:rsidRPr="0050561F">
        <w:t>ealand</w:t>
      </w:r>
      <w:r w:rsidR="008725B4">
        <w:t>-</w:t>
      </w:r>
      <w:r w:rsidR="00E07414" w:rsidRPr="0050561F">
        <w:t xml:space="preserve">resident borrower </w:t>
      </w:r>
      <w:r w:rsidRPr="0050561F">
        <w:t>of a deduction on some form of accrual basis</w:t>
      </w:r>
      <w:r w:rsidR="00540D32" w:rsidRPr="0050561F">
        <w:t xml:space="preserve"> under the financial arrangement rules;</w:t>
      </w:r>
      <w:r w:rsidR="008725B4">
        <w:t xml:space="preserve"> and</w:t>
      </w:r>
    </w:p>
    <w:p w:rsidR="006F3EC4" w:rsidRPr="0042091B" w:rsidRDefault="00F92033" w:rsidP="00AA70EB">
      <w:pPr>
        <w:pStyle w:val="Bullets"/>
        <w:spacing w:after="0"/>
        <w:rPr>
          <w:spacing w:val="-2"/>
        </w:rPr>
      </w:pPr>
      <w:r w:rsidRPr="0042091B">
        <w:rPr>
          <w:spacing w:val="-2"/>
        </w:rPr>
        <w:t>b</w:t>
      </w:r>
      <w:r w:rsidR="00B418BB" w:rsidRPr="0042091B">
        <w:rPr>
          <w:spacing w:val="-2"/>
        </w:rPr>
        <w:t xml:space="preserve">ecause NRWT is imposed on a cash basis, it is possible for a non-resident </w:t>
      </w:r>
      <w:r w:rsidR="00540D32" w:rsidRPr="0042091B">
        <w:rPr>
          <w:spacing w:val="-2"/>
        </w:rPr>
        <w:t xml:space="preserve">associated </w:t>
      </w:r>
      <w:r w:rsidR="00B418BB" w:rsidRPr="0042091B">
        <w:rPr>
          <w:spacing w:val="-2"/>
        </w:rPr>
        <w:t>lender to earn interest as an economic matter but avoid NRWT altogether by selling a loan shortly before interest is due to be paid</w:t>
      </w:r>
      <w:r w:rsidR="00F04767" w:rsidRPr="0042091B">
        <w:rPr>
          <w:spacing w:val="-2"/>
        </w:rPr>
        <w:t>.</w:t>
      </w:r>
      <w:r w:rsidR="00540D32" w:rsidRPr="0042091B">
        <w:rPr>
          <w:rStyle w:val="FootnoteReference"/>
          <w:spacing w:val="-2"/>
          <w:sz w:val="24"/>
          <w:szCs w:val="24"/>
        </w:rPr>
        <w:footnoteReference w:id="3"/>
      </w:r>
    </w:p>
    <w:p w:rsidR="008725B4" w:rsidRDefault="008725B4">
      <w:pPr>
        <w:jc w:val="left"/>
        <w:rPr>
          <w:rFonts w:ascii="Times New Roman Bold" w:hAnsi="Times New Roman Bold"/>
          <w:b/>
          <w:kern w:val="28"/>
          <w:szCs w:val="24"/>
        </w:rPr>
      </w:pPr>
      <w:r>
        <w:br w:type="page"/>
      </w:r>
    </w:p>
    <w:p w:rsidR="00254560" w:rsidRPr="00E97368" w:rsidRDefault="005946ED" w:rsidP="00E579AC">
      <w:pPr>
        <w:pStyle w:val="Heading1"/>
      </w:pPr>
      <w:bookmarkStart w:id="13" w:name="_Toc418756707"/>
      <w:r>
        <w:lastRenderedPageBreak/>
        <w:t>Suggestions for addressing the problem</w:t>
      </w:r>
      <w:bookmarkEnd w:id="13"/>
    </w:p>
    <w:p w:rsidR="006F3EC4" w:rsidRDefault="006F3EC4" w:rsidP="00B13C16"/>
    <w:p w:rsidR="00176F1C" w:rsidRDefault="005946ED" w:rsidP="00176F1C">
      <w:pPr>
        <w:pStyle w:val="Chapter3"/>
        <w:tabs>
          <w:tab w:val="clear" w:pos="1702"/>
        </w:tabs>
        <w:ind w:left="851"/>
      </w:pPr>
      <w:r>
        <w:t>Officials have three suggestions</w:t>
      </w:r>
      <w:r w:rsidR="00176F1C">
        <w:t xml:space="preserve"> for removing </w:t>
      </w:r>
      <w:r w:rsidR="000E5DBC">
        <w:t>the potential for these</w:t>
      </w:r>
      <w:r w:rsidR="006F3EC4">
        <w:t xml:space="preserve"> kind</w:t>
      </w:r>
      <w:r w:rsidR="000E5DBC">
        <w:t>s</w:t>
      </w:r>
      <w:r w:rsidR="006F3EC4">
        <w:t xml:space="preserve"> of mismatch</w:t>
      </w:r>
      <w:r w:rsidR="000E5DBC">
        <w:t>es</w:t>
      </w:r>
      <w:r w:rsidR="006F3EC4">
        <w:t xml:space="preserve"> and protect</w:t>
      </w:r>
      <w:r w:rsidR="00176F1C">
        <w:t>ing</w:t>
      </w:r>
      <w:r w:rsidR="006F3EC4">
        <w:t xml:space="preserve"> the </w:t>
      </w:r>
      <w:r w:rsidR="008725B4">
        <w:t>tax</w:t>
      </w:r>
      <w:r w:rsidR="006B68CF">
        <w:t xml:space="preserve"> </w:t>
      </w:r>
      <w:r w:rsidR="006F3EC4">
        <w:t>base more generally</w:t>
      </w:r>
      <w:r w:rsidR="00176F1C">
        <w:t xml:space="preserve">.  </w:t>
      </w:r>
      <w:r w:rsidR="00C21D11">
        <w:t>They</w:t>
      </w:r>
      <w:r w:rsidR="00176F1C">
        <w:t xml:space="preserve"> apply only </w:t>
      </w:r>
      <w:r w:rsidR="006E4BEC">
        <w:t>to arrangements</w:t>
      </w:r>
      <w:r w:rsidR="00176F1C">
        <w:t xml:space="preserve"> between associated p</w:t>
      </w:r>
      <w:r w:rsidR="001C411D">
        <w:t>ersons</w:t>
      </w:r>
      <w:r w:rsidR="00176F1C">
        <w:t>.  The first broadens the kind of arrangements that will give rise to NR</w:t>
      </w:r>
      <w:r w:rsidR="009B6D39">
        <w:t>P</w:t>
      </w:r>
      <w:r w:rsidR="00176F1C">
        <w:t>I</w:t>
      </w:r>
      <w:r w:rsidR="006F3EC4">
        <w:t>,</w:t>
      </w:r>
      <w:r w:rsidR="00176F1C">
        <w:t xml:space="preserve"> so that there is a better alignment between NR</w:t>
      </w:r>
      <w:r w:rsidR="009B6D39">
        <w:t>P</w:t>
      </w:r>
      <w:r w:rsidR="00176F1C">
        <w:t xml:space="preserve">I and financial arrangement expenditure.  The second brings the rules for </w:t>
      </w:r>
      <w:r w:rsidR="00C21D11">
        <w:t>determining the amount of NR</w:t>
      </w:r>
      <w:r w:rsidR="009B6D39">
        <w:t>P</w:t>
      </w:r>
      <w:r w:rsidR="00C21D11">
        <w:t xml:space="preserve">I </w:t>
      </w:r>
      <w:r w:rsidR="002440A3">
        <w:t xml:space="preserve">more </w:t>
      </w:r>
      <w:r w:rsidR="00C21D11">
        <w:t xml:space="preserve">into line with the financial arrangement rules.  The third brings </w:t>
      </w:r>
      <w:r w:rsidR="000E5DBC">
        <w:t xml:space="preserve">the time of </w:t>
      </w:r>
      <w:r w:rsidR="00176F1C">
        <w:t>recognition of NR</w:t>
      </w:r>
      <w:r w:rsidR="009B6D39">
        <w:t>P</w:t>
      </w:r>
      <w:r w:rsidR="00176F1C">
        <w:t xml:space="preserve">I more into line with the financial arrangement rules, for </w:t>
      </w:r>
      <w:r w:rsidR="002440A3">
        <w:t>arrangements</w:t>
      </w:r>
      <w:r w:rsidR="00176F1C">
        <w:t xml:space="preserve"> that involve a deferral of payments as compared with income</w:t>
      </w:r>
      <w:r w:rsidR="00194093">
        <w:t xml:space="preserve"> measured under the financial arrangement rules</w:t>
      </w:r>
      <w:r w:rsidR="00176F1C">
        <w:t>.</w:t>
      </w:r>
    </w:p>
    <w:p w:rsidR="00176F1C" w:rsidRDefault="00176F1C" w:rsidP="00B13C16"/>
    <w:p w:rsidR="00176F1C" w:rsidRPr="00F04767" w:rsidRDefault="00176F1C" w:rsidP="00F04767">
      <w:pPr>
        <w:pStyle w:val="Heading2"/>
      </w:pPr>
      <w:r w:rsidRPr="00F04767">
        <w:t>Broadening arrangements giving rise to NR</w:t>
      </w:r>
      <w:r w:rsidR="009B6D39" w:rsidRPr="00F04767">
        <w:t>P</w:t>
      </w:r>
      <w:r w:rsidRPr="00F04767">
        <w:t>I</w:t>
      </w:r>
    </w:p>
    <w:p w:rsidR="002440A3" w:rsidRDefault="002440A3" w:rsidP="002440A3"/>
    <w:p w:rsidR="00B2438E" w:rsidRDefault="00C21D11" w:rsidP="00176F1C">
      <w:pPr>
        <w:pStyle w:val="Chapter3"/>
        <w:tabs>
          <w:tab w:val="clear" w:pos="1702"/>
        </w:tabs>
        <w:ind w:left="851"/>
      </w:pPr>
      <w:r>
        <w:t>NR</w:t>
      </w:r>
      <w:r w:rsidR="009B6D39">
        <w:t>P</w:t>
      </w:r>
      <w:r>
        <w:t xml:space="preserve">I only arises where there is “money lent” as defined in section YA 1.  Although </w:t>
      </w:r>
      <w:r w:rsidR="00B2438E">
        <w:t xml:space="preserve">the </w:t>
      </w:r>
      <w:r w:rsidR="000E5DBC">
        <w:t xml:space="preserve">“money lent” </w:t>
      </w:r>
      <w:r w:rsidR="00B2438E">
        <w:t>definition is broad, it may</w:t>
      </w:r>
      <w:r>
        <w:t xml:space="preserve"> not apply in all situations where there is </w:t>
      </w:r>
      <w:r w:rsidR="00B2438E">
        <w:t>an amount of financing provided under a financial arrangement.  This means that a N</w:t>
      </w:r>
      <w:r w:rsidR="00F139D1">
        <w:t xml:space="preserve">ew </w:t>
      </w:r>
      <w:r w:rsidR="00B2438E">
        <w:t>Z</w:t>
      </w:r>
      <w:r w:rsidR="00F139D1">
        <w:t>ealand</w:t>
      </w:r>
      <w:r w:rsidR="00B2438E">
        <w:t xml:space="preserve"> borrower may incur financial arrangement expenditure where the non-resident counterpart to the financial arrangement has no </w:t>
      </w:r>
      <w:r w:rsidR="000E5DBC">
        <w:t>NR</w:t>
      </w:r>
      <w:r w:rsidR="009B6D39">
        <w:t>P</w:t>
      </w:r>
      <w:r w:rsidR="000E5DBC">
        <w:t>I.</w:t>
      </w:r>
    </w:p>
    <w:p w:rsidR="00B2438E" w:rsidRDefault="00B2438E" w:rsidP="00B13C16"/>
    <w:p w:rsidR="00B2438E" w:rsidRDefault="00B2438E" w:rsidP="00176F1C">
      <w:pPr>
        <w:pStyle w:val="Chapter3"/>
        <w:tabs>
          <w:tab w:val="clear" w:pos="1702"/>
        </w:tabs>
        <w:ind w:left="851"/>
      </w:pPr>
      <w:r>
        <w:t>In order to prevent this outcome</w:t>
      </w:r>
      <w:r w:rsidR="00EA6B7D">
        <w:t xml:space="preserve"> being used to avoid the imposition of NRWT</w:t>
      </w:r>
      <w:r>
        <w:t>, we propose to widen the definition of “money lent” to include any amount provided to a New Zealand resident by an associated non-resident under a financial arrangement which provides funding to the resident</w:t>
      </w:r>
      <w:r w:rsidR="008725B4">
        <w:t>,</w:t>
      </w:r>
      <w:r>
        <w:t xml:space="preserve"> and under which the resident incurs financial arrangement expenditure.</w:t>
      </w:r>
      <w:r w:rsidR="00194093">
        <w:t xml:space="preserve">  This definition will only apply if the other limbs of the </w:t>
      </w:r>
      <w:r w:rsidR="001F728C">
        <w:t>“</w:t>
      </w:r>
      <w:r w:rsidR="00194093">
        <w:t>money lent</w:t>
      </w:r>
      <w:r w:rsidR="001F728C">
        <w:t>”</w:t>
      </w:r>
      <w:r w:rsidR="00194093">
        <w:t xml:space="preserve"> definition do not.</w:t>
      </w:r>
    </w:p>
    <w:p w:rsidR="00B2438E" w:rsidRDefault="00B2438E" w:rsidP="00B13C16"/>
    <w:p w:rsidR="00B2438E" w:rsidRPr="00F04767" w:rsidRDefault="00194093" w:rsidP="00F04767">
      <w:pPr>
        <w:pStyle w:val="Heading2"/>
      </w:pPr>
      <w:r w:rsidRPr="00F04767">
        <w:t>Reduc</w:t>
      </w:r>
      <w:r w:rsidR="00B2438E" w:rsidRPr="00F04767">
        <w:t xml:space="preserve">ing </w:t>
      </w:r>
      <w:r w:rsidR="00F766C1" w:rsidRPr="00F04767">
        <w:t xml:space="preserve">quantum </w:t>
      </w:r>
      <w:r w:rsidR="00B2438E" w:rsidRPr="00F04767">
        <w:t>mis</w:t>
      </w:r>
      <w:r w:rsidR="00F766C1" w:rsidRPr="00F04767">
        <w:t>matches between NR</w:t>
      </w:r>
      <w:r w:rsidR="009B6D39" w:rsidRPr="00F04767">
        <w:t>P</w:t>
      </w:r>
      <w:r w:rsidR="00F766C1" w:rsidRPr="00F04767">
        <w:t>I and financial arrangement</w:t>
      </w:r>
      <w:r w:rsidR="00B2438E" w:rsidRPr="00F04767">
        <w:t xml:space="preserve"> expenditure</w:t>
      </w:r>
    </w:p>
    <w:p w:rsidR="00176F1C" w:rsidRPr="00B24F70" w:rsidRDefault="00176F1C" w:rsidP="00B13C16"/>
    <w:p w:rsidR="00B2438E" w:rsidRDefault="00EA6B7D" w:rsidP="003A669D">
      <w:pPr>
        <w:pStyle w:val="Chapter3"/>
        <w:tabs>
          <w:tab w:val="clear" w:pos="1702"/>
        </w:tabs>
        <w:ind w:left="851"/>
      </w:pPr>
      <w:r>
        <w:t xml:space="preserve">In some cases, the financial arrangement rules may result in a different amount of income being calculated than </w:t>
      </w:r>
      <w:r w:rsidR="00234F23">
        <w:t xml:space="preserve">the </w:t>
      </w:r>
      <w:r w:rsidR="00194093">
        <w:t xml:space="preserve">amount under </w:t>
      </w:r>
      <w:r>
        <w:t xml:space="preserve">the </w:t>
      </w:r>
      <w:r w:rsidR="00194093">
        <w:t>existing</w:t>
      </w:r>
      <w:r>
        <w:t xml:space="preserve"> “interest” definition.  Two examples are:</w:t>
      </w:r>
    </w:p>
    <w:p w:rsidR="00EA6B7D" w:rsidRDefault="00EA6B7D" w:rsidP="00B13C16"/>
    <w:p w:rsidR="00EA6B7D" w:rsidRDefault="00796B41" w:rsidP="00796B41">
      <w:pPr>
        <w:pStyle w:val="Bullets"/>
      </w:pPr>
      <w:r>
        <w:t>a</w:t>
      </w:r>
      <w:r w:rsidR="00EA6B7D">
        <w:t xml:space="preserve"> purchase of goods on credit where there is no explicit interest charge but the value of the goods under the financial arrangement rules is less than the amount payable by the purchaser</w:t>
      </w:r>
      <w:r w:rsidR="001A38BA">
        <w:t>, resulting in financial arrangement income to the vendor</w:t>
      </w:r>
      <w:r w:rsidR="000E5DBC">
        <w:t>;</w:t>
      </w:r>
      <w:r w:rsidR="008725B4">
        <w:t xml:space="preserve"> and</w:t>
      </w:r>
    </w:p>
    <w:p w:rsidR="00EA6B7D" w:rsidRDefault="00796B41" w:rsidP="00796B41">
      <w:pPr>
        <w:pStyle w:val="Bullets"/>
        <w:spacing w:after="0"/>
      </w:pPr>
      <w:r>
        <w:t>a</w:t>
      </w:r>
      <w:r w:rsidR="00EA6B7D">
        <w:t>n optional convertible note which pays coupon interest at a rate below the rate specified in Determination G22A.</w:t>
      </w:r>
    </w:p>
    <w:p w:rsidR="00EA6B7D" w:rsidRDefault="00EA6B7D" w:rsidP="00B13C16"/>
    <w:p w:rsidR="00EA6B7D" w:rsidRDefault="00EA6B7D" w:rsidP="00EA6B7D">
      <w:pPr>
        <w:pStyle w:val="Chapter3"/>
        <w:tabs>
          <w:tab w:val="clear" w:pos="1702"/>
        </w:tabs>
        <w:ind w:left="851"/>
      </w:pPr>
      <w:r>
        <w:t xml:space="preserve">In order to prevent this outcome being used to avoid the imposition of NRWT, we propose to widen the definition of “interest” to include a payment </w:t>
      </w:r>
      <w:r w:rsidR="00F766C1">
        <w:t xml:space="preserve">(whether of money or money’s worth) </w:t>
      </w:r>
      <w:r>
        <w:t>received by a non-resident from an associated New Zealand resident, to the extent that the payment gives rise to expenditure to the New Zealand resident under the financial arrangement rules.</w:t>
      </w:r>
    </w:p>
    <w:p w:rsidR="00F766C1" w:rsidRDefault="00F766C1" w:rsidP="00B13C16"/>
    <w:p w:rsidR="00796B41" w:rsidRDefault="00796B41">
      <w:pPr>
        <w:jc w:val="left"/>
        <w:rPr>
          <w:snapToGrid w:val="0"/>
          <w:lang w:val="en-NZ" w:eastAsia="en-US"/>
        </w:rPr>
      </w:pPr>
      <w:r>
        <w:br w:type="page"/>
      </w:r>
    </w:p>
    <w:p w:rsidR="00EA6B7D" w:rsidRDefault="00F766C1" w:rsidP="00EA6B7D">
      <w:pPr>
        <w:pStyle w:val="Chapter3"/>
        <w:tabs>
          <w:tab w:val="clear" w:pos="1702"/>
        </w:tabs>
        <w:ind w:left="851"/>
      </w:pPr>
      <w:r>
        <w:lastRenderedPageBreak/>
        <w:t xml:space="preserve">For example, </w:t>
      </w:r>
      <w:r w:rsidR="00BB3D17">
        <w:t>take a zero coupon optional convertible</w:t>
      </w:r>
      <w:r w:rsidR="00FC0761">
        <w:t xml:space="preserve"> </w:t>
      </w:r>
      <w:r w:rsidR="008725B4">
        <w:t xml:space="preserve">note (OCN) </w:t>
      </w:r>
      <w:r w:rsidR="00561238">
        <w:t>subject to Determination G22A, issued by a New Zealand resident to an associated non-resident</w:t>
      </w:r>
      <w:r w:rsidR="00BB3D17">
        <w:t>.  Under this</w:t>
      </w:r>
      <w:r w:rsidR="005946ED">
        <w:t xml:space="preserve"> suggestion</w:t>
      </w:r>
      <w:r w:rsidR="00BB3D17">
        <w:t>,</w:t>
      </w:r>
      <w:r>
        <w:t xml:space="preserve"> the </w:t>
      </w:r>
      <w:r w:rsidR="00BB3D17">
        <w:t>issuer</w:t>
      </w:r>
      <w:r>
        <w:t xml:space="preserve"> would be treated as paying interest to the OCN holder when the notes </w:t>
      </w:r>
      <w:r w:rsidR="006D7EF5">
        <w:t xml:space="preserve">were </w:t>
      </w:r>
      <w:r>
        <w:t>converted into shares or were redeemed in cash.  The amount of the interest would be the excess of the cash redemption amount over the deemed issue price of the OCNs, applying Determination G22</w:t>
      </w:r>
      <w:r w:rsidR="000F6CFA">
        <w:t>A</w:t>
      </w:r>
      <w:r w:rsidR="00716BBF">
        <w:t>, and it would be subject to NRWT (</w:t>
      </w:r>
      <w:r w:rsidR="00FB6940">
        <w:t>but</w:t>
      </w:r>
      <w:r w:rsidR="00716BBF">
        <w:t xml:space="preserve"> in advance of the time of payment</w:t>
      </w:r>
      <w:r w:rsidR="00FB6940">
        <w:t xml:space="preserve"> if the suggestions in this document </w:t>
      </w:r>
      <w:r w:rsidR="000D5AFC">
        <w:t>are</w:t>
      </w:r>
      <w:r w:rsidR="00FB6940">
        <w:t xml:space="preserve"> adopted</w:t>
      </w:r>
      <w:r w:rsidR="00716BBF">
        <w:t>)</w:t>
      </w:r>
      <w:r w:rsidR="00796B41">
        <w:t>.</w:t>
      </w:r>
      <w:r w:rsidR="00716BBF" w:rsidRPr="00796B41">
        <w:rPr>
          <w:rStyle w:val="FootnoteReference"/>
          <w:sz w:val="24"/>
          <w:szCs w:val="24"/>
        </w:rPr>
        <w:footnoteReference w:id="4"/>
      </w:r>
    </w:p>
    <w:p w:rsidR="00F766C1" w:rsidRDefault="00F766C1" w:rsidP="00B13C16"/>
    <w:p w:rsidR="00F766C1" w:rsidRPr="00D83876" w:rsidRDefault="00F766C1" w:rsidP="00796B41">
      <w:pPr>
        <w:pStyle w:val="Heading2"/>
      </w:pPr>
      <w:r w:rsidRPr="00D83876">
        <w:t>Avoiding timing mismatches between NR</w:t>
      </w:r>
      <w:r w:rsidR="009B6D39">
        <w:t>P</w:t>
      </w:r>
      <w:r w:rsidRPr="00D83876">
        <w:t>I and financial arrangement expenditure</w:t>
      </w:r>
    </w:p>
    <w:p w:rsidR="00B24F70" w:rsidRPr="00F24F70" w:rsidRDefault="00B24F70" w:rsidP="00F24F70"/>
    <w:p w:rsidR="003E7CC6" w:rsidRDefault="00B24F70" w:rsidP="003A669D">
      <w:pPr>
        <w:pStyle w:val="Chapter3"/>
        <w:tabs>
          <w:tab w:val="clear" w:pos="1702"/>
        </w:tabs>
        <w:ind w:left="851"/>
      </w:pPr>
      <w:r>
        <w:t>I</w:t>
      </w:r>
      <w:r w:rsidR="006F3EC4">
        <w:t xml:space="preserve">t is </w:t>
      </w:r>
      <w:r w:rsidR="001F728C">
        <w:t xml:space="preserve">suggested </w:t>
      </w:r>
      <w:r w:rsidR="006F3EC4">
        <w:t xml:space="preserve">that for </w:t>
      </w:r>
      <w:r w:rsidR="000E5DBC">
        <w:t>a financial arrangement</w:t>
      </w:r>
      <w:r w:rsidR="006F3EC4">
        <w:t xml:space="preserve"> between </w:t>
      </w:r>
      <w:r w:rsidR="003E7CC6">
        <w:t>a resident and a non-resident associated person</w:t>
      </w:r>
      <w:r w:rsidR="006F3EC4">
        <w:t xml:space="preserve"> which</w:t>
      </w:r>
      <w:r w:rsidR="003E7CC6">
        <w:t>:</w:t>
      </w:r>
    </w:p>
    <w:p w:rsidR="003E7CC6" w:rsidRDefault="003E7CC6" w:rsidP="00B13C16"/>
    <w:p w:rsidR="003E7CC6" w:rsidRDefault="00F92033" w:rsidP="00AA70EB">
      <w:pPr>
        <w:pStyle w:val="Bullets"/>
      </w:pPr>
      <w:r>
        <w:t>i</w:t>
      </w:r>
      <w:r w:rsidR="00B418BB">
        <w:t>nvolve</w:t>
      </w:r>
      <w:r w:rsidR="000E5DBC">
        <w:t>s</w:t>
      </w:r>
      <w:r w:rsidR="00B418BB">
        <w:t xml:space="preserve"> a </w:t>
      </w:r>
      <w:r w:rsidR="00D85193">
        <w:t>deferral of cash payments (so that income accrues in an economic sense but is not paid); and</w:t>
      </w:r>
    </w:p>
    <w:p w:rsidR="003E7CC6" w:rsidRDefault="003E7CC6" w:rsidP="0050561F">
      <w:pPr>
        <w:pStyle w:val="Bullets"/>
      </w:pPr>
      <w:r>
        <w:t>provide</w:t>
      </w:r>
      <w:r w:rsidR="000E5DBC">
        <w:t>s</w:t>
      </w:r>
      <w:r w:rsidR="00F24F70">
        <w:t xml:space="preserve"> funding to the resident,</w:t>
      </w:r>
    </w:p>
    <w:p w:rsidR="003A669D" w:rsidRDefault="003A669D" w:rsidP="00B526CD">
      <w:pPr>
        <w:pStyle w:val="Chapter3"/>
        <w:numPr>
          <w:ilvl w:val="0"/>
          <w:numId w:val="0"/>
        </w:numPr>
        <w:ind w:left="851"/>
      </w:pPr>
      <w:r>
        <w:t xml:space="preserve">NRWT would be imposed annually, on an amount equal to the financial arrangement </w:t>
      </w:r>
      <w:r w:rsidR="00F024CB">
        <w:t>income</w:t>
      </w:r>
      <w:r>
        <w:t xml:space="preserve"> </w:t>
      </w:r>
      <w:r w:rsidR="00F024CB">
        <w:t>that would have arisen to the non-resid</w:t>
      </w:r>
      <w:r w:rsidR="00F766C1">
        <w:t>ent if it were subject to the financial arrangement</w:t>
      </w:r>
      <w:r w:rsidR="00F024CB">
        <w:t xml:space="preserve"> rules.  </w:t>
      </w:r>
      <w:r>
        <w:t>However, in the case of a foreign currency loan, the income subject to NRWT would be calculated in the foreign currency, so that the current non-taxation of foreign currency gains and losses under the NRWT regime would be maintained.</w:t>
      </w:r>
      <w:r w:rsidR="000E5DBC">
        <w:t xml:space="preserve">  Doing otherwise might be inconsistent with tax treaty obligations.</w:t>
      </w:r>
    </w:p>
    <w:p w:rsidR="008C0D4D" w:rsidRDefault="008C0D4D" w:rsidP="00F24F70"/>
    <w:p w:rsidR="00796B41" w:rsidRDefault="00796B41" w:rsidP="00F24F70"/>
    <w:p w:rsidR="008C0D4D" w:rsidRPr="00AE1C04" w:rsidRDefault="00174FF5" w:rsidP="00796B41">
      <w:pPr>
        <w:pStyle w:val="Heading1"/>
        <w:rPr>
          <w:lang w:val="en-NZ"/>
        </w:rPr>
      </w:pPr>
      <w:bookmarkStart w:id="14" w:name="_Toc418756708"/>
      <w:r>
        <w:rPr>
          <w:lang w:val="en-NZ"/>
        </w:rPr>
        <w:t xml:space="preserve">Further detail on timing mismatches: </w:t>
      </w:r>
      <w:r w:rsidR="001A38BA">
        <w:rPr>
          <w:lang w:val="en-NZ"/>
        </w:rPr>
        <w:t>n</w:t>
      </w:r>
      <w:r w:rsidR="008C0D4D">
        <w:rPr>
          <w:lang w:val="en-NZ"/>
        </w:rPr>
        <w:t>on-resident financial arrangement income</w:t>
      </w:r>
      <w:bookmarkEnd w:id="14"/>
    </w:p>
    <w:p w:rsidR="008C0D4D" w:rsidRDefault="008C0D4D" w:rsidP="00B13C16"/>
    <w:p w:rsidR="002725A7" w:rsidRDefault="002725A7" w:rsidP="003A669D">
      <w:pPr>
        <w:pStyle w:val="Chapter3"/>
        <w:tabs>
          <w:tab w:val="clear" w:pos="1702"/>
        </w:tabs>
        <w:ind w:left="851"/>
      </w:pPr>
      <w:r>
        <w:t>In the remainder of this chapter, we consider in m</w:t>
      </w:r>
      <w:r w:rsidR="005B145B">
        <w:t>ore detail</w:t>
      </w:r>
      <w:r w:rsidR="008725B4">
        <w:t>,</w:t>
      </w:r>
      <w:r w:rsidR="005B145B">
        <w:t xml:space="preserve"> the rules that would apply </w:t>
      </w:r>
      <w:r>
        <w:t>to impose NRWT on accruing income, rather than on payments.</w:t>
      </w:r>
    </w:p>
    <w:p w:rsidR="002725A7" w:rsidRDefault="002725A7" w:rsidP="00B13C16"/>
    <w:p w:rsidR="00EB27C3" w:rsidRDefault="008C0D4D" w:rsidP="003A669D">
      <w:pPr>
        <w:pStyle w:val="Chapter3"/>
        <w:tabs>
          <w:tab w:val="clear" w:pos="1702"/>
        </w:tabs>
        <w:ind w:left="851"/>
      </w:pPr>
      <w:r>
        <w:t xml:space="preserve">NRWT is payable on </w:t>
      </w:r>
      <w:r w:rsidR="002725A7">
        <w:t xml:space="preserve">(inter alia) </w:t>
      </w:r>
      <w:r>
        <w:t>payments of</w:t>
      </w:r>
      <w:r w:rsidR="00B01FAF">
        <w:t xml:space="preserve"> </w:t>
      </w:r>
      <w:r w:rsidR="002725A7">
        <w:t>NR</w:t>
      </w:r>
      <w:r w:rsidR="009B6D39">
        <w:t>P</w:t>
      </w:r>
      <w:r w:rsidR="002725A7">
        <w:t>I</w:t>
      </w:r>
      <w:r>
        <w:t xml:space="preserve">.  </w:t>
      </w:r>
      <w:r w:rsidR="0028422D">
        <w:t xml:space="preserve">We </w:t>
      </w:r>
      <w:r w:rsidR="00FB6940">
        <w:t>suggest</w:t>
      </w:r>
      <w:r>
        <w:t xml:space="preserve"> retain</w:t>
      </w:r>
      <w:r w:rsidR="00FB6940">
        <w:t>ing</w:t>
      </w:r>
      <w:r>
        <w:t xml:space="preserve"> this linkage and </w:t>
      </w:r>
      <w:r w:rsidR="009A0023">
        <w:t>expand</w:t>
      </w:r>
      <w:r w:rsidR="00FB6940">
        <w:t>ing</w:t>
      </w:r>
      <w:r w:rsidR="009A0023">
        <w:t xml:space="preserve"> the definition </w:t>
      </w:r>
      <w:r w:rsidR="00F92033">
        <w:t xml:space="preserve">of interest </w:t>
      </w:r>
      <w:r w:rsidR="009A0023">
        <w:t>to include</w:t>
      </w:r>
      <w:r>
        <w:t xml:space="preserve"> non-resident financial arrangement income</w:t>
      </w:r>
      <w:r w:rsidR="005845A9">
        <w:t xml:space="preserve"> (NRFAI)</w:t>
      </w:r>
      <w:r w:rsidR="00EF2E54">
        <w:t xml:space="preserve">, which would be a subset of </w:t>
      </w:r>
      <w:r w:rsidR="002725A7">
        <w:t>NR</w:t>
      </w:r>
      <w:r w:rsidR="009B6D39">
        <w:t>P</w:t>
      </w:r>
      <w:r w:rsidR="002725A7">
        <w:t>I</w:t>
      </w:r>
      <w:r>
        <w:t>.</w:t>
      </w:r>
    </w:p>
    <w:p w:rsidR="008C0D4D" w:rsidRDefault="008C0D4D" w:rsidP="00B13C16"/>
    <w:p w:rsidR="008C0D4D" w:rsidRDefault="005845A9" w:rsidP="003A669D">
      <w:pPr>
        <w:pStyle w:val="Chapter3"/>
        <w:tabs>
          <w:tab w:val="clear" w:pos="1702"/>
        </w:tabs>
        <w:ind w:left="851"/>
      </w:pPr>
      <w:r>
        <w:t>NRFAI</w:t>
      </w:r>
      <w:r w:rsidR="008C0D4D">
        <w:t xml:space="preserve"> </w:t>
      </w:r>
      <w:r w:rsidR="005D283A">
        <w:t xml:space="preserve">would </w:t>
      </w:r>
      <w:r w:rsidR="008C0D4D">
        <w:t xml:space="preserve">arise </w:t>
      </w:r>
      <w:r w:rsidR="006C7E2C">
        <w:t xml:space="preserve">in relation to </w:t>
      </w:r>
      <w:r w:rsidR="00F92033">
        <w:t>financial arrangement</w:t>
      </w:r>
      <w:r w:rsidR="0028422D">
        <w:t xml:space="preserve">s </w:t>
      </w:r>
      <w:r w:rsidR="006C7E2C">
        <w:t>involving deferral of income</w:t>
      </w:r>
      <w:r w:rsidR="00B17B49">
        <w:t xml:space="preserve"> </w:t>
      </w:r>
      <w:r>
        <w:t>w</w:t>
      </w:r>
      <w:r w:rsidR="00510E29">
        <w:t>here</w:t>
      </w:r>
      <w:r>
        <w:t xml:space="preserve"> a</w:t>
      </w:r>
      <w:r w:rsidR="005D283A">
        <w:t xml:space="preserve"> non-resident</w:t>
      </w:r>
      <w:r>
        <w:t xml:space="preserve"> p</w:t>
      </w:r>
      <w:r w:rsidR="005D283A">
        <w:t>erson</w:t>
      </w:r>
      <w:r>
        <w:t xml:space="preserve"> </w:t>
      </w:r>
      <w:r w:rsidR="000E5DBC">
        <w:t>provides funding to an associated New Zealand resident.</w:t>
      </w:r>
      <w:r w:rsidR="006C7E2C">
        <w:t xml:space="preserve">  The amount of NRFAI would have to be determined according to a YTM or expected value method.  </w:t>
      </w:r>
      <w:r w:rsidR="00AA1C53">
        <w:t>In many cases this could be the same method as that used by the borrower to calculate its expenditure</w:t>
      </w:r>
      <w:r w:rsidR="00796B41">
        <w:t>.</w:t>
      </w:r>
      <w:r w:rsidR="002725A7" w:rsidRPr="00796B41">
        <w:rPr>
          <w:rStyle w:val="FootnoteReference"/>
          <w:sz w:val="24"/>
          <w:szCs w:val="24"/>
        </w:rPr>
        <w:footnoteReference w:id="5"/>
      </w:r>
    </w:p>
    <w:p w:rsidR="00006BA2" w:rsidRDefault="00006BA2" w:rsidP="00B13C16"/>
    <w:p w:rsidR="00006BA2" w:rsidRDefault="00006BA2" w:rsidP="003A669D">
      <w:pPr>
        <w:pStyle w:val="Chapter3"/>
        <w:tabs>
          <w:tab w:val="clear" w:pos="1702"/>
        </w:tabs>
        <w:ind w:left="851"/>
      </w:pPr>
      <w:r>
        <w:t xml:space="preserve">The definition of </w:t>
      </w:r>
      <w:r w:rsidR="005B145B">
        <w:t>“</w:t>
      </w:r>
      <w:r>
        <w:t>pay</w:t>
      </w:r>
      <w:r w:rsidR="005B145B">
        <w:t>”</w:t>
      </w:r>
      <w:r>
        <w:t xml:space="preserve"> w</w:t>
      </w:r>
      <w:r w:rsidR="00676286">
        <w:t>ould</w:t>
      </w:r>
      <w:r>
        <w:t xml:space="preserve"> also be expanded to include </w:t>
      </w:r>
      <w:r w:rsidR="005B145B">
        <w:t xml:space="preserve">the accrual of </w:t>
      </w:r>
      <w:r>
        <w:t>amounts of income calculated as NRFAI.</w:t>
      </w:r>
    </w:p>
    <w:p w:rsidR="009A2CDF" w:rsidRDefault="009A2CDF" w:rsidP="00B13C16"/>
    <w:p w:rsidR="00796B41" w:rsidRDefault="00796B41">
      <w:pPr>
        <w:jc w:val="left"/>
        <w:rPr>
          <w:b/>
          <w:i/>
          <w:szCs w:val="24"/>
          <w:lang w:val="en-NZ"/>
        </w:rPr>
      </w:pPr>
      <w:r>
        <w:rPr>
          <w:lang w:val="en-NZ"/>
        </w:rPr>
        <w:br w:type="page"/>
      </w:r>
    </w:p>
    <w:p w:rsidR="003E05CB" w:rsidRPr="00AE1C04" w:rsidRDefault="003E05CB" w:rsidP="00796B41">
      <w:pPr>
        <w:pStyle w:val="Heading2"/>
        <w:rPr>
          <w:lang w:val="en-NZ"/>
        </w:rPr>
      </w:pPr>
      <w:r>
        <w:rPr>
          <w:lang w:val="en-NZ"/>
        </w:rPr>
        <w:lastRenderedPageBreak/>
        <w:t>Association</w:t>
      </w:r>
    </w:p>
    <w:p w:rsidR="003E05CB" w:rsidRDefault="003E05CB" w:rsidP="00B13C16"/>
    <w:p w:rsidR="003E05CB" w:rsidRDefault="003E05CB" w:rsidP="003A669D">
      <w:pPr>
        <w:pStyle w:val="Chapter3"/>
        <w:tabs>
          <w:tab w:val="clear" w:pos="1702"/>
        </w:tabs>
        <w:ind w:left="851"/>
      </w:pPr>
      <w:bookmarkStart w:id="15" w:name="_Ref412464957"/>
      <w:r>
        <w:t xml:space="preserve">For the purpose of NRFAI, the </w:t>
      </w:r>
      <w:r w:rsidR="00BD40A6">
        <w:t xml:space="preserve">existing </w:t>
      </w:r>
      <w:r w:rsidR="00FB6940">
        <w:t xml:space="preserve">association </w:t>
      </w:r>
      <w:r>
        <w:t>test for accessing the AIL regime in section RF 12(1)(a)(ii)</w:t>
      </w:r>
      <w:r w:rsidR="00BD40A6">
        <w:t xml:space="preserve"> w</w:t>
      </w:r>
      <w:r w:rsidR="00676286">
        <w:t>ould</w:t>
      </w:r>
      <w:r w:rsidR="00BD40A6">
        <w:t xml:space="preserve"> be applied</w:t>
      </w:r>
      <w:r>
        <w:t>.</w:t>
      </w:r>
      <w:r w:rsidR="005937BF">
        <w:t xml:space="preserve">  It would also encompass the </w:t>
      </w:r>
      <w:r w:rsidR="00990C67">
        <w:t xml:space="preserve">back-to-back and </w:t>
      </w:r>
      <w:r w:rsidR="008725B4">
        <w:t>“</w:t>
      </w:r>
      <w:r w:rsidR="00990C67">
        <w:t>acting</w:t>
      </w:r>
      <w:r w:rsidR="00B20483">
        <w:t xml:space="preserve"> </w:t>
      </w:r>
      <w:r w:rsidR="00A53010">
        <w:t>together</w:t>
      </w:r>
      <w:r w:rsidR="008725B4">
        <w:t>”</w:t>
      </w:r>
      <w:r w:rsidR="00990C67">
        <w:t xml:space="preserve"> </w:t>
      </w:r>
      <w:r w:rsidR="005937BF">
        <w:t xml:space="preserve">association </w:t>
      </w:r>
      <w:r w:rsidR="005946ED">
        <w:t xml:space="preserve">suggestions </w:t>
      </w:r>
      <w:r w:rsidR="00831BD2">
        <w:t xml:space="preserve">outlined </w:t>
      </w:r>
      <w:r w:rsidR="00145614">
        <w:t>in C</w:t>
      </w:r>
      <w:r w:rsidR="005937BF">
        <w:t>hapter 4.</w:t>
      </w:r>
      <w:r w:rsidR="00AE4A3F">
        <w:t xml:space="preserve">  Th</w:t>
      </w:r>
      <w:r w:rsidR="00E97368">
        <w:t xml:space="preserve">e </w:t>
      </w:r>
      <w:r w:rsidR="001A1499">
        <w:t>forme</w:t>
      </w:r>
      <w:r w:rsidR="00E97368">
        <w:t xml:space="preserve">r element </w:t>
      </w:r>
      <w:r w:rsidR="00AE4A3F">
        <w:t>is inte</w:t>
      </w:r>
      <w:r w:rsidR="001A1499">
        <w:t>nded to ensure a taxpayer can</w:t>
      </w:r>
      <w:r w:rsidR="00AE4A3F">
        <w:t>not insert a third-party into what is otherwise a related</w:t>
      </w:r>
      <w:r w:rsidR="008725B4">
        <w:t>-</w:t>
      </w:r>
      <w:r w:rsidR="00AE4A3F">
        <w:t xml:space="preserve">party transaction to avoid </w:t>
      </w:r>
      <w:r w:rsidR="00BD40A6">
        <w:t>it being</w:t>
      </w:r>
      <w:r w:rsidR="00676286">
        <w:t xml:space="preserve"> </w:t>
      </w:r>
      <w:r w:rsidR="000D5AFC">
        <w:t>subject to NRWT</w:t>
      </w:r>
      <w:r w:rsidR="00AE4A3F">
        <w:t>.</w:t>
      </w:r>
      <w:bookmarkEnd w:id="15"/>
    </w:p>
    <w:p w:rsidR="00336965" w:rsidRDefault="00336965" w:rsidP="00B13C16"/>
    <w:p w:rsidR="005845A9" w:rsidRPr="003A0ADC" w:rsidRDefault="00AE4A3F" w:rsidP="003A0ADC">
      <w:pPr>
        <w:pStyle w:val="Heading2"/>
      </w:pPr>
      <w:r w:rsidRPr="003A0ADC">
        <w:t>Coverage of non-resident financial arrangement income</w:t>
      </w:r>
    </w:p>
    <w:p w:rsidR="005845A9" w:rsidRDefault="005845A9" w:rsidP="00B13C16"/>
    <w:p w:rsidR="00AA1C53" w:rsidRDefault="00AC3973" w:rsidP="003A669D">
      <w:pPr>
        <w:pStyle w:val="Chapter3"/>
        <w:tabs>
          <w:tab w:val="clear" w:pos="1702"/>
        </w:tabs>
        <w:ind w:left="851"/>
      </w:pPr>
      <w:r>
        <w:t xml:space="preserve">NRFAI would </w:t>
      </w:r>
      <w:r w:rsidR="00EB02F1">
        <w:t xml:space="preserve">apply </w:t>
      </w:r>
      <w:r>
        <w:t xml:space="preserve">only where the payments </w:t>
      </w:r>
      <w:r w:rsidR="00AA1C53">
        <w:t xml:space="preserve">(as defined under the </w:t>
      </w:r>
      <w:r w:rsidR="00EB02F1">
        <w:t xml:space="preserve">expanded </w:t>
      </w:r>
      <w:r w:rsidR="00AA1C53">
        <w:t xml:space="preserve">NRWT rules for interest) </w:t>
      </w:r>
      <w:r>
        <w:t>under the arrangement are such that they lag behind the economic accrual of income.  A typical example is a zero coupon note, issued at a discount.</w:t>
      </w:r>
    </w:p>
    <w:p w:rsidR="00AA1C53" w:rsidRDefault="00AA1C53" w:rsidP="00B13C16"/>
    <w:p w:rsidR="005845A9" w:rsidRDefault="00AA1C53" w:rsidP="003A669D">
      <w:pPr>
        <w:pStyle w:val="Chapter3"/>
        <w:tabs>
          <w:tab w:val="clear" w:pos="1702"/>
        </w:tabs>
        <w:ind w:left="851"/>
      </w:pPr>
      <w:r>
        <w:t>Th</w:t>
      </w:r>
      <w:r w:rsidR="00AC3973">
        <w:t xml:space="preserve">ere would typically be no need for NRFAI, </w:t>
      </w:r>
      <w:r w:rsidR="00E07414">
        <w:t xml:space="preserve">for example, </w:t>
      </w:r>
      <w:r w:rsidR="00AC3973">
        <w:t xml:space="preserve">in relation to a loan where interest is paid semi-annually, and the principal advanced is due to be repaid </w:t>
      </w:r>
      <w:r w:rsidR="00EB02F1">
        <w:t>five</w:t>
      </w:r>
      <w:r w:rsidR="00AC3973">
        <w:t xml:space="preserve"> years after the date it was lent.</w:t>
      </w:r>
      <w:r>
        <w:t xml:space="preserve">  However, if the interest is not in fact paid</w:t>
      </w:r>
      <w:r w:rsidR="001A1499">
        <w:t xml:space="preserve"> when due</w:t>
      </w:r>
      <w:r>
        <w:t>, then the income on the loan would become subject to NRFAI.</w:t>
      </w:r>
    </w:p>
    <w:p w:rsidR="00AC3973" w:rsidRDefault="00AC3973" w:rsidP="00B13C16"/>
    <w:p w:rsidR="00AC3973" w:rsidRDefault="00AC3973" w:rsidP="003A669D">
      <w:pPr>
        <w:pStyle w:val="Chapter3"/>
        <w:tabs>
          <w:tab w:val="clear" w:pos="1702"/>
        </w:tabs>
        <w:ind w:left="851"/>
      </w:pPr>
      <w:r>
        <w:t xml:space="preserve">In order to differentiate between these two situations, we </w:t>
      </w:r>
      <w:r w:rsidR="00537B48">
        <w:t xml:space="preserve">suggest </w:t>
      </w:r>
      <w:r>
        <w:t xml:space="preserve">that NRFAI would not arise in relation to an arrangement </w:t>
      </w:r>
      <w:r w:rsidR="00260FAE">
        <w:t>if</w:t>
      </w:r>
      <w:r w:rsidR="008725B4">
        <w:t>,</w:t>
      </w:r>
      <w:r w:rsidR="00537B48" w:rsidRPr="00537B48">
        <w:t xml:space="preserve"> </w:t>
      </w:r>
      <w:r w:rsidR="00537B48">
        <w:t>in all years up to and including the year in question</w:t>
      </w:r>
      <w:r w:rsidR="00676286" w:rsidRPr="003A0ADC">
        <w:rPr>
          <w:rStyle w:val="FootnoteReference"/>
          <w:sz w:val="24"/>
          <w:szCs w:val="24"/>
        </w:rPr>
        <w:footnoteReference w:id="6"/>
      </w:r>
      <w:r w:rsidR="008725B4">
        <w:t>,</w:t>
      </w:r>
      <w:r w:rsidR="00260FAE">
        <w:t xml:space="preserve"> the interest subject to NRWT is at least 90% of the income that</w:t>
      </w:r>
      <w:r w:rsidR="003A0ADC">
        <w:t xml:space="preserve"> </w:t>
      </w:r>
      <w:r w:rsidR="00260FAE">
        <w:t>would</w:t>
      </w:r>
      <w:r w:rsidR="003A0ADC">
        <w:t xml:space="preserve"> </w:t>
      </w:r>
      <w:r w:rsidR="00260FAE">
        <w:t>be</w:t>
      </w:r>
      <w:r w:rsidR="003A0ADC">
        <w:t xml:space="preserve"> </w:t>
      </w:r>
      <w:r w:rsidR="00260FAE">
        <w:t>calculated</w:t>
      </w:r>
      <w:r w:rsidR="003A0ADC">
        <w:t xml:space="preserve"> </w:t>
      </w:r>
      <w:r w:rsidR="00537B48">
        <w:t>either</w:t>
      </w:r>
      <w:r w:rsidR="003A0ADC">
        <w:t xml:space="preserve"> </w:t>
      </w:r>
      <w:r w:rsidR="00260FAE">
        <w:t>under</w:t>
      </w:r>
      <w:r w:rsidR="003A0ADC">
        <w:t xml:space="preserve"> </w:t>
      </w:r>
      <w:r w:rsidR="00260FAE">
        <w:t>the</w:t>
      </w:r>
      <w:r w:rsidR="003A0ADC">
        <w:t xml:space="preserve"> </w:t>
      </w:r>
      <w:r w:rsidR="00260FAE">
        <w:t>YTM</w:t>
      </w:r>
      <w:r w:rsidR="003A0ADC">
        <w:t xml:space="preserve"> </w:t>
      </w:r>
      <w:r w:rsidR="00260FAE">
        <w:t>or</w:t>
      </w:r>
      <w:r w:rsidR="003A0ADC">
        <w:t xml:space="preserve"> </w:t>
      </w:r>
      <w:r w:rsidR="00260FAE">
        <w:t>effective interest method</w:t>
      </w:r>
      <w:r w:rsidR="00431B77">
        <w:t xml:space="preserve"> using the currency of the arrangement</w:t>
      </w:r>
      <w:r w:rsidR="00260FAE">
        <w:t>.  Allowance would be made for arrangements entered into during the year, to recogni</w:t>
      </w:r>
      <w:r w:rsidR="008725B4">
        <w:t>s</w:t>
      </w:r>
      <w:r w:rsidR="00260FAE">
        <w:t>e that interest is usually paid in arrears.</w:t>
      </w:r>
    </w:p>
    <w:p w:rsidR="00990C67" w:rsidRDefault="00990C67" w:rsidP="00990C67"/>
    <w:p w:rsidR="00990C67" w:rsidRPr="003A0ADC" w:rsidRDefault="00990C67" w:rsidP="003A0ADC">
      <w:pPr>
        <w:pStyle w:val="Heading2"/>
      </w:pPr>
      <w:r w:rsidRPr="003A0ADC">
        <w:t>Non-resident financial arrangement income and NRWT</w:t>
      </w:r>
    </w:p>
    <w:p w:rsidR="00990C67" w:rsidRDefault="00990C67" w:rsidP="00990C67"/>
    <w:p w:rsidR="00827B13" w:rsidRDefault="00990C67" w:rsidP="003A669D">
      <w:pPr>
        <w:pStyle w:val="Chapter3"/>
        <w:tabs>
          <w:tab w:val="clear" w:pos="1702"/>
        </w:tabs>
        <w:ind w:left="851"/>
      </w:pPr>
      <w:bookmarkStart w:id="16" w:name="_Ref414538536"/>
      <w:r>
        <w:t xml:space="preserve">NRFAI </w:t>
      </w:r>
      <w:r w:rsidR="00E07414">
        <w:t xml:space="preserve">on an arrangement </w:t>
      </w:r>
      <w:r>
        <w:t>that a New Zealand taxpayer</w:t>
      </w:r>
      <w:r w:rsidR="00CB0769" w:rsidRPr="003A0ADC">
        <w:rPr>
          <w:rStyle w:val="FootnoteReference"/>
          <w:sz w:val="24"/>
          <w:szCs w:val="24"/>
        </w:rPr>
        <w:footnoteReference w:id="7"/>
      </w:r>
      <w:r>
        <w:t xml:space="preserve"> </w:t>
      </w:r>
      <w:r w:rsidR="00536FCA">
        <w:t xml:space="preserve">is party to </w:t>
      </w:r>
      <w:r>
        <w:t xml:space="preserve">during an income year will trigger an NRWT liability </w:t>
      </w:r>
      <w:r w:rsidR="005615D2">
        <w:t xml:space="preserve">for both the payer (as agent) and the payee </w:t>
      </w:r>
      <w:r w:rsidR="008F6CE7">
        <w:t>at the same rates that apply under</w:t>
      </w:r>
      <w:r>
        <w:t xml:space="preserve"> the current NRWT rules.  This liability would arise in the NRWT return period that include</w:t>
      </w:r>
      <w:r w:rsidR="00260FAE">
        <w:t>s</w:t>
      </w:r>
      <w:r>
        <w:t xml:space="preserve"> </w:t>
      </w:r>
      <w:r w:rsidR="00536FCA">
        <w:t xml:space="preserve">the New Zealand </w:t>
      </w:r>
      <w:r w:rsidR="009A2CDF">
        <w:t>taxpayer’s balance date.</w:t>
      </w:r>
      <w:bookmarkEnd w:id="16"/>
    </w:p>
    <w:p w:rsidR="00C70113" w:rsidRDefault="00C70113" w:rsidP="00B13C16"/>
    <w:p w:rsidR="00C70113" w:rsidRDefault="00C70113" w:rsidP="00B13C16"/>
    <w:p w:rsidR="00EB02F1" w:rsidRDefault="00EB02F1">
      <w:pPr>
        <w:jc w:val="left"/>
        <w:rPr>
          <w:b/>
          <w:snapToGrid w:val="0"/>
          <w:lang w:val="en-NZ" w:eastAsia="en-US"/>
        </w:rPr>
      </w:pPr>
      <w:r>
        <w:rPr>
          <w:b/>
        </w:rPr>
        <w:br w:type="page"/>
      </w:r>
    </w:p>
    <w:p w:rsidR="00676286" w:rsidRDefault="00676286" w:rsidP="00DB2E88">
      <w:r>
        <w:rPr>
          <w:noProof/>
          <w:lang w:val="en-NZ" w:eastAsia="en-NZ"/>
        </w:rPr>
        <w:lastRenderedPageBreak/>
        <mc:AlternateContent>
          <mc:Choice Requires="wps">
            <w:drawing>
              <wp:anchor distT="0" distB="0" distL="114300" distR="114300" simplePos="0" relativeHeight="251661312" behindDoc="0" locked="0" layoutInCell="1" allowOverlap="1" wp14:anchorId="4D808F51" wp14:editId="5806F728">
                <wp:simplePos x="0" y="0"/>
                <wp:positionH relativeFrom="column">
                  <wp:posOffset>-138439</wp:posOffset>
                </wp:positionH>
                <wp:positionV relativeFrom="paragraph">
                  <wp:posOffset>44186</wp:posOffset>
                </wp:positionV>
                <wp:extent cx="5670644" cy="3091218"/>
                <wp:effectExtent l="0" t="0" r="2540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644" cy="309121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9pt;margin-top:3.5pt;width:446.5pt;height:2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" filled="f" strokecolor="windowText">
                <v:path arrowok="t"/>
              </v:rect>
            </w:pict>
          </mc:Fallback>
        </mc:AlternateContent>
      </w:r>
    </w:p>
    <w:p w:rsidR="00C70113" w:rsidRPr="003A0ADC" w:rsidRDefault="00C70113" w:rsidP="00D7705B">
      <w:pPr>
        <w:pStyle w:val="Chapter3"/>
        <w:numPr>
          <w:ilvl w:val="0"/>
          <w:numId w:val="0"/>
        </w:numPr>
        <w:spacing w:after="160"/>
        <w:rPr>
          <w:b/>
          <w:sz w:val="20"/>
        </w:rPr>
      </w:pPr>
      <w:r w:rsidRPr="003A0ADC">
        <w:rPr>
          <w:b/>
          <w:sz w:val="20"/>
        </w:rPr>
        <w:t>Example 1</w:t>
      </w:r>
    </w:p>
    <w:p w:rsidR="00C70113" w:rsidRPr="003A0ADC" w:rsidRDefault="00C70113" w:rsidP="00D7705B">
      <w:pPr>
        <w:pStyle w:val="Chapter3"/>
        <w:numPr>
          <w:ilvl w:val="0"/>
          <w:numId w:val="0"/>
        </w:numPr>
        <w:spacing w:after="160"/>
        <w:rPr>
          <w:sz w:val="20"/>
        </w:rPr>
      </w:pPr>
      <w:r w:rsidRPr="003A0ADC">
        <w:rPr>
          <w:sz w:val="20"/>
        </w:rPr>
        <w:t>NZ Sub Ltd has a March balance date and is wholly owned by Aus</w:t>
      </w:r>
      <w:r w:rsidR="00E528F7" w:rsidRPr="003A0ADC">
        <w:rPr>
          <w:sz w:val="20"/>
        </w:rPr>
        <w:t xml:space="preserve"> Parent</w:t>
      </w:r>
      <w:r w:rsidRPr="003A0ADC">
        <w:rPr>
          <w:sz w:val="20"/>
        </w:rPr>
        <w:t xml:space="preserve"> Ltd.  On 1 April 2018 NZ Sub Ltd issues a </w:t>
      </w:r>
      <w:r w:rsidR="00F91742" w:rsidRPr="003A0ADC">
        <w:rPr>
          <w:sz w:val="20"/>
        </w:rPr>
        <w:t>five</w:t>
      </w:r>
      <w:r w:rsidRPr="003A0ADC">
        <w:rPr>
          <w:sz w:val="20"/>
        </w:rPr>
        <w:t xml:space="preserve"> year zero-coupon bond to Aus</w:t>
      </w:r>
      <w:r w:rsidR="00E528F7" w:rsidRPr="003A0ADC">
        <w:rPr>
          <w:sz w:val="20"/>
        </w:rPr>
        <w:t xml:space="preserve"> Parent</w:t>
      </w:r>
      <w:r w:rsidRPr="003A0ADC">
        <w:rPr>
          <w:sz w:val="20"/>
        </w:rPr>
        <w:t xml:space="preserve"> Ltd.  This bond has an issue price of $100 and a maturity v</w:t>
      </w:r>
      <w:r w:rsidR="00D02644">
        <w:rPr>
          <w:sz w:val="20"/>
        </w:rPr>
        <w:t>alue of $150 on 31 March 2023.</w:t>
      </w:r>
    </w:p>
    <w:p w:rsidR="00C70113" w:rsidRPr="003A0ADC" w:rsidRDefault="00431B77" w:rsidP="003A0ADC">
      <w:pPr>
        <w:pStyle w:val="Chapter3"/>
        <w:numPr>
          <w:ilvl w:val="0"/>
          <w:numId w:val="0"/>
        </w:numPr>
        <w:rPr>
          <w:sz w:val="20"/>
        </w:rPr>
      </w:pPr>
      <w:r w:rsidRPr="003A0ADC">
        <w:rPr>
          <w:sz w:val="20"/>
        </w:rPr>
        <w:t xml:space="preserve">In the year to 31 March 2019, no interest would arise under the traditional interest definition.  Accordingly, </w:t>
      </w:r>
      <w:r w:rsidR="00C70113" w:rsidRPr="003A0ADC">
        <w:rPr>
          <w:sz w:val="20"/>
        </w:rPr>
        <w:t>the difference between NR</w:t>
      </w:r>
      <w:r w:rsidR="009B6D39" w:rsidRPr="003A0ADC">
        <w:rPr>
          <w:sz w:val="20"/>
        </w:rPr>
        <w:t>P</w:t>
      </w:r>
      <w:r w:rsidR="00C70113" w:rsidRPr="003A0ADC">
        <w:rPr>
          <w:sz w:val="20"/>
        </w:rPr>
        <w:t xml:space="preserve">I from interest </w:t>
      </w:r>
      <w:r w:rsidR="00101350" w:rsidRPr="003A0ADC">
        <w:rPr>
          <w:sz w:val="20"/>
        </w:rPr>
        <w:t xml:space="preserve">payments </w:t>
      </w:r>
      <w:r w:rsidR="00C70113" w:rsidRPr="003A0ADC">
        <w:rPr>
          <w:sz w:val="20"/>
        </w:rPr>
        <w:t>and NR</w:t>
      </w:r>
      <w:r w:rsidR="009B6D39" w:rsidRPr="003A0ADC">
        <w:rPr>
          <w:sz w:val="20"/>
        </w:rPr>
        <w:t>P</w:t>
      </w:r>
      <w:r w:rsidR="00C70113" w:rsidRPr="003A0ADC">
        <w:rPr>
          <w:sz w:val="20"/>
        </w:rPr>
        <w:t xml:space="preserve">I from NRFAI using YTM is more than </w:t>
      </w:r>
      <w:r w:rsidR="0071586E" w:rsidRPr="003A0ADC">
        <w:rPr>
          <w:sz w:val="20"/>
        </w:rPr>
        <w:t>1</w:t>
      </w:r>
      <w:r w:rsidR="00C70113" w:rsidRPr="003A0ADC">
        <w:rPr>
          <w:sz w:val="20"/>
        </w:rPr>
        <w:t>0%</w:t>
      </w:r>
      <w:r w:rsidR="001A318D">
        <w:rPr>
          <w:sz w:val="20"/>
        </w:rPr>
        <w:t>.  A</w:t>
      </w:r>
      <w:r w:rsidRPr="003A0ADC">
        <w:rPr>
          <w:sz w:val="20"/>
        </w:rPr>
        <w:t>s</w:t>
      </w:r>
      <w:r w:rsidR="00C70113" w:rsidRPr="003A0ADC">
        <w:rPr>
          <w:sz w:val="20"/>
        </w:rPr>
        <w:t xml:space="preserve"> NZ Sub Ltd and Aus</w:t>
      </w:r>
      <w:r w:rsidR="00E528F7" w:rsidRPr="003A0ADC">
        <w:rPr>
          <w:sz w:val="20"/>
        </w:rPr>
        <w:t xml:space="preserve"> Parent</w:t>
      </w:r>
      <w:r w:rsidR="00C70113" w:rsidRPr="003A0ADC">
        <w:rPr>
          <w:sz w:val="20"/>
        </w:rPr>
        <w:t xml:space="preserve"> Ltd are ass</w:t>
      </w:r>
      <w:r w:rsidR="0071586E" w:rsidRPr="003A0ADC">
        <w:rPr>
          <w:sz w:val="20"/>
        </w:rPr>
        <w:t>ociated, the bond gives rise to</w:t>
      </w:r>
      <w:r w:rsidR="00C70113" w:rsidRPr="003A0ADC">
        <w:rPr>
          <w:sz w:val="20"/>
        </w:rPr>
        <w:t xml:space="preserve"> NRFAI.  NZ Sub Ltd’s March NRWT returns </w:t>
      </w:r>
      <w:r w:rsidR="00F91742" w:rsidRPr="003A0ADC">
        <w:rPr>
          <w:sz w:val="20"/>
        </w:rPr>
        <w:t xml:space="preserve">include </w:t>
      </w:r>
      <w:r w:rsidR="00C70113" w:rsidRPr="003A0ADC">
        <w:rPr>
          <w:sz w:val="20"/>
        </w:rPr>
        <w:t>the following amounts:</w:t>
      </w:r>
    </w:p>
    <w:p w:rsidR="00C70113" w:rsidRPr="003A0ADC" w:rsidRDefault="00C70113" w:rsidP="00C70113">
      <w:pPr>
        <w:pStyle w:val="Chapter3"/>
        <w:numPr>
          <w:ilvl w:val="0"/>
          <w:numId w:val="0"/>
        </w:numPr>
        <w:ind w:left="1702"/>
        <w:rPr>
          <w:sz w:val="2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667"/>
        <w:gridCol w:w="1178"/>
        <w:gridCol w:w="1179"/>
      </w:tblGrid>
      <w:tr w:rsidR="00C70113" w:rsidRPr="00C67C95" w:rsidTr="003A0ADC">
        <w:trPr>
          <w:jc w:val="center"/>
        </w:trPr>
        <w:tc>
          <w:tcPr>
            <w:tcW w:w="1667" w:type="dxa"/>
          </w:tcPr>
          <w:p w:rsidR="00C70113" w:rsidRPr="00C67C95" w:rsidRDefault="00145614" w:rsidP="0071586E">
            <w:pPr>
              <w:ind w:right="-17"/>
              <w:rPr>
                <w:b/>
                <w:sz w:val="18"/>
                <w:szCs w:val="18"/>
              </w:rPr>
            </w:pPr>
            <w:r>
              <w:rPr>
                <w:b/>
                <w:sz w:val="18"/>
                <w:szCs w:val="18"/>
              </w:rPr>
              <w:t>NRWT r</w:t>
            </w:r>
            <w:r w:rsidR="00C70113" w:rsidRPr="00C67C95">
              <w:rPr>
                <w:b/>
                <w:sz w:val="18"/>
                <w:szCs w:val="18"/>
              </w:rPr>
              <w:t>eturn</w:t>
            </w:r>
          </w:p>
        </w:tc>
        <w:tc>
          <w:tcPr>
            <w:tcW w:w="1178" w:type="dxa"/>
          </w:tcPr>
          <w:p w:rsidR="00C70113" w:rsidRPr="00C67C95" w:rsidRDefault="00C70113" w:rsidP="00702CF3">
            <w:pPr>
              <w:ind w:right="-17"/>
              <w:jc w:val="left"/>
              <w:rPr>
                <w:b/>
                <w:sz w:val="18"/>
                <w:szCs w:val="18"/>
              </w:rPr>
            </w:pPr>
            <w:r w:rsidRPr="00C67C95">
              <w:rPr>
                <w:b/>
                <w:sz w:val="18"/>
                <w:szCs w:val="18"/>
              </w:rPr>
              <w:t>NRFAI</w:t>
            </w:r>
          </w:p>
        </w:tc>
        <w:tc>
          <w:tcPr>
            <w:tcW w:w="1179" w:type="dxa"/>
          </w:tcPr>
          <w:p w:rsidR="00C70113" w:rsidRPr="00C67C95" w:rsidRDefault="00C70113" w:rsidP="00702CF3">
            <w:pPr>
              <w:ind w:right="-17"/>
              <w:jc w:val="left"/>
              <w:rPr>
                <w:b/>
                <w:sz w:val="18"/>
                <w:szCs w:val="18"/>
              </w:rPr>
            </w:pPr>
            <w:r w:rsidRPr="00C67C95">
              <w:rPr>
                <w:b/>
                <w:sz w:val="18"/>
                <w:szCs w:val="18"/>
              </w:rPr>
              <w:t>NRWT</w:t>
            </w:r>
          </w:p>
        </w:tc>
      </w:tr>
      <w:tr w:rsidR="00C70113" w:rsidRPr="00C67C95" w:rsidTr="003A0ADC">
        <w:trPr>
          <w:jc w:val="center"/>
        </w:trPr>
        <w:tc>
          <w:tcPr>
            <w:tcW w:w="1667" w:type="dxa"/>
          </w:tcPr>
          <w:p w:rsidR="00C70113" w:rsidRPr="00C67C95" w:rsidRDefault="00C70113" w:rsidP="0071586E">
            <w:pPr>
              <w:ind w:right="-17"/>
              <w:rPr>
                <w:sz w:val="18"/>
                <w:szCs w:val="18"/>
              </w:rPr>
            </w:pPr>
            <w:r w:rsidRPr="00C67C95">
              <w:rPr>
                <w:sz w:val="18"/>
                <w:szCs w:val="18"/>
              </w:rPr>
              <w:t>March 2019</w:t>
            </w:r>
          </w:p>
        </w:tc>
        <w:tc>
          <w:tcPr>
            <w:tcW w:w="1178" w:type="dxa"/>
          </w:tcPr>
          <w:p w:rsidR="00C70113" w:rsidRPr="00C67C95" w:rsidRDefault="00C70113" w:rsidP="00702CF3">
            <w:pPr>
              <w:ind w:right="-17"/>
              <w:rPr>
                <w:sz w:val="18"/>
                <w:szCs w:val="18"/>
              </w:rPr>
            </w:pPr>
            <w:r w:rsidRPr="00C67C95">
              <w:rPr>
                <w:sz w:val="18"/>
                <w:szCs w:val="18"/>
              </w:rPr>
              <w:t>$8.45</w:t>
            </w:r>
          </w:p>
        </w:tc>
        <w:tc>
          <w:tcPr>
            <w:tcW w:w="1179" w:type="dxa"/>
          </w:tcPr>
          <w:p w:rsidR="00C70113" w:rsidRPr="00C67C95" w:rsidRDefault="00C70113" w:rsidP="00702CF3">
            <w:pPr>
              <w:ind w:right="-17"/>
              <w:rPr>
                <w:sz w:val="18"/>
                <w:szCs w:val="18"/>
              </w:rPr>
            </w:pPr>
            <w:r w:rsidRPr="00C67C95">
              <w:rPr>
                <w:sz w:val="18"/>
                <w:szCs w:val="18"/>
              </w:rPr>
              <w:t>$0.85</w:t>
            </w:r>
          </w:p>
        </w:tc>
      </w:tr>
      <w:tr w:rsidR="00C70113" w:rsidRPr="00C67C95" w:rsidTr="003A0ADC">
        <w:trPr>
          <w:jc w:val="center"/>
        </w:trPr>
        <w:tc>
          <w:tcPr>
            <w:tcW w:w="1667" w:type="dxa"/>
          </w:tcPr>
          <w:p w:rsidR="00C70113" w:rsidRPr="00C67C95" w:rsidRDefault="00C70113" w:rsidP="0071586E">
            <w:pPr>
              <w:ind w:right="-17"/>
              <w:rPr>
                <w:sz w:val="18"/>
                <w:szCs w:val="18"/>
              </w:rPr>
            </w:pPr>
            <w:r w:rsidRPr="00C67C95">
              <w:rPr>
                <w:sz w:val="18"/>
                <w:szCs w:val="18"/>
              </w:rPr>
              <w:t>March 2020</w:t>
            </w:r>
          </w:p>
        </w:tc>
        <w:tc>
          <w:tcPr>
            <w:tcW w:w="1178" w:type="dxa"/>
          </w:tcPr>
          <w:p w:rsidR="00C70113" w:rsidRPr="00C67C95" w:rsidRDefault="00C70113" w:rsidP="00702CF3">
            <w:pPr>
              <w:ind w:right="-17"/>
              <w:rPr>
                <w:sz w:val="18"/>
                <w:szCs w:val="18"/>
              </w:rPr>
            </w:pPr>
            <w:r w:rsidRPr="00C67C95">
              <w:rPr>
                <w:sz w:val="18"/>
                <w:szCs w:val="18"/>
              </w:rPr>
              <w:t>$9.16</w:t>
            </w:r>
          </w:p>
        </w:tc>
        <w:tc>
          <w:tcPr>
            <w:tcW w:w="1179" w:type="dxa"/>
          </w:tcPr>
          <w:p w:rsidR="00C70113" w:rsidRPr="00C67C95" w:rsidRDefault="00C70113" w:rsidP="00702CF3">
            <w:pPr>
              <w:ind w:right="-17"/>
              <w:rPr>
                <w:sz w:val="18"/>
                <w:szCs w:val="18"/>
              </w:rPr>
            </w:pPr>
            <w:r w:rsidRPr="00C67C95">
              <w:rPr>
                <w:sz w:val="18"/>
                <w:szCs w:val="18"/>
              </w:rPr>
              <w:t>$0.92</w:t>
            </w:r>
          </w:p>
        </w:tc>
      </w:tr>
      <w:tr w:rsidR="00C70113" w:rsidRPr="00C67C95" w:rsidTr="003A0ADC">
        <w:trPr>
          <w:jc w:val="center"/>
        </w:trPr>
        <w:tc>
          <w:tcPr>
            <w:tcW w:w="1667" w:type="dxa"/>
          </w:tcPr>
          <w:p w:rsidR="00C70113" w:rsidRPr="00C67C95" w:rsidRDefault="00C70113" w:rsidP="0071586E">
            <w:pPr>
              <w:ind w:right="-17"/>
              <w:rPr>
                <w:sz w:val="18"/>
                <w:szCs w:val="18"/>
              </w:rPr>
            </w:pPr>
            <w:r w:rsidRPr="00C67C95">
              <w:rPr>
                <w:sz w:val="18"/>
                <w:szCs w:val="18"/>
              </w:rPr>
              <w:t>March 2021</w:t>
            </w:r>
          </w:p>
        </w:tc>
        <w:tc>
          <w:tcPr>
            <w:tcW w:w="1178" w:type="dxa"/>
          </w:tcPr>
          <w:p w:rsidR="00C70113" w:rsidRPr="00C67C95" w:rsidRDefault="00C70113" w:rsidP="00702CF3">
            <w:pPr>
              <w:ind w:right="-17"/>
              <w:rPr>
                <w:sz w:val="18"/>
                <w:szCs w:val="18"/>
              </w:rPr>
            </w:pPr>
            <w:r w:rsidRPr="00C67C95">
              <w:rPr>
                <w:sz w:val="18"/>
                <w:szCs w:val="18"/>
              </w:rPr>
              <w:t>$9.93</w:t>
            </w:r>
          </w:p>
        </w:tc>
        <w:tc>
          <w:tcPr>
            <w:tcW w:w="1179" w:type="dxa"/>
          </w:tcPr>
          <w:p w:rsidR="00C70113" w:rsidRPr="00C67C95" w:rsidRDefault="00C70113" w:rsidP="00702CF3">
            <w:pPr>
              <w:ind w:right="-17"/>
              <w:rPr>
                <w:sz w:val="18"/>
                <w:szCs w:val="18"/>
              </w:rPr>
            </w:pPr>
            <w:r w:rsidRPr="00C67C95">
              <w:rPr>
                <w:sz w:val="18"/>
                <w:szCs w:val="18"/>
              </w:rPr>
              <w:t>$0.99</w:t>
            </w:r>
          </w:p>
        </w:tc>
      </w:tr>
      <w:tr w:rsidR="00C70113" w:rsidRPr="00C67C95" w:rsidTr="003A0ADC">
        <w:trPr>
          <w:jc w:val="center"/>
        </w:trPr>
        <w:tc>
          <w:tcPr>
            <w:tcW w:w="1667" w:type="dxa"/>
          </w:tcPr>
          <w:p w:rsidR="00C70113" w:rsidRPr="00C67C95" w:rsidRDefault="00C70113" w:rsidP="0071586E">
            <w:pPr>
              <w:ind w:right="-17"/>
              <w:rPr>
                <w:sz w:val="18"/>
                <w:szCs w:val="18"/>
              </w:rPr>
            </w:pPr>
            <w:r w:rsidRPr="00C67C95">
              <w:rPr>
                <w:sz w:val="18"/>
                <w:szCs w:val="18"/>
              </w:rPr>
              <w:t>March 2022</w:t>
            </w:r>
          </w:p>
        </w:tc>
        <w:tc>
          <w:tcPr>
            <w:tcW w:w="1178" w:type="dxa"/>
          </w:tcPr>
          <w:p w:rsidR="00C70113" w:rsidRPr="00C67C95" w:rsidRDefault="00C70113" w:rsidP="00702CF3">
            <w:pPr>
              <w:ind w:right="-17"/>
              <w:rPr>
                <w:sz w:val="18"/>
                <w:szCs w:val="18"/>
              </w:rPr>
            </w:pPr>
            <w:r w:rsidRPr="00C67C95">
              <w:rPr>
                <w:sz w:val="18"/>
                <w:szCs w:val="18"/>
              </w:rPr>
              <w:t>$10.77</w:t>
            </w:r>
          </w:p>
        </w:tc>
        <w:tc>
          <w:tcPr>
            <w:tcW w:w="1179" w:type="dxa"/>
          </w:tcPr>
          <w:p w:rsidR="00C70113" w:rsidRPr="00C67C95" w:rsidRDefault="000A0E3B" w:rsidP="00702CF3">
            <w:pPr>
              <w:ind w:right="-17"/>
              <w:rPr>
                <w:sz w:val="18"/>
                <w:szCs w:val="18"/>
              </w:rPr>
            </w:pPr>
            <w:r w:rsidRPr="00C67C95">
              <w:rPr>
                <w:sz w:val="18"/>
                <w:szCs w:val="18"/>
              </w:rPr>
              <w:t>$1.08</w:t>
            </w:r>
          </w:p>
        </w:tc>
      </w:tr>
      <w:tr w:rsidR="00C70113" w:rsidRPr="00C67C95" w:rsidTr="003A0ADC">
        <w:trPr>
          <w:jc w:val="center"/>
        </w:trPr>
        <w:tc>
          <w:tcPr>
            <w:tcW w:w="1667" w:type="dxa"/>
          </w:tcPr>
          <w:p w:rsidR="00C70113" w:rsidRPr="00C67C95" w:rsidRDefault="00C70113" w:rsidP="0071586E">
            <w:pPr>
              <w:ind w:right="-17"/>
              <w:rPr>
                <w:sz w:val="18"/>
                <w:szCs w:val="18"/>
              </w:rPr>
            </w:pPr>
            <w:r w:rsidRPr="00C67C95">
              <w:rPr>
                <w:sz w:val="18"/>
                <w:szCs w:val="18"/>
              </w:rPr>
              <w:t>March 2023</w:t>
            </w:r>
          </w:p>
        </w:tc>
        <w:tc>
          <w:tcPr>
            <w:tcW w:w="1178" w:type="dxa"/>
          </w:tcPr>
          <w:p w:rsidR="00C70113" w:rsidRPr="00C67C95" w:rsidRDefault="00C70113" w:rsidP="00702CF3">
            <w:pPr>
              <w:ind w:right="-17"/>
              <w:rPr>
                <w:sz w:val="18"/>
                <w:szCs w:val="18"/>
              </w:rPr>
            </w:pPr>
            <w:r w:rsidRPr="00C67C95">
              <w:rPr>
                <w:sz w:val="18"/>
                <w:szCs w:val="18"/>
              </w:rPr>
              <w:t>$11.68</w:t>
            </w:r>
          </w:p>
        </w:tc>
        <w:tc>
          <w:tcPr>
            <w:tcW w:w="1179" w:type="dxa"/>
          </w:tcPr>
          <w:p w:rsidR="00C70113" w:rsidRPr="00C67C95" w:rsidRDefault="00C70113" w:rsidP="00702CF3">
            <w:pPr>
              <w:ind w:right="-17"/>
              <w:rPr>
                <w:sz w:val="18"/>
                <w:szCs w:val="18"/>
              </w:rPr>
            </w:pPr>
            <w:r w:rsidRPr="00C67C95">
              <w:rPr>
                <w:sz w:val="18"/>
                <w:szCs w:val="18"/>
              </w:rPr>
              <w:t>$1.17</w:t>
            </w:r>
          </w:p>
        </w:tc>
      </w:tr>
    </w:tbl>
    <w:p w:rsidR="00F66478" w:rsidRDefault="00F66478" w:rsidP="00DB2E88">
      <w:pPr>
        <w:rPr>
          <w:lang w:val="en-NZ"/>
        </w:rPr>
      </w:pPr>
    </w:p>
    <w:p w:rsidR="000D7EE3" w:rsidRDefault="000D7EE3" w:rsidP="0071586E">
      <w:pPr>
        <w:rPr>
          <w:lang w:val="en-NZ"/>
        </w:rPr>
      </w:pPr>
    </w:p>
    <w:p w:rsidR="0050561F" w:rsidRDefault="0050561F" w:rsidP="0071586E">
      <w:pPr>
        <w:rPr>
          <w:lang w:val="en-NZ"/>
        </w:rPr>
      </w:pPr>
    </w:p>
    <w:p w:rsidR="009A0023" w:rsidRPr="003A0ADC" w:rsidRDefault="009A0023" w:rsidP="003A0ADC">
      <w:pPr>
        <w:pStyle w:val="Heading2"/>
      </w:pPr>
      <w:r w:rsidRPr="003A0ADC">
        <w:t xml:space="preserve">Preventing double </w:t>
      </w:r>
      <w:r w:rsidR="00C25482" w:rsidRPr="003A0ADC">
        <w:t>N</w:t>
      </w:r>
      <w:r w:rsidR="001A38BA" w:rsidRPr="003A0ADC">
        <w:t xml:space="preserve">ew </w:t>
      </w:r>
      <w:r w:rsidR="00C25482" w:rsidRPr="003A0ADC">
        <w:t>Z</w:t>
      </w:r>
      <w:r w:rsidR="001A38BA" w:rsidRPr="003A0ADC">
        <w:t>ealand</w:t>
      </w:r>
      <w:r w:rsidR="00C25482" w:rsidRPr="003A0ADC">
        <w:t xml:space="preserve"> </w:t>
      </w:r>
      <w:r w:rsidRPr="003A0ADC">
        <w:t>taxation on interest payments</w:t>
      </w:r>
    </w:p>
    <w:p w:rsidR="008A5BEF" w:rsidRDefault="008A5BEF" w:rsidP="00632CC9"/>
    <w:p w:rsidR="00C63652" w:rsidRDefault="00C63652" w:rsidP="003A669D">
      <w:pPr>
        <w:pStyle w:val="Chapter3"/>
        <w:tabs>
          <w:tab w:val="clear" w:pos="1702"/>
        </w:tabs>
        <w:ind w:left="851"/>
      </w:pPr>
      <w:bookmarkStart w:id="17" w:name="_Ref415584130"/>
      <w:r>
        <w:t xml:space="preserve">To prevent a single amount of interest income being subject to NRWT twice </w:t>
      </w:r>
      <w:r w:rsidR="007854B4">
        <w:t xml:space="preserve">– first </w:t>
      </w:r>
      <w:r>
        <w:t>as NRFAI and again when a</w:t>
      </w:r>
      <w:r w:rsidR="007854B4">
        <w:t>n interest</w:t>
      </w:r>
      <w:r>
        <w:t xml:space="preserve"> payment under the current law is made</w:t>
      </w:r>
      <w:r w:rsidR="001A38BA">
        <w:t xml:space="preserve"> </w:t>
      </w:r>
      <w:r w:rsidR="007854B4">
        <w:t xml:space="preserve">– </w:t>
      </w:r>
      <w:r>
        <w:t>it will be necessary to have a carve</w:t>
      </w:r>
      <w:r w:rsidR="008725B4">
        <w:t>-</w:t>
      </w:r>
      <w:r>
        <w:t>out for certain payments that are currently subject to NRWT.</w:t>
      </w:r>
      <w:bookmarkEnd w:id="17"/>
    </w:p>
    <w:p w:rsidR="00C63652" w:rsidRDefault="00C63652" w:rsidP="00DB2E88"/>
    <w:p w:rsidR="00C63652" w:rsidRDefault="00F66478" w:rsidP="003A669D">
      <w:pPr>
        <w:pStyle w:val="Chapter3"/>
        <w:tabs>
          <w:tab w:val="clear" w:pos="1702"/>
        </w:tabs>
        <w:ind w:left="851"/>
      </w:pPr>
      <w:r>
        <w:t xml:space="preserve">The general rule will be that </w:t>
      </w:r>
      <w:r w:rsidR="00E75F25">
        <w:t xml:space="preserve">a </w:t>
      </w:r>
      <w:r>
        <w:t xml:space="preserve">taxpayer </w:t>
      </w:r>
      <w:r w:rsidR="00E75F25">
        <w:t xml:space="preserve">making a payment under an </w:t>
      </w:r>
      <w:r>
        <w:t>arrangement that generate</w:t>
      </w:r>
      <w:r w:rsidR="00E75F25">
        <w:t>s</w:t>
      </w:r>
      <w:r>
        <w:t xml:space="preserve"> NRFAI will not be required to withhold NRWT</w:t>
      </w:r>
      <w:r w:rsidR="00A86C53">
        <w:t xml:space="preserve"> </w:t>
      </w:r>
      <w:r w:rsidR="00E75F25">
        <w:t>from the payment</w:t>
      </w:r>
      <w:r w:rsidR="00A86C53">
        <w:t>.</w:t>
      </w:r>
    </w:p>
    <w:p w:rsidR="00710A81" w:rsidRDefault="00710A81" w:rsidP="00DB2E88"/>
    <w:p w:rsidR="00C364C6" w:rsidRDefault="00710A81" w:rsidP="00DB2E88">
      <w:r>
        <w:rPr>
          <w:noProof/>
          <w:lang w:val="en-NZ" w:eastAsia="en-NZ"/>
        </w:rPr>
        <mc:AlternateContent>
          <mc:Choice Requires="wps">
            <w:drawing>
              <wp:anchor distT="0" distB="0" distL="114300" distR="114300" simplePos="0" relativeHeight="251665408" behindDoc="0" locked="0" layoutInCell="1" allowOverlap="1" wp14:anchorId="364903E9" wp14:editId="2A27D498">
                <wp:simplePos x="0" y="0"/>
                <wp:positionH relativeFrom="column">
                  <wp:posOffset>-138439</wp:posOffset>
                </wp:positionH>
                <wp:positionV relativeFrom="paragraph">
                  <wp:posOffset>48971</wp:posOffset>
                </wp:positionV>
                <wp:extent cx="5670550" cy="3681654"/>
                <wp:effectExtent l="0" t="0" r="2540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0" cy="36816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9pt;margin-top:3.85pt;width:446.5pt;height:28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" filled="f" strokecolor="windowText">
                <v:path arrowok="t"/>
              </v:rect>
            </w:pict>
          </mc:Fallback>
        </mc:AlternateContent>
      </w:r>
    </w:p>
    <w:p w:rsidR="00C364C6" w:rsidRPr="003A0ADC" w:rsidRDefault="00C364C6" w:rsidP="00D7705B">
      <w:pPr>
        <w:pStyle w:val="Chapter3"/>
        <w:numPr>
          <w:ilvl w:val="0"/>
          <w:numId w:val="0"/>
        </w:numPr>
        <w:spacing w:after="160"/>
        <w:rPr>
          <w:b/>
          <w:sz w:val="20"/>
        </w:rPr>
      </w:pPr>
      <w:r w:rsidRPr="003A0ADC">
        <w:rPr>
          <w:b/>
          <w:sz w:val="20"/>
        </w:rPr>
        <w:t>Example 2</w:t>
      </w:r>
    </w:p>
    <w:p w:rsidR="00C364C6" w:rsidRPr="003A0ADC" w:rsidRDefault="00C364C6" w:rsidP="00D7705B">
      <w:pPr>
        <w:pStyle w:val="Chapter3"/>
        <w:numPr>
          <w:ilvl w:val="0"/>
          <w:numId w:val="0"/>
        </w:numPr>
        <w:spacing w:after="160"/>
        <w:rPr>
          <w:sz w:val="20"/>
        </w:rPr>
      </w:pPr>
      <w:r w:rsidRPr="003A0ADC">
        <w:rPr>
          <w:sz w:val="20"/>
        </w:rPr>
        <w:t>NZ Sub Ltd has a March balance date and is wholly owned by Aus</w:t>
      </w:r>
      <w:r w:rsidR="00E528F7" w:rsidRPr="003A0ADC">
        <w:rPr>
          <w:sz w:val="20"/>
        </w:rPr>
        <w:t xml:space="preserve"> Parent</w:t>
      </w:r>
      <w:r w:rsidRPr="003A0ADC">
        <w:rPr>
          <w:sz w:val="20"/>
        </w:rPr>
        <w:t xml:space="preserve"> Ltd.  On 1 April 2018 NZ Sub Ltd issues a </w:t>
      </w:r>
      <w:r w:rsidR="00F91742" w:rsidRPr="003A0ADC">
        <w:rPr>
          <w:sz w:val="20"/>
        </w:rPr>
        <w:t>five</w:t>
      </w:r>
      <w:r w:rsidRPr="003A0ADC">
        <w:rPr>
          <w:sz w:val="20"/>
        </w:rPr>
        <w:t xml:space="preserve"> year 5% annual coupon bond to Aus</w:t>
      </w:r>
      <w:r w:rsidR="00E528F7" w:rsidRPr="003A0ADC">
        <w:rPr>
          <w:sz w:val="20"/>
        </w:rPr>
        <w:t xml:space="preserve"> Parent</w:t>
      </w:r>
      <w:r w:rsidRPr="003A0ADC">
        <w:rPr>
          <w:sz w:val="20"/>
        </w:rPr>
        <w:t xml:space="preserve"> Ltd.  This bond has an issue price of $80 and a </w:t>
      </w:r>
      <w:r w:rsidR="00431B77" w:rsidRPr="003A0ADC">
        <w:rPr>
          <w:sz w:val="20"/>
        </w:rPr>
        <w:t>face</w:t>
      </w:r>
      <w:r w:rsidRPr="003A0ADC">
        <w:rPr>
          <w:sz w:val="20"/>
        </w:rPr>
        <w:t xml:space="preserve"> v</w:t>
      </w:r>
      <w:r w:rsidR="00D02644">
        <w:rPr>
          <w:sz w:val="20"/>
        </w:rPr>
        <w:t>alue of $100 on 31 March 2023.</w:t>
      </w:r>
    </w:p>
    <w:p w:rsidR="0001473F" w:rsidRPr="003A0ADC" w:rsidRDefault="00431B77" w:rsidP="00D7705B">
      <w:pPr>
        <w:pStyle w:val="Chapter3"/>
        <w:numPr>
          <w:ilvl w:val="0"/>
          <w:numId w:val="0"/>
        </w:numPr>
        <w:spacing w:after="160"/>
        <w:rPr>
          <w:sz w:val="20"/>
        </w:rPr>
      </w:pPr>
      <w:r w:rsidRPr="003A0ADC">
        <w:rPr>
          <w:sz w:val="20"/>
        </w:rPr>
        <w:t xml:space="preserve">In the year to 31 March 2019, the amount of interest under the traditional interest definition is $5, whereas the amount of financial arrangement income applying YTM is $8.26.  </w:t>
      </w:r>
      <w:r w:rsidR="00C364C6" w:rsidRPr="003A0ADC">
        <w:rPr>
          <w:sz w:val="20"/>
        </w:rPr>
        <w:t>As the difference between NR</w:t>
      </w:r>
      <w:r w:rsidR="009B6D39" w:rsidRPr="003A0ADC">
        <w:rPr>
          <w:sz w:val="20"/>
        </w:rPr>
        <w:t>P</w:t>
      </w:r>
      <w:r w:rsidR="00C364C6" w:rsidRPr="003A0ADC">
        <w:rPr>
          <w:sz w:val="20"/>
        </w:rPr>
        <w:t xml:space="preserve">I from interest </w:t>
      </w:r>
      <w:r w:rsidR="00101350" w:rsidRPr="003A0ADC">
        <w:rPr>
          <w:sz w:val="20"/>
        </w:rPr>
        <w:t xml:space="preserve">payments </w:t>
      </w:r>
      <w:r w:rsidR="00C364C6" w:rsidRPr="003A0ADC">
        <w:rPr>
          <w:sz w:val="20"/>
        </w:rPr>
        <w:t>and NR</w:t>
      </w:r>
      <w:r w:rsidR="009B6D39" w:rsidRPr="003A0ADC">
        <w:rPr>
          <w:sz w:val="20"/>
        </w:rPr>
        <w:t>P</w:t>
      </w:r>
      <w:r w:rsidR="00C364C6" w:rsidRPr="003A0ADC">
        <w:rPr>
          <w:sz w:val="20"/>
        </w:rPr>
        <w:t>I fro</w:t>
      </w:r>
      <w:r w:rsidR="00B70D06" w:rsidRPr="003A0ADC">
        <w:rPr>
          <w:sz w:val="20"/>
        </w:rPr>
        <w:t>m NRFAI using YTM is more than 1</w:t>
      </w:r>
      <w:r w:rsidR="00C364C6" w:rsidRPr="003A0ADC">
        <w:rPr>
          <w:sz w:val="20"/>
        </w:rPr>
        <w:t>0%, and NZ Sub Ltd and Aus</w:t>
      </w:r>
      <w:r w:rsidR="00E528F7" w:rsidRPr="003A0ADC">
        <w:rPr>
          <w:sz w:val="20"/>
        </w:rPr>
        <w:t xml:space="preserve"> Parent</w:t>
      </w:r>
      <w:r w:rsidR="00C364C6" w:rsidRPr="003A0ADC">
        <w:rPr>
          <w:sz w:val="20"/>
        </w:rPr>
        <w:t xml:space="preserve"> Ltd are associated, the bond gives rise to NRFAI.  </w:t>
      </w:r>
      <w:r w:rsidR="0001473F" w:rsidRPr="003A0ADC">
        <w:rPr>
          <w:sz w:val="20"/>
        </w:rPr>
        <w:t>NZ Sub Ltd is not required to withhold NRWT on the cash interest payments to Aus</w:t>
      </w:r>
      <w:r w:rsidR="00E528F7" w:rsidRPr="003A0ADC">
        <w:rPr>
          <w:sz w:val="20"/>
        </w:rPr>
        <w:t xml:space="preserve"> Parent</w:t>
      </w:r>
      <w:r w:rsidR="0001473F" w:rsidRPr="003A0ADC">
        <w:rPr>
          <w:sz w:val="20"/>
        </w:rPr>
        <w:t xml:space="preserve"> Ltd.</w:t>
      </w:r>
    </w:p>
    <w:p w:rsidR="00C364C6" w:rsidRPr="003A0ADC" w:rsidRDefault="00C364C6" w:rsidP="003A0ADC">
      <w:pPr>
        <w:pStyle w:val="Chapter3"/>
        <w:numPr>
          <w:ilvl w:val="0"/>
          <w:numId w:val="0"/>
        </w:numPr>
        <w:rPr>
          <w:sz w:val="20"/>
        </w:rPr>
      </w:pPr>
      <w:r w:rsidRPr="003A0ADC">
        <w:rPr>
          <w:sz w:val="20"/>
        </w:rPr>
        <w:t xml:space="preserve">NZ Sub Ltd’s March NRWT returns </w:t>
      </w:r>
      <w:r w:rsidR="00F91742" w:rsidRPr="003A0ADC">
        <w:rPr>
          <w:sz w:val="20"/>
        </w:rPr>
        <w:t>include</w:t>
      </w:r>
      <w:r w:rsidRPr="003A0ADC">
        <w:rPr>
          <w:sz w:val="20"/>
        </w:rPr>
        <w:t xml:space="preserve"> the following </w:t>
      </w:r>
      <w:r w:rsidR="00F91742" w:rsidRPr="003A0ADC">
        <w:rPr>
          <w:sz w:val="20"/>
        </w:rPr>
        <w:t>calculations</w:t>
      </w:r>
      <w:r w:rsidRPr="003A0ADC">
        <w:rPr>
          <w:sz w:val="20"/>
        </w:rPr>
        <w:t>:</w:t>
      </w:r>
    </w:p>
    <w:p w:rsidR="0001473F" w:rsidRDefault="0001473F" w:rsidP="0001473F">
      <w:pPr>
        <w:pStyle w:val="Chapter3"/>
        <w:numPr>
          <w:ilvl w:val="0"/>
          <w:numId w:val="0"/>
        </w:numPr>
        <w:ind w:left="851"/>
      </w:pPr>
    </w:p>
    <w:tbl>
      <w:tblPr>
        <w:tblStyle w:val="TableGrid"/>
        <w:tblW w:w="0" w:type="auto"/>
        <w:tblInd w:w="851" w:type="dxa"/>
        <w:tblLayout w:type="fixed"/>
        <w:tblCellMar>
          <w:top w:w="57" w:type="dxa"/>
          <w:left w:w="57" w:type="dxa"/>
          <w:bottom w:w="57" w:type="dxa"/>
          <w:right w:w="57" w:type="dxa"/>
        </w:tblCellMar>
        <w:tblLook w:val="04A0" w:firstRow="1" w:lastRow="0" w:firstColumn="1" w:lastColumn="0" w:noHBand="0" w:noVBand="1"/>
      </w:tblPr>
      <w:tblGrid>
        <w:gridCol w:w="1534"/>
        <w:gridCol w:w="1783"/>
        <w:gridCol w:w="1277"/>
        <w:gridCol w:w="1277"/>
        <w:gridCol w:w="1278"/>
      </w:tblGrid>
      <w:tr w:rsidR="0001473F" w:rsidRPr="00C67C95" w:rsidTr="00D7705B">
        <w:tc>
          <w:tcPr>
            <w:tcW w:w="1534" w:type="dxa"/>
          </w:tcPr>
          <w:p w:rsidR="0001473F" w:rsidRPr="00C67C95" w:rsidRDefault="0001473F" w:rsidP="003A0ADC">
            <w:pPr>
              <w:ind w:right="-17"/>
              <w:jc w:val="left"/>
              <w:rPr>
                <w:b/>
                <w:sz w:val="18"/>
                <w:szCs w:val="18"/>
              </w:rPr>
            </w:pPr>
            <w:r w:rsidRPr="00C67C95">
              <w:rPr>
                <w:b/>
                <w:sz w:val="18"/>
                <w:szCs w:val="18"/>
              </w:rPr>
              <w:t xml:space="preserve">NRWT </w:t>
            </w:r>
            <w:r w:rsidR="003A0ADC" w:rsidRPr="00C67C95">
              <w:rPr>
                <w:b/>
                <w:sz w:val="18"/>
                <w:szCs w:val="18"/>
              </w:rPr>
              <w:t>r</w:t>
            </w:r>
            <w:r w:rsidRPr="00C67C95">
              <w:rPr>
                <w:b/>
                <w:sz w:val="18"/>
                <w:szCs w:val="18"/>
              </w:rPr>
              <w:t>eturn</w:t>
            </w:r>
          </w:p>
        </w:tc>
        <w:tc>
          <w:tcPr>
            <w:tcW w:w="1783" w:type="dxa"/>
          </w:tcPr>
          <w:p w:rsidR="0001473F" w:rsidRPr="00C67C95" w:rsidRDefault="0001473F" w:rsidP="00702CF3">
            <w:pPr>
              <w:ind w:right="-17"/>
              <w:jc w:val="left"/>
              <w:rPr>
                <w:b/>
                <w:sz w:val="18"/>
                <w:szCs w:val="18"/>
              </w:rPr>
            </w:pPr>
            <w:r w:rsidRPr="00C67C95">
              <w:rPr>
                <w:b/>
                <w:sz w:val="18"/>
                <w:szCs w:val="18"/>
              </w:rPr>
              <w:t xml:space="preserve">Cash </w:t>
            </w:r>
            <w:r w:rsidR="007854B4" w:rsidRPr="00C67C95">
              <w:rPr>
                <w:b/>
                <w:sz w:val="18"/>
                <w:szCs w:val="18"/>
              </w:rPr>
              <w:t>interest</w:t>
            </w:r>
          </w:p>
        </w:tc>
        <w:tc>
          <w:tcPr>
            <w:tcW w:w="1277" w:type="dxa"/>
          </w:tcPr>
          <w:p w:rsidR="003A0ADC" w:rsidRPr="00C67C95" w:rsidRDefault="0001473F" w:rsidP="00702CF3">
            <w:pPr>
              <w:ind w:right="-17"/>
              <w:jc w:val="left"/>
              <w:rPr>
                <w:b/>
                <w:sz w:val="18"/>
                <w:szCs w:val="18"/>
              </w:rPr>
            </w:pPr>
            <w:r w:rsidRPr="00C67C95">
              <w:rPr>
                <w:b/>
                <w:sz w:val="18"/>
                <w:szCs w:val="18"/>
              </w:rPr>
              <w:t xml:space="preserve">NRWT on </w:t>
            </w:r>
          </w:p>
          <w:p w:rsidR="0001473F" w:rsidRPr="00C67C95" w:rsidRDefault="0001473F" w:rsidP="00702CF3">
            <w:pPr>
              <w:ind w:right="-17"/>
              <w:jc w:val="left"/>
              <w:rPr>
                <w:b/>
                <w:sz w:val="18"/>
                <w:szCs w:val="18"/>
              </w:rPr>
            </w:pPr>
            <w:r w:rsidRPr="00C67C95">
              <w:rPr>
                <w:b/>
                <w:sz w:val="18"/>
                <w:szCs w:val="18"/>
              </w:rPr>
              <w:t>cash interest</w:t>
            </w:r>
          </w:p>
        </w:tc>
        <w:tc>
          <w:tcPr>
            <w:tcW w:w="1277" w:type="dxa"/>
          </w:tcPr>
          <w:p w:rsidR="0001473F" w:rsidRPr="00C67C95" w:rsidRDefault="0001473F" w:rsidP="00702CF3">
            <w:pPr>
              <w:ind w:right="-17"/>
              <w:jc w:val="left"/>
              <w:rPr>
                <w:b/>
                <w:sz w:val="18"/>
                <w:szCs w:val="18"/>
              </w:rPr>
            </w:pPr>
            <w:r w:rsidRPr="00C67C95">
              <w:rPr>
                <w:b/>
                <w:sz w:val="18"/>
                <w:szCs w:val="18"/>
              </w:rPr>
              <w:t>NRFAI</w:t>
            </w:r>
          </w:p>
        </w:tc>
        <w:tc>
          <w:tcPr>
            <w:tcW w:w="1278" w:type="dxa"/>
          </w:tcPr>
          <w:p w:rsidR="0001473F" w:rsidRPr="00C67C95" w:rsidRDefault="0001473F" w:rsidP="00702CF3">
            <w:pPr>
              <w:ind w:right="-17"/>
              <w:jc w:val="left"/>
              <w:rPr>
                <w:b/>
                <w:sz w:val="18"/>
                <w:szCs w:val="18"/>
              </w:rPr>
            </w:pPr>
            <w:r w:rsidRPr="00C67C95">
              <w:rPr>
                <w:b/>
                <w:sz w:val="18"/>
                <w:szCs w:val="18"/>
              </w:rPr>
              <w:t>NRWT on NRFAI</w:t>
            </w:r>
          </w:p>
        </w:tc>
      </w:tr>
      <w:tr w:rsidR="0001473F" w:rsidRPr="00C67C95" w:rsidTr="00D7705B">
        <w:tc>
          <w:tcPr>
            <w:tcW w:w="1534" w:type="dxa"/>
          </w:tcPr>
          <w:p w:rsidR="0001473F" w:rsidRPr="00C67C95" w:rsidRDefault="0001473F" w:rsidP="0001473F">
            <w:pPr>
              <w:ind w:right="-17"/>
              <w:rPr>
                <w:sz w:val="18"/>
                <w:szCs w:val="18"/>
              </w:rPr>
            </w:pPr>
            <w:r w:rsidRPr="00C67C95">
              <w:rPr>
                <w:sz w:val="18"/>
                <w:szCs w:val="18"/>
              </w:rPr>
              <w:t>March 2019</w:t>
            </w:r>
          </w:p>
        </w:tc>
        <w:tc>
          <w:tcPr>
            <w:tcW w:w="1783" w:type="dxa"/>
          </w:tcPr>
          <w:p w:rsidR="0001473F" w:rsidRPr="00C67C95" w:rsidRDefault="0001473F" w:rsidP="0001473F">
            <w:pPr>
              <w:ind w:right="-17"/>
              <w:rPr>
                <w:sz w:val="18"/>
                <w:szCs w:val="18"/>
              </w:rPr>
            </w:pPr>
            <w:r w:rsidRPr="00C67C95">
              <w:rPr>
                <w:sz w:val="18"/>
                <w:szCs w:val="18"/>
              </w:rPr>
              <w:t>$5</w:t>
            </w:r>
          </w:p>
        </w:tc>
        <w:tc>
          <w:tcPr>
            <w:tcW w:w="1277" w:type="dxa"/>
          </w:tcPr>
          <w:p w:rsidR="0001473F" w:rsidRPr="00C67C95" w:rsidRDefault="0001473F" w:rsidP="0001473F">
            <w:pPr>
              <w:ind w:right="-17"/>
              <w:rPr>
                <w:sz w:val="18"/>
                <w:szCs w:val="18"/>
              </w:rPr>
            </w:pPr>
            <w:r w:rsidRPr="00C67C95">
              <w:rPr>
                <w:sz w:val="18"/>
                <w:szCs w:val="18"/>
              </w:rPr>
              <w:t>$0</w:t>
            </w:r>
          </w:p>
        </w:tc>
        <w:tc>
          <w:tcPr>
            <w:tcW w:w="1277" w:type="dxa"/>
          </w:tcPr>
          <w:p w:rsidR="0001473F" w:rsidRPr="00C67C95" w:rsidRDefault="000A0E3B" w:rsidP="00702CF3">
            <w:pPr>
              <w:ind w:right="-17"/>
              <w:rPr>
                <w:sz w:val="18"/>
                <w:szCs w:val="18"/>
              </w:rPr>
            </w:pPr>
            <w:r w:rsidRPr="00C67C95">
              <w:rPr>
                <w:sz w:val="18"/>
                <w:szCs w:val="18"/>
              </w:rPr>
              <w:t>$8.26</w:t>
            </w:r>
          </w:p>
        </w:tc>
        <w:tc>
          <w:tcPr>
            <w:tcW w:w="1278" w:type="dxa"/>
          </w:tcPr>
          <w:p w:rsidR="0001473F" w:rsidRPr="00C67C95" w:rsidRDefault="000A0E3B" w:rsidP="00702CF3">
            <w:pPr>
              <w:ind w:right="-17"/>
              <w:rPr>
                <w:sz w:val="18"/>
                <w:szCs w:val="18"/>
              </w:rPr>
            </w:pPr>
            <w:r w:rsidRPr="00C67C95">
              <w:rPr>
                <w:sz w:val="18"/>
                <w:szCs w:val="18"/>
              </w:rPr>
              <w:t>$0.83</w:t>
            </w:r>
          </w:p>
        </w:tc>
      </w:tr>
      <w:tr w:rsidR="0001473F" w:rsidRPr="00C67C95" w:rsidTr="00D7705B">
        <w:tc>
          <w:tcPr>
            <w:tcW w:w="1534" w:type="dxa"/>
          </w:tcPr>
          <w:p w:rsidR="0001473F" w:rsidRPr="00C67C95" w:rsidRDefault="0001473F" w:rsidP="0001473F">
            <w:pPr>
              <w:ind w:right="-17"/>
              <w:rPr>
                <w:sz w:val="18"/>
                <w:szCs w:val="18"/>
              </w:rPr>
            </w:pPr>
            <w:r w:rsidRPr="00C67C95">
              <w:rPr>
                <w:sz w:val="18"/>
                <w:szCs w:val="18"/>
              </w:rPr>
              <w:t>March 2020</w:t>
            </w:r>
          </w:p>
        </w:tc>
        <w:tc>
          <w:tcPr>
            <w:tcW w:w="1783" w:type="dxa"/>
          </w:tcPr>
          <w:p w:rsidR="0001473F" w:rsidRPr="00C67C95" w:rsidRDefault="0001473F" w:rsidP="0001473F">
            <w:pPr>
              <w:ind w:right="-17"/>
              <w:rPr>
                <w:sz w:val="18"/>
                <w:szCs w:val="18"/>
              </w:rPr>
            </w:pPr>
            <w:r w:rsidRPr="00C67C95">
              <w:rPr>
                <w:sz w:val="18"/>
                <w:szCs w:val="18"/>
              </w:rPr>
              <w:t>$5</w:t>
            </w:r>
          </w:p>
        </w:tc>
        <w:tc>
          <w:tcPr>
            <w:tcW w:w="1277" w:type="dxa"/>
          </w:tcPr>
          <w:p w:rsidR="0001473F" w:rsidRPr="00C67C95" w:rsidRDefault="0001473F" w:rsidP="0001473F">
            <w:pPr>
              <w:ind w:right="-17"/>
              <w:rPr>
                <w:sz w:val="18"/>
                <w:szCs w:val="18"/>
              </w:rPr>
            </w:pPr>
            <w:r w:rsidRPr="00C67C95">
              <w:rPr>
                <w:sz w:val="18"/>
                <w:szCs w:val="18"/>
              </w:rPr>
              <w:t>$0</w:t>
            </w:r>
          </w:p>
        </w:tc>
        <w:tc>
          <w:tcPr>
            <w:tcW w:w="1277" w:type="dxa"/>
          </w:tcPr>
          <w:p w:rsidR="0001473F" w:rsidRPr="00C67C95" w:rsidRDefault="000A0E3B" w:rsidP="00702CF3">
            <w:pPr>
              <w:ind w:right="-17"/>
              <w:rPr>
                <w:sz w:val="18"/>
                <w:szCs w:val="18"/>
              </w:rPr>
            </w:pPr>
            <w:r w:rsidRPr="00C67C95">
              <w:rPr>
                <w:sz w:val="18"/>
                <w:szCs w:val="18"/>
              </w:rPr>
              <w:t>$8.59</w:t>
            </w:r>
          </w:p>
        </w:tc>
        <w:tc>
          <w:tcPr>
            <w:tcW w:w="1278" w:type="dxa"/>
          </w:tcPr>
          <w:p w:rsidR="0001473F" w:rsidRPr="00C67C95" w:rsidRDefault="000A0E3B" w:rsidP="00702CF3">
            <w:pPr>
              <w:ind w:right="-17"/>
              <w:rPr>
                <w:sz w:val="18"/>
                <w:szCs w:val="18"/>
              </w:rPr>
            </w:pPr>
            <w:r w:rsidRPr="00C67C95">
              <w:rPr>
                <w:sz w:val="18"/>
                <w:szCs w:val="18"/>
              </w:rPr>
              <w:t>$0.86</w:t>
            </w:r>
          </w:p>
        </w:tc>
      </w:tr>
      <w:tr w:rsidR="0001473F" w:rsidRPr="00C67C95" w:rsidTr="00D7705B">
        <w:tc>
          <w:tcPr>
            <w:tcW w:w="1534" w:type="dxa"/>
          </w:tcPr>
          <w:p w:rsidR="0001473F" w:rsidRPr="00C67C95" w:rsidRDefault="0001473F" w:rsidP="0001473F">
            <w:pPr>
              <w:ind w:right="-17"/>
              <w:rPr>
                <w:sz w:val="18"/>
                <w:szCs w:val="18"/>
              </w:rPr>
            </w:pPr>
            <w:r w:rsidRPr="00C67C95">
              <w:rPr>
                <w:sz w:val="18"/>
                <w:szCs w:val="18"/>
              </w:rPr>
              <w:t>March 2021</w:t>
            </w:r>
          </w:p>
        </w:tc>
        <w:tc>
          <w:tcPr>
            <w:tcW w:w="1783" w:type="dxa"/>
          </w:tcPr>
          <w:p w:rsidR="0001473F" w:rsidRPr="00C67C95" w:rsidRDefault="0001473F" w:rsidP="0001473F">
            <w:pPr>
              <w:ind w:right="-17"/>
              <w:rPr>
                <w:sz w:val="18"/>
                <w:szCs w:val="18"/>
              </w:rPr>
            </w:pPr>
            <w:r w:rsidRPr="00C67C95">
              <w:rPr>
                <w:sz w:val="18"/>
                <w:szCs w:val="18"/>
              </w:rPr>
              <w:t>$5</w:t>
            </w:r>
          </w:p>
        </w:tc>
        <w:tc>
          <w:tcPr>
            <w:tcW w:w="1277" w:type="dxa"/>
          </w:tcPr>
          <w:p w:rsidR="0001473F" w:rsidRPr="00C67C95" w:rsidRDefault="0001473F" w:rsidP="0001473F">
            <w:pPr>
              <w:ind w:right="-17"/>
              <w:rPr>
                <w:sz w:val="18"/>
                <w:szCs w:val="18"/>
              </w:rPr>
            </w:pPr>
            <w:r w:rsidRPr="00C67C95">
              <w:rPr>
                <w:sz w:val="18"/>
                <w:szCs w:val="18"/>
              </w:rPr>
              <w:t>$0</w:t>
            </w:r>
          </w:p>
        </w:tc>
        <w:tc>
          <w:tcPr>
            <w:tcW w:w="1277" w:type="dxa"/>
          </w:tcPr>
          <w:p w:rsidR="0001473F" w:rsidRPr="00C67C95" w:rsidRDefault="000A0E3B" w:rsidP="00702CF3">
            <w:pPr>
              <w:ind w:right="-17"/>
              <w:rPr>
                <w:sz w:val="18"/>
                <w:szCs w:val="18"/>
              </w:rPr>
            </w:pPr>
            <w:r w:rsidRPr="00C67C95">
              <w:rPr>
                <w:sz w:val="18"/>
                <w:szCs w:val="18"/>
              </w:rPr>
              <w:t>$8.96</w:t>
            </w:r>
          </w:p>
        </w:tc>
        <w:tc>
          <w:tcPr>
            <w:tcW w:w="1278" w:type="dxa"/>
          </w:tcPr>
          <w:p w:rsidR="0001473F" w:rsidRPr="00C67C95" w:rsidRDefault="0001473F" w:rsidP="00702CF3">
            <w:pPr>
              <w:ind w:right="-17"/>
              <w:rPr>
                <w:sz w:val="18"/>
                <w:szCs w:val="18"/>
              </w:rPr>
            </w:pPr>
            <w:r w:rsidRPr="00C67C95">
              <w:rPr>
                <w:sz w:val="18"/>
                <w:szCs w:val="18"/>
              </w:rPr>
              <w:t>$0.90</w:t>
            </w:r>
          </w:p>
        </w:tc>
      </w:tr>
      <w:tr w:rsidR="0001473F" w:rsidRPr="00C67C95" w:rsidTr="00D7705B">
        <w:tc>
          <w:tcPr>
            <w:tcW w:w="1534" w:type="dxa"/>
          </w:tcPr>
          <w:p w:rsidR="0001473F" w:rsidRPr="00C67C95" w:rsidRDefault="0001473F" w:rsidP="0001473F">
            <w:pPr>
              <w:ind w:right="-17"/>
              <w:rPr>
                <w:sz w:val="18"/>
                <w:szCs w:val="18"/>
              </w:rPr>
            </w:pPr>
            <w:r w:rsidRPr="00C67C95">
              <w:rPr>
                <w:sz w:val="18"/>
                <w:szCs w:val="18"/>
              </w:rPr>
              <w:t>March 2022</w:t>
            </w:r>
          </w:p>
        </w:tc>
        <w:tc>
          <w:tcPr>
            <w:tcW w:w="1783" w:type="dxa"/>
          </w:tcPr>
          <w:p w:rsidR="0001473F" w:rsidRPr="00C67C95" w:rsidRDefault="0001473F" w:rsidP="0001473F">
            <w:pPr>
              <w:ind w:right="-17"/>
              <w:rPr>
                <w:sz w:val="18"/>
                <w:szCs w:val="18"/>
              </w:rPr>
            </w:pPr>
            <w:r w:rsidRPr="00C67C95">
              <w:rPr>
                <w:sz w:val="18"/>
                <w:szCs w:val="18"/>
              </w:rPr>
              <w:t>$5</w:t>
            </w:r>
          </w:p>
        </w:tc>
        <w:tc>
          <w:tcPr>
            <w:tcW w:w="1277" w:type="dxa"/>
          </w:tcPr>
          <w:p w:rsidR="0001473F" w:rsidRPr="00C67C95" w:rsidRDefault="0001473F" w:rsidP="0001473F">
            <w:pPr>
              <w:ind w:right="-17"/>
              <w:rPr>
                <w:sz w:val="18"/>
                <w:szCs w:val="18"/>
              </w:rPr>
            </w:pPr>
            <w:r w:rsidRPr="00C67C95">
              <w:rPr>
                <w:sz w:val="18"/>
                <w:szCs w:val="18"/>
              </w:rPr>
              <w:t>$0</w:t>
            </w:r>
          </w:p>
        </w:tc>
        <w:tc>
          <w:tcPr>
            <w:tcW w:w="1277" w:type="dxa"/>
          </w:tcPr>
          <w:p w:rsidR="0001473F" w:rsidRPr="00C67C95" w:rsidRDefault="000A0E3B" w:rsidP="00702CF3">
            <w:pPr>
              <w:ind w:right="-17"/>
              <w:rPr>
                <w:sz w:val="18"/>
                <w:szCs w:val="18"/>
              </w:rPr>
            </w:pPr>
            <w:r w:rsidRPr="00C67C95">
              <w:rPr>
                <w:sz w:val="18"/>
                <w:szCs w:val="18"/>
              </w:rPr>
              <w:t>$9.3</w:t>
            </w:r>
            <w:r w:rsidR="0001473F" w:rsidRPr="00C67C95">
              <w:rPr>
                <w:sz w:val="18"/>
                <w:szCs w:val="18"/>
              </w:rPr>
              <w:t>7</w:t>
            </w:r>
          </w:p>
        </w:tc>
        <w:tc>
          <w:tcPr>
            <w:tcW w:w="1278" w:type="dxa"/>
          </w:tcPr>
          <w:p w:rsidR="0001473F" w:rsidRPr="00C67C95" w:rsidRDefault="000A0E3B" w:rsidP="00702CF3">
            <w:pPr>
              <w:ind w:right="-17"/>
              <w:rPr>
                <w:sz w:val="18"/>
                <w:szCs w:val="18"/>
              </w:rPr>
            </w:pPr>
            <w:r w:rsidRPr="00C67C95">
              <w:rPr>
                <w:sz w:val="18"/>
                <w:szCs w:val="18"/>
              </w:rPr>
              <w:t>$0.94</w:t>
            </w:r>
          </w:p>
        </w:tc>
      </w:tr>
      <w:tr w:rsidR="0001473F" w:rsidRPr="00C67C95" w:rsidTr="00D7705B">
        <w:tc>
          <w:tcPr>
            <w:tcW w:w="1534" w:type="dxa"/>
          </w:tcPr>
          <w:p w:rsidR="0001473F" w:rsidRPr="00C67C95" w:rsidRDefault="0001473F" w:rsidP="0001473F">
            <w:pPr>
              <w:ind w:right="-17"/>
              <w:rPr>
                <w:sz w:val="18"/>
                <w:szCs w:val="18"/>
              </w:rPr>
            </w:pPr>
            <w:r w:rsidRPr="00C67C95">
              <w:rPr>
                <w:sz w:val="18"/>
                <w:szCs w:val="18"/>
              </w:rPr>
              <w:t>March 2023</w:t>
            </w:r>
          </w:p>
        </w:tc>
        <w:tc>
          <w:tcPr>
            <w:tcW w:w="1783" w:type="dxa"/>
          </w:tcPr>
          <w:p w:rsidR="0001473F" w:rsidRPr="00C67C95" w:rsidRDefault="0001473F" w:rsidP="00D7705B">
            <w:pPr>
              <w:ind w:right="-17"/>
              <w:rPr>
                <w:sz w:val="18"/>
                <w:szCs w:val="18"/>
              </w:rPr>
            </w:pPr>
            <w:r w:rsidRPr="00C67C95">
              <w:rPr>
                <w:sz w:val="18"/>
                <w:szCs w:val="18"/>
              </w:rPr>
              <w:t>$5 + $20 redemption</w:t>
            </w:r>
          </w:p>
        </w:tc>
        <w:tc>
          <w:tcPr>
            <w:tcW w:w="1277" w:type="dxa"/>
          </w:tcPr>
          <w:p w:rsidR="0001473F" w:rsidRPr="00C67C95" w:rsidRDefault="0001473F" w:rsidP="0001473F">
            <w:pPr>
              <w:ind w:right="-17"/>
              <w:rPr>
                <w:sz w:val="18"/>
                <w:szCs w:val="18"/>
              </w:rPr>
            </w:pPr>
            <w:r w:rsidRPr="00C67C95">
              <w:rPr>
                <w:sz w:val="18"/>
                <w:szCs w:val="18"/>
              </w:rPr>
              <w:t>$0</w:t>
            </w:r>
          </w:p>
        </w:tc>
        <w:tc>
          <w:tcPr>
            <w:tcW w:w="1277" w:type="dxa"/>
          </w:tcPr>
          <w:p w:rsidR="0001473F" w:rsidRPr="00C67C95" w:rsidRDefault="000A0E3B" w:rsidP="00702CF3">
            <w:pPr>
              <w:ind w:right="-17"/>
              <w:rPr>
                <w:sz w:val="18"/>
                <w:szCs w:val="18"/>
              </w:rPr>
            </w:pPr>
            <w:r w:rsidRPr="00C67C95">
              <w:rPr>
                <w:sz w:val="18"/>
                <w:szCs w:val="18"/>
              </w:rPr>
              <w:t>$9.82</w:t>
            </w:r>
          </w:p>
        </w:tc>
        <w:tc>
          <w:tcPr>
            <w:tcW w:w="1278" w:type="dxa"/>
          </w:tcPr>
          <w:p w:rsidR="0001473F" w:rsidRPr="00C67C95" w:rsidRDefault="000A0E3B" w:rsidP="00702CF3">
            <w:pPr>
              <w:ind w:right="-17"/>
              <w:rPr>
                <w:sz w:val="18"/>
                <w:szCs w:val="18"/>
              </w:rPr>
            </w:pPr>
            <w:r w:rsidRPr="00C67C95">
              <w:rPr>
                <w:sz w:val="18"/>
                <w:szCs w:val="18"/>
              </w:rPr>
              <w:t>$0.98</w:t>
            </w:r>
          </w:p>
        </w:tc>
      </w:tr>
    </w:tbl>
    <w:p w:rsidR="0001473F" w:rsidRDefault="0001473F" w:rsidP="00DB2E88"/>
    <w:p w:rsidR="00260FAE" w:rsidRPr="00710A81" w:rsidRDefault="00260FAE" w:rsidP="00710A81">
      <w:pPr>
        <w:pStyle w:val="Heading2"/>
      </w:pPr>
      <w:r w:rsidRPr="00710A81">
        <w:lastRenderedPageBreak/>
        <w:t>Effect on obligations to the lender</w:t>
      </w:r>
    </w:p>
    <w:p w:rsidR="00CB14C8" w:rsidRPr="00E07414" w:rsidRDefault="00CB14C8" w:rsidP="00DB2E88"/>
    <w:p w:rsidR="00DD6EB7" w:rsidRDefault="008403D7" w:rsidP="0001473F">
      <w:pPr>
        <w:pStyle w:val="Chapter3"/>
        <w:tabs>
          <w:tab w:val="clear" w:pos="1702"/>
        </w:tabs>
        <w:ind w:left="851"/>
      </w:pPr>
      <w:bookmarkStart w:id="18" w:name="_Ref415499045"/>
      <w:r>
        <w:t xml:space="preserve">When a person withholds tax from </w:t>
      </w:r>
      <w:r w:rsidR="00676D83">
        <w:t xml:space="preserve">a </w:t>
      </w:r>
      <w:r>
        <w:t xml:space="preserve">payment it is treated as received by the </w:t>
      </w:r>
      <w:r w:rsidR="00006BA2">
        <w:t>payee</w:t>
      </w:r>
      <w:r>
        <w:t xml:space="preserve"> </w:t>
      </w:r>
      <w:r w:rsidR="00676D83">
        <w:t xml:space="preserve">under section </w:t>
      </w:r>
      <w:r w:rsidR="00A03601">
        <w:t>RA 9</w:t>
      </w:r>
      <w:r w:rsidR="00676D83">
        <w:t xml:space="preserve">.  This is necessary so the payer can withhold the amount of tax while still fulfilling their payment obligation under the arrangement.  </w:t>
      </w:r>
      <w:r w:rsidR="00260FAE">
        <w:t xml:space="preserve">Where a borrower under </w:t>
      </w:r>
      <w:r w:rsidR="00676D83">
        <w:t xml:space="preserve">an arrangement that generates NRFAI </w:t>
      </w:r>
      <w:r w:rsidR="00260FAE">
        <w:t>pays NRWT on that NRFAI, the borrower will need to determine how to make allowance for that payment in terms of its obligations to the lender.  In many cases, the borrower might take account of the payment of NRWT on NRFAI by reducing its next interest payment to the lender.  Since the parties will by definition be related, this should be able to be dealt with between them.</w:t>
      </w:r>
      <w:bookmarkEnd w:id="18"/>
    </w:p>
    <w:p w:rsidR="00710A81" w:rsidRDefault="00710A81" w:rsidP="00DB2E88"/>
    <w:p w:rsidR="00710A81" w:rsidRDefault="00710A81" w:rsidP="00DB2E88">
      <w:r w:rsidRPr="00710A81">
        <w:rPr>
          <w:noProof/>
          <w:sz w:val="20"/>
          <w:lang w:val="en-NZ" w:eastAsia="en-NZ"/>
        </w:rPr>
        <mc:AlternateContent>
          <mc:Choice Requires="wps">
            <w:drawing>
              <wp:anchor distT="0" distB="0" distL="114300" distR="114300" simplePos="0" relativeHeight="251667456" behindDoc="0" locked="0" layoutInCell="1" allowOverlap="1" wp14:anchorId="48032925" wp14:editId="3C4E4DA7">
                <wp:simplePos x="0" y="0"/>
                <wp:positionH relativeFrom="column">
                  <wp:posOffset>-133985</wp:posOffset>
                </wp:positionH>
                <wp:positionV relativeFrom="paragraph">
                  <wp:posOffset>40640</wp:posOffset>
                </wp:positionV>
                <wp:extent cx="5661025" cy="7194550"/>
                <wp:effectExtent l="0" t="0" r="1587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025" cy="7194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55pt;margin-top:3.2pt;width:445.7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" filled="f" strokecolor="windowText">
                <v:path arrowok="t"/>
              </v:rect>
            </w:pict>
          </mc:Fallback>
        </mc:AlternateContent>
      </w:r>
    </w:p>
    <w:p w:rsidR="0001473F" w:rsidRPr="00710A81" w:rsidRDefault="0001473F" w:rsidP="00710A81">
      <w:pPr>
        <w:spacing w:after="120"/>
        <w:jc w:val="left"/>
        <w:rPr>
          <w:b/>
          <w:sz w:val="20"/>
        </w:rPr>
      </w:pPr>
      <w:r w:rsidRPr="00710A81">
        <w:rPr>
          <w:b/>
          <w:sz w:val="20"/>
        </w:rPr>
        <w:t>Example 3</w:t>
      </w:r>
    </w:p>
    <w:p w:rsidR="0050719E" w:rsidRPr="00710A81" w:rsidRDefault="0050719E" w:rsidP="00C67C95">
      <w:pPr>
        <w:pStyle w:val="Chapter3"/>
        <w:numPr>
          <w:ilvl w:val="0"/>
          <w:numId w:val="0"/>
        </w:numPr>
        <w:spacing w:after="200"/>
        <w:rPr>
          <w:sz w:val="20"/>
        </w:rPr>
      </w:pPr>
      <w:r w:rsidRPr="00710A81">
        <w:rPr>
          <w:sz w:val="20"/>
        </w:rPr>
        <w:t>For the bond referred to in example 2</w:t>
      </w:r>
      <w:r w:rsidR="001C411D" w:rsidRPr="00710A81">
        <w:rPr>
          <w:sz w:val="20"/>
        </w:rPr>
        <w:t>,</w:t>
      </w:r>
      <w:r w:rsidRPr="00710A81">
        <w:rPr>
          <w:sz w:val="20"/>
        </w:rPr>
        <w:t xml:space="preserve"> NZ Sub Ltd has the following obligations under the current NRWT rules:</w:t>
      </w:r>
    </w:p>
    <w:tbl>
      <w:tblPr>
        <w:tblStyle w:val="TableGrid"/>
        <w:tblW w:w="7806" w:type="dxa"/>
        <w:jc w:val="center"/>
        <w:tblInd w:w="-1043" w:type="dxa"/>
        <w:tblLayout w:type="fixed"/>
        <w:tblCellMar>
          <w:top w:w="57" w:type="dxa"/>
          <w:left w:w="57" w:type="dxa"/>
          <w:bottom w:w="57" w:type="dxa"/>
          <w:right w:w="57" w:type="dxa"/>
        </w:tblCellMar>
        <w:tblLook w:val="04A0" w:firstRow="1" w:lastRow="0" w:firstColumn="1" w:lastColumn="0" w:noHBand="0" w:noVBand="1"/>
      </w:tblPr>
      <w:tblGrid>
        <w:gridCol w:w="1711"/>
        <w:gridCol w:w="1765"/>
        <w:gridCol w:w="1637"/>
        <w:gridCol w:w="2693"/>
      </w:tblGrid>
      <w:tr w:rsidR="00FC0761" w:rsidRPr="00C67C95" w:rsidTr="006A2C9E">
        <w:trPr>
          <w:jc w:val="center"/>
        </w:trPr>
        <w:tc>
          <w:tcPr>
            <w:tcW w:w="1711" w:type="dxa"/>
          </w:tcPr>
          <w:p w:rsidR="00FC0761" w:rsidRPr="00C67C95" w:rsidRDefault="00FC0761" w:rsidP="00710A81">
            <w:pPr>
              <w:ind w:right="-17"/>
              <w:rPr>
                <w:b/>
                <w:sz w:val="18"/>
                <w:szCs w:val="18"/>
              </w:rPr>
            </w:pPr>
            <w:r w:rsidRPr="00C67C95">
              <w:rPr>
                <w:b/>
                <w:sz w:val="18"/>
                <w:szCs w:val="18"/>
              </w:rPr>
              <w:t>Month</w:t>
            </w:r>
          </w:p>
        </w:tc>
        <w:tc>
          <w:tcPr>
            <w:tcW w:w="1765" w:type="dxa"/>
          </w:tcPr>
          <w:p w:rsidR="00FC0761" w:rsidRPr="00C67C95" w:rsidRDefault="00FC0761" w:rsidP="00702CF3">
            <w:pPr>
              <w:ind w:right="-17"/>
              <w:jc w:val="left"/>
              <w:rPr>
                <w:b/>
                <w:sz w:val="18"/>
                <w:szCs w:val="18"/>
              </w:rPr>
            </w:pPr>
            <w:r w:rsidRPr="00C67C95">
              <w:rPr>
                <w:b/>
                <w:sz w:val="18"/>
                <w:szCs w:val="18"/>
              </w:rPr>
              <w:t>Cash outlay by NZ Sub Ltd</w:t>
            </w:r>
          </w:p>
        </w:tc>
        <w:tc>
          <w:tcPr>
            <w:tcW w:w="1637" w:type="dxa"/>
          </w:tcPr>
          <w:p w:rsidR="00FC0761" w:rsidRPr="00C67C95" w:rsidRDefault="00FC0761" w:rsidP="00702CF3">
            <w:pPr>
              <w:ind w:right="-17"/>
              <w:jc w:val="left"/>
              <w:rPr>
                <w:b/>
                <w:sz w:val="18"/>
                <w:szCs w:val="18"/>
              </w:rPr>
            </w:pPr>
            <w:r w:rsidRPr="00C67C95">
              <w:rPr>
                <w:b/>
                <w:sz w:val="18"/>
                <w:szCs w:val="18"/>
              </w:rPr>
              <w:t>NRWT on interest</w:t>
            </w:r>
          </w:p>
        </w:tc>
        <w:tc>
          <w:tcPr>
            <w:tcW w:w="2693" w:type="dxa"/>
          </w:tcPr>
          <w:p w:rsidR="00FC0761" w:rsidRPr="00C67C95" w:rsidRDefault="00FC0761" w:rsidP="00702CF3">
            <w:pPr>
              <w:ind w:right="-17"/>
              <w:jc w:val="left"/>
              <w:rPr>
                <w:b/>
                <w:sz w:val="18"/>
                <w:szCs w:val="18"/>
              </w:rPr>
            </w:pPr>
            <w:r w:rsidRPr="00C67C95">
              <w:rPr>
                <w:b/>
                <w:sz w:val="18"/>
                <w:szCs w:val="18"/>
              </w:rPr>
              <w:t>Cash interest to Aus Parent Ltd</w:t>
            </w:r>
          </w:p>
        </w:tc>
      </w:tr>
      <w:tr w:rsidR="00FC0761" w:rsidRPr="00C67C95" w:rsidTr="006A2C9E">
        <w:trPr>
          <w:jc w:val="center"/>
        </w:trPr>
        <w:tc>
          <w:tcPr>
            <w:tcW w:w="1711" w:type="dxa"/>
          </w:tcPr>
          <w:p w:rsidR="00FC0761" w:rsidRPr="00C67C95" w:rsidRDefault="00FC0761" w:rsidP="00710A81">
            <w:pPr>
              <w:ind w:right="-17"/>
              <w:rPr>
                <w:sz w:val="18"/>
                <w:szCs w:val="18"/>
              </w:rPr>
            </w:pPr>
            <w:r w:rsidRPr="00C67C95">
              <w:rPr>
                <w:sz w:val="18"/>
                <w:szCs w:val="18"/>
              </w:rPr>
              <w:t>March 2019</w:t>
            </w:r>
          </w:p>
        </w:tc>
        <w:tc>
          <w:tcPr>
            <w:tcW w:w="1765" w:type="dxa"/>
          </w:tcPr>
          <w:p w:rsidR="00FC0761" w:rsidRPr="00C67C95" w:rsidRDefault="00FC0761" w:rsidP="00C67C95">
            <w:pPr>
              <w:ind w:right="-17"/>
              <w:jc w:val="left"/>
              <w:rPr>
                <w:sz w:val="18"/>
                <w:szCs w:val="18"/>
              </w:rPr>
            </w:pPr>
            <w:r w:rsidRPr="00C67C95">
              <w:rPr>
                <w:sz w:val="18"/>
                <w:szCs w:val="18"/>
              </w:rPr>
              <w:t>$5</w:t>
            </w:r>
          </w:p>
        </w:tc>
        <w:tc>
          <w:tcPr>
            <w:tcW w:w="1637" w:type="dxa"/>
          </w:tcPr>
          <w:p w:rsidR="00FC0761" w:rsidRPr="00C67C95" w:rsidRDefault="00FC0761" w:rsidP="00C67C95">
            <w:pPr>
              <w:ind w:right="-17"/>
              <w:jc w:val="left"/>
              <w:rPr>
                <w:sz w:val="18"/>
                <w:szCs w:val="18"/>
              </w:rPr>
            </w:pPr>
            <w:r w:rsidRPr="00C67C95">
              <w:rPr>
                <w:sz w:val="18"/>
                <w:szCs w:val="18"/>
              </w:rPr>
              <w:t>$0.50</w:t>
            </w:r>
          </w:p>
        </w:tc>
        <w:tc>
          <w:tcPr>
            <w:tcW w:w="2693" w:type="dxa"/>
          </w:tcPr>
          <w:p w:rsidR="00FC0761" w:rsidRPr="00C67C95" w:rsidRDefault="00FC0761" w:rsidP="00C67C95">
            <w:pPr>
              <w:ind w:right="-17"/>
              <w:jc w:val="left"/>
              <w:rPr>
                <w:sz w:val="18"/>
                <w:szCs w:val="18"/>
              </w:rPr>
            </w:pPr>
            <w:r w:rsidRPr="00C67C95">
              <w:rPr>
                <w:sz w:val="18"/>
                <w:szCs w:val="18"/>
              </w:rPr>
              <w:t>$4.50</w:t>
            </w:r>
          </w:p>
        </w:tc>
      </w:tr>
      <w:tr w:rsidR="00FC0761" w:rsidRPr="00C67C95" w:rsidTr="006A2C9E">
        <w:trPr>
          <w:jc w:val="center"/>
        </w:trPr>
        <w:tc>
          <w:tcPr>
            <w:tcW w:w="1711" w:type="dxa"/>
          </w:tcPr>
          <w:p w:rsidR="00FC0761" w:rsidRPr="00C67C95" w:rsidRDefault="00FC0761" w:rsidP="00710A81">
            <w:pPr>
              <w:ind w:right="-17"/>
              <w:rPr>
                <w:sz w:val="18"/>
                <w:szCs w:val="18"/>
              </w:rPr>
            </w:pPr>
            <w:r w:rsidRPr="00C67C95">
              <w:rPr>
                <w:sz w:val="18"/>
                <w:szCs w:val="18"/>
              </w:rPr>
              <w:t>March 2020</w:t>
            </w:r>
          </w:p>
        </w:tc>
        <w:tc>
          <w:tcPr>
            <w:tcW w:w="1765" w:type="dxa"/>
          </w:tcPr>
          <w:p w:rsidR="00FC0761" w:rsidRPr="00C67C95" w:rsidRDefault="00FC0761" w:rsidP="00C67C95">
            <w:pPr>
              <w:ind w:right="-17"/>
              <w:jc w:val="left"/>
              <w:rPr>
                <w:sz w:val="18"/>
                <w:szCs w:val="18"/>
              </w:rPr>
            </w:pPr>
            <w:r w:rsidRPr="00C67C95">
              <w:rPr>
                <w:sz w:val="18"/>
                <w:szCs w:val="18"/>
              </w:rPr>
              <w:t>$5</w:t>
            </w:r>
          </w:p>
        </w:tc>
        <w:tc>
          <w:tcPr>
            <w:tcW w:w="1637" w:type="dxa"/>
          </w:tcPr>
          <w:p w:rsidR="00FC0761" w:rsidRPr="00C67C95" w:rsidRDefault="00FC0761" w:rsidP="00C67C95">
            <w:pPr>
              <w:ind w:right="-17"/>
              <w:jc w:val="left"/>
              <w:rPr>
                <w:sz w:val="18"/>
                <w:szCs w:val="18"/>
              </w:rPr>
            </w:pPr>
            <w:r w:rsidRPr="00C67C95">
              <w:rPr>
                <w:sz w:val="18"/>
                <w:szCs w:val="18"/>
              </w:rPr>
              <w:t>$0.50</w:t>
            </w:r>
          </w:p>
        </w:tc>
        <w:tc>
          <w:tcPr>
            <w:tcW w:w="2693" w:type="dxa"/>
          </w:tcPr>
          <w:p w:rsidR="00FC0761" w:rsidRPr="00C67C95" w:rsidRDefault="00FC0761" w:rsidP="00C67C95">
            <w:pPr>
              <w:ind w:right="-17"/>
              <w:jc w:val="left"/>
              <w:rPr>
                <w:sz w:val="18"/>
                <w:szCs w:val="18"/>
              </w:rPr>
            </w:pPr>
            <w:r w:rsidRPr="00C67C95">
              <w:rPr>
                <w:sz w:val="18"/>
                <w:szCs w:val="18"/>
              </w:rPr>
              <w:t>$4.50</w:t>
            </w:r>
          </w:p>
        </w:tc>
      </w:tr>
      <w:tr w:rsidR="00FC0761" w:rsidRPr="00C67C95" w:rsidTr="006A2C9E">
        <w:trPr>
          <w:jc w:val="center"/>
        </w:trPr>
        <w:tc>
          <w:tcPr>
            <w:tcW w:w="1711" w:type="dxa"/>
          </w:tcPr>
          <w:p w:rsidR="00FC0761" w:rsidRPr="00C67C95" w:rsidRDefault="00FC0761" w:rsidP="00710A81">
            <w:pPr>
              <w:ind w:right="-17"/>
              <w:rPr>
                <w:sz w:val="18"/>
                <w:szCs w:val="18"/>
              </w:rPr>
            </w:pPr>
            <w:r w:rsidRPr="00C67C95">
              <w:rPr>
                <w:sz w:val="18"/>
                <w:szCs w:val="18"/>
              </w:rPr>
              <w:t>March 2021</w:t>
            </w:r>
          </w:p>
        </w:tc>
        <w:tc>
          <w:tcPr>
            <w:tcW w:w="1765" w:type="dxa"/>
          </w:tcPr>
          <w:p w:rsidR="00FC0761" w:rsidRPr="00C67C95" w:rsidRDefault="00FC0761" w:rsidP="00C67C95">
            <w:pPr>
              <w:ind w:right="-17"/>
              <w:jc w:val="left"/>
              <w:rPr>
                <w:sz w:val="18"/>
                <w:szCs w:val="18"/>
              </w:rPr>
            </w:pPr>
            <w:r w:rsidRPr="00C67C95">
              <w:rPr>
                <w:sz w:val="18"/>
                <w:szCs w:val="18"/>
              </w:rPr>
              <w:t>$5</w:t>
            </w:r>
          </w:p>
        </w:tc>
        <w:tc>
          <w:tcPr>
            <w:tcW w:w="1637" w:type="dxa"/>
          </w:tcPr>
          <w:p w:rsidR="00FC0761" w:rsidRPr="00C67C95" w:rsidRDefault="00FC0761" w:rsidP="00C67C95">
            <w:pPr>
              <w:ind w:right="-17"/>
              <w:jc w:val="left"/>
              <w:rPr>
                <w:sz w:val="18"/>
                <w:szCs w:val="18"/>
              </w:rPr>
            </w:pPr>
            <w:r w:rsidRPr="00C67C95">
              <w:rPr>
                <w:sz w:val="18"/>
                <w:szCs w:val="18"/>
              </w:rPr>
              <w:t>$0.50</w:t>
            </w:r>
          </w:p>
        </w:tc>
        <w:tc>
          <w:tcPr>
            <w:tcW w:w="2693" w:type="dxa"/>
          </w:tcPr>
          <w:p w:rsidR="00FC0761" w:rsidRPr="00C67C95" w:rsidRDefault="00FC0761" w:rsidP="00C67C95">
            <w:pPr>
              <w:ind w:right="-17"/>
              <w:jc w:val="left"/>
              <w:rPr>
                <w:sz w:val="18"/>
                <w:szCs w:val="18"/>
              </w:rPr>
            </w:pPr>
            <w:r w:rsidRPr="00C67C95">
              <w:rPr>
                <w:sz w:val="18"/>
                <w:szCs w:val="18"/>
              </w:rPr>
              <w:t>$4.50</w:t>
            </w:r>
          </w:p>
        </w:tc>
      </w:tr>
      <w:tr w:rsidR="00FC0761" w:rsidRPr="00C67C95" w:rsidTr="006A2C9E">
        <w:trPr>
          <w:jc w:val="center"/>
        </w:trPr>
        <w:tc>
          <w:tcPr>
            <w:tcW w:w="1711" w:type="dxa"/>
          </w:tcPr>
          <w:p w:rsidR="00FC0761" w:rsidRPr="00C67C95" w:rsidRDefault="00FC0761" w:rsidP="00710A81">
            <w:pPr>
              <w:ind w:right="-17"/>
              <w:rPr>
                <w:sz w:val="18"/>
                <w:szCs w:val="18"/>
              </w:rPr>
            </w:pPr>
            <w:r w:rsidRPr="00C67C95">
              <w:rPr>
                <w:sz w:val="18"/>
                <w:szCs w:val="18"/>
              </w:rPr>
              <w:t>March 2022</w:t>
            </w:r>
          </w:p>
        </w:tc>
        <w:tc>
          <w:tcPr>
            <w:tcW w:w="1765" w:type="dxa"/>
          </w:tcPr>
          <w:p w:rsidR="00FC0761" w:rsidRPr="00C67C95" w:rsidRDefault="00FC0761" w:rsidP="00C67C95">
            <w:pPr>
              <w:ind w:right="-17"/>
              <w:jc w:val="left"/>
              <w:rPr>
                <w:sz w:val="18"/>
                <w:szCs w:val="18"/>
              </w:rPr>
            </w:pPr>
            <w:r w:rsidRPr="00C67C95">
              <w:rPr>
                <w:sz w:val="18"/>
                <w:szCs w:val="18"/>
              </w:rPr>
              <w:t>$5</w:t>
            </w:r>
          </w:p>
        </w:tc>
        <w:tc>
          <w:tcPr>
            <w:tcW w:w="1637" w:type="dxa"/>
          </w:tcPr>
          <w:p w:rsidR="00FC0761" w:rsidRPr="00C67C95" w:rsidRDefault="00FC0761" w:rsidP="00C67C95">
            <w:pPr>
              <w:ind w:right="-17"/>
              <w:jc w:val="left"/>
              <w:rPr>
                <w:sz w:val="18"/>
                <w:szCs w:val="18"/>
              </w:rPr>
            </w:pPr>
            <w:r w:rsidRPr="00C67C95">
              <w:rPr>
                <w:sz w:val="18"/>
                <w:szCs w:val="18"/>
              </w:rPr>
              <w:t>$0.50</w:t>
            </w:r>
          </w:p>
        </w:tc>
        <w:tc>
          <w:tcPr>
            <w:tcW w:w="2693" w:type="dxa"/>
          </w:tcPr>
          <w:p w:rsidR="00FC0761" w:rsidRPr="00C67C95" w:rsidRDefault="00FC0761" w:rsidP="00C67C95">
            <w:pPr>
              <w:ind w:right="-17"/>
              <w:jc w:val="left"/>
              <w:rPr>
                <w:sz w:val="18"/>
                <w:szCs w:val="18"/>
              </w:rPr>
            </w:pPr>
            <w:r w:rsidRPr="00C67C95">
              <w:rPr>
                <w:sz w:val="18"/>
                <w:szCs w:val="18"/>
              </w:rPr>
              <w:t>$4.50</w:t>
            </w:r>
          </w:p>
        </w:tc>
      </w:tr>
      <w:tr w:rsidR="00FC0761" w:rsidRPr="00C67C95" w:rsidTr="006A2C9E">
        <w:trPr>
          <w:jc w:val="center"/>
        </w:trPr>
        <w:tc>
          <w:tcPr>
            <w:tcW w:w="1711" w:type="dxa"/>
          </w:tcPr>
          <w:p w:rsidR="00FC0761" w:rsidRPr="00C67C95" w:rsidRDefault="00FC0761" w:rsidP="00710A81">
            <w:pPr>
              <w:ind w:right="-17"/>
              <w:jc w:val="left"/>
              <w:rPr>
                <w:sz w:val="18"/>
                <w:szCs w:val="18"/>
              </w:rPr>
            </w:pPr>
            <w:r w:rsidRPr="00C67C95">
              <w:rPr>
                <w:sz w:val="18"/>
                <w:szCs w:val="18"/>
              </w:rPr>
              <w:t>March 2023</w:t>
            </w:r>
          </w:p>
        </w:tc>
        <w:tc>
          <w:tcPr>
            <w:tcW w:w="1765" w:type="dxa"/>
          </w:tcPr>
          <w:p w:rsidR="00FC0761" w:rsidRPr="00C67C95" w:rsidRDefault="00FC0761" w:rsidP="00C67C95">
            <w:pPr>
              <w:ind w:right="-17"/>
              <w:jc w:val="left"/>
              <w:rPr>
                <w:sz w:val="18"/>
                <w:szCs w:val="18"/>
              </w:rPr>
            </w:pPr>
            <w:r w:rsidRPr="00C67C95">
              <w:rPr>
                <w:sz w:val="18"/>
                <w:szCs w:val="18"/>
              </w:rPr>
              <w:t>$5 + $20 redemption</w:t>
            </w:r>
          </w:p>
        </w:tc>
        <w:tc>
          <w:tcPr>
            <w:tcW w:w="1637" w:type="dxa"/>
          </w:tcPr>
          <w:p w:rsidR="00FC0761" w:rsidRPr="00C67C95" w:rsidRDefault="00FC0761" w:rsidP="00C67C95">
            <w:pPr>
              <w:ind w:right="-17"/>
              <w:jc w:val="left"/>
              <w:rPr>
                <w:sz w:val="18"/>
                <w:szCs w:val="18"/>
              </w:rPr>
            </w:pPr>
            <w:r w:rsidRPr="00C67C95">
              <w:rPr>
                <w:sz w:val="18"/>
                <w:szCs w:val="18"/>
              </w:rPr>
              <w:t>$0.50 + $2 = $2.50</w:t>
            </w:r>
          </w:p>
        </w:tc>
        <w:tc>
          <w:tcPr>
            <w:tcW w:w="2693" w:type="dxa"/>
          </w:tcPr>
          <w:p w:rsidR="00FC0761" w:rsidRPr="00C67C95" w:rsidRDefault="00FC0761" w:rsidP="00C67C95">
            <w:pPr>
              <w:ind w:right="-17"/>
              <w:jc w:val="left"/>
              <w:rPr>
                <w:sz w:val="18"/>
                <w:szCs w:val="18"/>
              </w:rPr>
            </w:pPr>
            <w:r w:rsidRPr="00C67C95">
              <w:rPr>
                <w:sz w:val="18"/>
                <w:szCs w:val="18"/>
              </w:rPr>
              <w:t>$4.50 coupon + $18 redemption</w:t>
            </w:r>
          </w:p>
        </w:tc>
      </w:tr>
      <w:tr w:rsidR="00FC0761" w:rsidRPr="00C67C95" w:rsidTr="006A2C9E">
        <w:trPr>
          <w:jc w:val="center"/>
        </w:trPr>
        <w:tc>
          <w:tcPr>
            <w:tcW w:w="1711" w:type="dxa"/>
          </w:tcPr>
          <w:p w:rsidR="00FC0761" w:rsidRPr="00C67C95" w:rsidRDefault="00FC0761" w:rsidP="00710A81">
            <w:pPr>
              <w:ind w:right="-17"/>
              <w:rPr>
                <w:sz w:val="18"/>
                <w:szCs w:val="18"/>
              </w:rPr>
            </w:pPr>
            <w:r w:rsidRPr="00C67C95">
              <w:rPr>
                <w:sz w:val="18"/>
                <w:szCs w:val="18"/>
              </w:rPr>
              <w:t>Total</w:t>
            </w:r>
          </w:p>
        </w:tc>
        <w:tc>
          <w:tcPr>
            <w:tcW w:w="1765" w:type="dxa"/>
          </w:tcPr>
          <w:p w:rsidR="00FC0761" w:rsidRPr="00C67C95" w:rsidRDefault="00FC0761" w:rsidP="00C67C95">
            <w:pPr>
              <w:ind w:right="-17"/>
              <w:jc w:val="left"/>
              <w:rPr>
                <w:sz w:val="18"/>
                <w:szCs w:val="18"/>
              </w:rPr>
            </w:pPr>
            <w:r w:rsidRPr="00C67C95">
              <w:rPr>
                <w:sz w:val="18"/>
                <w:szCs w:val="18"/>
              </w:rPr>
              <w:t>$45</w:t>
            </w:r>
          </w:p>
        </w:tc>
        <w:tc>
          <w:tcPr>
            <w:tcW w:w="1637" w:type="dxa"/>
          </w:tcPr>
          <w:p w:rsidR="00FC0761" w:rsidRPr="00C67C95" w:rsidRDefault="00FC0761" w:rsidP="00C67C95">
            <w:pPr>
              <w:ind w:right="-17"/>
              <w:jc w:val="left"/>
              <w:rPr>
                <w:sz w:val="18"/>
                <w:szCs w:val="18"/>
              </w:rPr>
            </w:pPr>
            <w:r w:rsidRPr="00C67C95">
              <w:rPr>
                <w:sz w:val="18"/>
                <w:szCs w:val="18"/>
              </w:rPr>
              <w:t>$4.50</w:t>
            </w:r>
          </w:p>
        </w:tc>
        <w:tc>
          <w:tcPr>
            <w:tcW w:w="2693" w:type="dxa"/>
          </w:tcPr>
          <w:p w:rsidR="00FC0761" w:rsidRPr="00C67C95" w:rsidRDefault="00FC0761" w:rsidP="00C67C95">
            <w:pPr>
              <w:ind w:right="-17"/>
              <w:jc w:val="left"/>
              <w:rPr>
                <w:sz w:val="18"/>
                <w:szCs w:val="18"/>
              </w:rPr>
            </w:pPr>
            <w:r w:rsidRPr="00C67C95">
              <w:rPr>
                <w:sz w:val="18"/>
                <w:szCs w:val="18"/>
              </w:rPr>
              <w:t>$40.50</w:t>
            </w:r>
          </w:p>
        </w:tc>
      </w:tr>
    </w:tbl>
    <w:p w:rsidR="0050719E" w:rsidRPr="00710A81" w:rsidRDefault="0050719E" w:rsidP="00710A81">
      <w:pPr>
        <w:pStyle w:val="Chapter3"/>
        <w:numPr>
          <w:ilvl w:val="0"/>
          <w:numId w:val="0"/>
        </w:numPr>
        <w:rPr>
          <w:sz w:val="20"/>
        </w:rPr>
      </w:pPr>
    </w:p>
    <w:p w:rsidR="0050719E" w:rsidRPr="00710A81" w:rsidRDefault="0050719E" w:rsidP="00C67C95">
      <w:pPr>
        <w:pStyle w:val="Chapter3"/>
        <w:numPr>
          <w:ilvl w:val="0"/>
          <w:numId w:val="0"/>
        </w:numPr>
        <w:spacing w:after="200"/>
        <w:rPr>
          <w:sz w:val="20"/>
        </w:rPr>
      </w:pPr>
      <w:r w:rsidRPr="00710A81">
        <w:rPr>
          <w:sz w:val="20"/>
        </w:rPr>
        <w:t>As this bond is now within the NRFAI rules</w:t>
      </w:r>
      <w:r w:rsidR="008725B4">
        <w:rPr>
          <w:sz w:val="20"/>
        </w:rPr>
        <w:t>,</w:t>
      </w:r>
      <w:r w:rsidRPr="00710A81">
        <w:rPr>
          <w:sz w:val="20"/>
        </w:rPr>
        <w:t xml:space="preserve"> Aus</w:t>
      </w:r>
      <w:r w:rsidR="00F838ED" w:rsidRPr="00710A81">
        <w:rPr>
          <w:sz w:val="20"/>
        </w:rPr>
        <w:t xml:space="preserve"> Parent</w:t>
      </w:r>
      <w:r w:rsidRPr="00710A81">
        <w:rPr>
          <w:sz w:val="20"/>
        </w:rPr>
        <w:t xml:space="preserve"> Ltd and NZ Sub Ltd agr</w:t>
      </w:r>
      <w:r w:rsidR="00DD6EB7" w:rsidRPr="00710A81">
        <w:rPr>
          <w:sz w:val="20"/>
        </w:rPr>
        <w:t xml:space="preserve">ee that the total </w:t>
      </w:r>
      <w:r w:rsidR="00101350" w:rsidRPr="00710A81">
        <w:rPr>
          <w:sz w:val="20"/>
        </w:rPr>
        <w:t xml:space="preserve">cash </w:t>
      </w:r>
      <w:r w:rsidR="005615D2" w:rsidRPr="00710A81">
        <w:rPr>
          <w:sz w:val="20"/>
        </w:rPr>
        <w:t xml:space="preserve">interest payments </w:t>
      </w:r>
      <w:r w:rsidR="00101350" w:rsidRPr="00710A81">
        <w:rPr>
          <w:sz w:val="20"/>
        </w:rPr>
        <w:t>by NZ Sub Ltd should remain the same</w:t>
      </w:r>
      <w:r w:rsidR="008725B4">
        <w:rPr>
          <w:sz w:val="20"/>
        </w:rPr>
        <w:t>,</w:t>
      </w:r>
      <w:r w:rsidR="00101350" w:rsidRPr="00710A81">
        <w:rPr>
          <w:sz w:val="20"/>
        </w:rPr>
        <w:t xml:space="preserve"> and </w:t>
      </w:r>
      <w:r w:rsidR="005615D2" w:rsidRPr="00710A81">
        <w:rPr>
          <w:sz w:val="20"/>
        </w:rPr>
        <w:t xml:space="preserve">reduce </w:t>
      </w:r>
      <w:r w:rsidR="00101350" w:rsidRPr="00710A81">
        <w:rPr>
          <w:sz w:val="20"/>
        </w:rPr>
        <w:t>the cash payment to Aus</w:t>
      </w:r>
      <w:r w:rsidR="00F838ED" w:rsidRPr="00710A81">
        <w:rPr>
          <w:sz w:val="20"/>
        </w:rPr>
        <w:t xml:space="preserve"> Parent</w:t>
      </w:r>
      <w:r w:rsidR="00101350" w:rsidRPr="00710A81">
        <w:rPr>
          <w:sz w:val="20"/>
        </w:rPr>
        <w:t xml:space="preserve"> Ltd</w:t>
      </w:r>
      <w:r w:rsidR="00DD6EB7" w:rsidRPr="00710A81">
        <w:rPr>
          <w:sz w:val="20"/>
        </w:rPr>
        <w:t xml:space="preserve"> accordingly:</w:t>
      </w:r>
    </w:p>
    <w:tbl>
      <w:tblPr>
        <w:tblStyle w:val="TableGrid"/>
        <w:tblW w:w="7791" w:type="dxa"/>
        <w:jc w:val="center"/>
        <w:tblInd w:w="-1073" w:type="dxa"/>
        <w:tblLayout w:type="fixed"/>
        <w:tblCellMar>
          <w:top w:w="57" w:type="dxa"/>
          <w:left w:w="57" w:type="dxa"/>
          <w:bottom w:w="57" w:type="dxa"/>
          <w:right w:w="57" w:type="dxa"/>
        </w:tblCellMar>
        <w:tblLook w:val="04A0" w:firstRow="1" w:lastRow="0" w:firstColumn="1" w:lastColumn="0" w:noHBand="0" w:noVBand="1"/>
      </w:tblPr>
      <w:tblGrid>
        <w:gridCol w:w="1696"/>
        <w:gridCol w:w="1765"/>
        <w:gridCol w:w="1638"/>
        <w:gridCol w:w="2692"/>
      </w:tblGrid>
      <w:tr w:rsidR="00FC0761" w:rsidRPr="00C67C95" w:rsidTr="006A2C9E">
        <w:trPr>
          <w:jc w:val="center"/>
        </w:trPr>
        <w:tc>
          <w:tcPr>
            <w:tcW w:w="1696" w:type="dxa"/>
          </w:tcPr>
          <w:p w:rsidR="00FC0761" w:rsidRPr="00C67C95" w:rsidRDefault="00FC0761" w:rsidP="00710A81">
            <w:pPr>
              <w:ind w:right="-17"/>
              <w:rPr>
                <w:b/>
                <w:sz w:val="18"/>
                <w:szCs w:val="18"/>
              </w:rPr>
            </w:pPr>
            <w:r w:rsidRPr="00C67C95">
              <w:rPr>
                <w:b/>
                <w:sz w:val="18"/>
                <w:szCs w:val="18"/>
              </w:rPr>
              <w:t>Month</w:t>
            </w:r>
          </w:p>
        </w:tc>
        <w:tc>
          <w:tcPr>
            <w:tcW w:w="1765" w:type="dxa"/>
          </w:tcPr>
          <w:p w:rsidR="00FC0761" w:rsidRPr="00C67C95" w:rsidRDefault="00FC0761" w:rsidP="00702CF3">
            <w:pPr>
              <w:ind w:right="-17"/>
              <w:jc w:val="left"/>
              <w:rPr>
                <w:b/>
                <w:sz w:val="18"/>
                <w:szCs w:val="18"/>
              </w:rPr>
            </w:pPr>
            <w:r w:rsidRPr="00C67C95">
              <w:rPr>
                <w:b/>
                <w:sz w:val="18"/>
                <w:szCs w:val="18"/>
              </w:rPr>
              <w:t>Cash outlay by NZ Sub Ltd</w:t>
            </w:r>
          </w:p>
        </w:tc>
        <w:tc>
          <w:tcPr>
            <w:tcW w:w="1638" w:type="dxa"/>
          </w:tcPr>
          <w:p w:rsidR="00FC0761" w:rsidRPr="00C67C95" w:rsidRDefault="00FC0761" w:rsidP="00702CF3">
            <w:pPr>
              <w:ind w:right="-17"/>
              <w:jc w:val="left"/>
              <w:rPr>
                <w:b/>
                <w:sz w:val="18"/>
                <w:szCs w:val="18"/>
              </w:rPr>
            </w:pPr>
            <w:r w:rsidRPr="00C67C95">
              <w:rPr>
                <w:b/>
                <w:sz w:val="18"/>
                <w:szCs w:val="18"/>
              </w:rPr>
              <w:t>NRWT on NRFAI</w:t>
            </w:r>
          </w:p>
        </w:tc>
        <w:tc>
          <w:tcPr>
            <w:tcW w:w="2692" w:type="dxa"/>
          </w:tcPr>
          <w:p w:rsidR="00FC0761" w:rsidRPr="00C67C95" w:rsidRDefault="00FC0761" w:rsidP="00702CF3">
            <w:pPr>
              <w:ind w:right="-17"/>
              <w:jc w:val="left"/>
              <w:rPr>
                <w:b/>
                <w:sz w:val="18"/>
                <w:szCs w:val="18"/>
              </w:rPr>
            </w:pPr>
            <w:r w:rsidRPr="00C67C95">
              <w:rPr>
                <w:b/>
                <w:sz w:val="18"/>
                <w:szCs w:val="18"/>
              </w:rPr>
              <w:t>Cash interest to Aus Parent Ltd</w:t>
            </w:r>
          </w:p>
        </w:tc>
      </w:tr>
      <w:tr w:rsidR="00FC0761" w:rsidRPr="00C67C95" w:rsidTr="006A2C9E">
        <w:trPr>
          <w:jc w:val="center"/>
        </w:trPr>
        <w:tc>
          <w:tcPr>
            <w:tcW w:w="1696" w:type="dxa"/>
          </w:tcPr>
          <w:p w:rsidR="00FC0761" w:rsidRPr="00C67C95" w:rsidRDefault="00FC0761" w:rsidP="00710A81">
            <w:pPr>
              <w:ind w:right="-17"/>
              <w:rPr>
                <w:sz w:val="18"/>
                <w:szCs w:val="18"/>
              </w:rPr>
            </w:pPr>
            <w:r w:rsidRPr="00C67C95">
              <w:rPr>
                <w:sz w:val="18"/>
                <w:szCs w:val="18"/>
              </w:rPr>
              <w:t>March 2019</w:t>
            </w:r>
          </w:p>
        </w:tc>
        <w:tc>
          <w:tcPr>
            <w:tcW w:w="1765" w:type="dxa"/>
          </w:tcPr>
          <w:p w:rsidR="00FC0761" w:rsidRPr="00C67C95" w:rsidRDefault="00FC0761" w:rsidP="00710A81">
            <w:pPr>
              <w:ind w:right="-17"/>
              <w:rPr>
                <w:sz w:val="18"/>
                <w:szCs w:val="18"/>
              </w:rPr>
            </w:pPr>
            <w:r w:rsidRPr="00C67C95">
              <w:rPr>
                <w:sz w:val="18"/>
                <w:szCs w:val="18"/>
              </w:rPr>
              <w:t>$5</w:t>
            </w:r>
          </w:p>
        </w:tc>
        <w:tc>
          <w:tcPr>
            <w:tcW w:w="1638" w:type="dxa"/>
          </w:tcPr>
          <w:p w:rsidR="00FC0761" w:rsidRPr="00C67C95" w:rsidRDefault="00FC0761" w:rsidP="00710A81">
            <w:pPr>
              <w:ind w:right="-17"/>
              <w:rPr>
                <w:sz w:val="18"/>
                <w:szCs w:val="18"/>
              </w:rPr>
            </w:pPr>
            <w:r w:rsidRPr="00C67C95">
              <w:rPr>
                <w:sz w:val="18"/>
                <w:szCs w:val="18"/>
              </w:rPr>
              <w:t>$0.83</w:t>
            </w:r>
          </w:p>
        </w:tc>
        <w:tc>
          <w:tcPr>
            <w:tcW w:w="2692" w:type="dxa"/>
          </w:tcPr>
          <w:p w:rsidR="00FC0761" w:rsidRPr="00C67C95" w:rsidRDefault="00FC0761" w:rsidP="00710A81">
            <w:pPr>
              <w:ind w:right="-17"/>
              <w:rPr>
                <w:sz w:val="18"/>
                <w:szCs w:val="18"/>
              </w:rPr>
            </w:pPr>
            <w:r w:rsidRPr="00C67C95">
              <w:rPr>
                <w:sz w:val="18"/>
                <w:szCs w:val="18"/>
              </w:rPr>
              <w:t>$4.17</w:t>
            </w:r>
          </w:p>
        </w:tc>
      </w:tr>
      <w:tr w:rsidR="00FC0761" w:rsidRPr="00C67C95" w:rsidTr="006A2C9E">
        <w:trPr>
          <w:jc w:val="center"/>
        </w:trPr>
        <w:tc>
          <w:tcPr>
            <w:tcW w:w="1696" w:type="dxa"/>
          </w:tcPr>
          <w:p w:rsidR="00FC0761" w:rsidRPr="00C67C95" w:rsidRDefault="00FC0761" w:rsidP="00710A81">
            <w:pPr>
              <w:ind w:right="-17"/>
              <w:rPr>
                <w:sz w:val="18"/>
                <w:szCs w:val="18"/>
              </w:rPr>
            </w:pPr>
            <w:r w:rsidRPr="00C67C95">
              <w:rPr>
                <w:sz w:val="18"/>
                <w:szCs w:val="18"/>
              </w:rPr>
              <w:t>March 2020</w:t>
            </w:r>
          </w:p>
        </w:tc>
        <w:tc>
          <w:tcPr>
            <w:tcW w:w="1765" w:type="dxa"/>
          </w:tcPr>
          <w:p w:rsidR="00FC0761" w:rsidRPr="00C67C95" w:rsidRDefault="00FC0761" w:rsidP="00710A81">
            <w:pPr>
              <w:ind w:right="-17"/>
              <w:rPr>
                <w:sz w:val="18"/>
                <w:szCs w:val="18"/>
              </w:rPr>
            </w:pPr>
            <w:r w:rsidRPr="00C67C95">
              <w:rPr>
                <w:sz w:val="18"/>
                <w:szCs w:val="18"/>
              </w:rPr>
              <w:t>$5</w:t>
            </w:r>
          </w:p>
        </w:tc>
        <w:tc>
          <w:tcPr>
            <w:tcW w:w="1638" w:type="dxa"/>
          </w:tcPr>
          <w:p w:rsidR="00FC0761" w:rsidRPr="00C67C95" w:rsidRDefault="00FC0761" w:rsidP="00710A81">
            <w:pPr>
              <w:ind w:right="-17"/>
              <w:rPr>
                <w:sz w:val="18"/>
                <w:szCs w:val="18"/>
              </w:rPr>
            </w:pPr>
            <w:r w:rsidRPr="00C67C95">
              <w:rPr>
                <w:sz w:val="18"/>
                <w:szCs w:val="18"/>
              </w:rPr>
              <w:t>$0.86</w:t>
            </w:r>
          </w:p>
        </w:tc>
        <w:tc>
          <w:tcPr>
            <w:tcW w:w="2692" w:type="dxa"/>
          </w:tcPr>
          <w:p w:rsidR="00FC0761" w:rsidRPr="00C67C95" w:rsidRDefault="00FC0761" w:rsidP="00710A81">
            <w:pPr>
              <w:ind w:right="-17"/>
              <w:rPr>
                <w:sz w:val="18"/>
                <w:szCs w:val="18"/>
              </w:rPr>
            </w:pPr>
            <w:r w:rsidRPr="00C67C95">
              <w:rPr>
                <w:sz w:val="18"/>
                <w:szCs w:val="18"/>
              </w:rPr>
              <w:t>$4.14</w:t>
            </w:r>
          </w:p>
        </w:tc>
      </w:tr>
      <w:tr w:rsidR="00FC0761" w:rsidRPr="00C67C95" w:rsidTr="006A2C9E">
        <w:trPr>
          <w:jc w:val="center"/>
        </w:trPr>
        <w:tc>
          <w:tcPr>
            <w:tcW w:w="1696" w:type="dxa"/>
          </w:tcPr>
          <w:p w:rsidR="00FC0761" w:rsidRPr="00C67C95" w:rsidRDefault="00FC0761" w:rsidP="00710A81">
            <w:pPr>
              <w:ind w:right="-17"/>
              <w:rPr>
                <w:sz w:val="18"/>
                <w:szCs w:val="18"/>
              </w:rPr>
            </w:pPr>
            <w:r w:rsidRPr="00C67C95">
              <w:rPr>
                <w:sz w:val="18"/>
                <w:szCs w:val="18"/>
              </w:rPr>
              <w:t>March 2021</w:t>
            </w:r>
          </w:p>
        </w:tc>
        <w:tc>
          <w:tcPr>
            <w:tcW w:w="1765" w:type="dxa"/>
          </w:tcPr>
          <w:p w:rsidR="00FC0761" w:rsidRPr="00C67C95" w:rsidRDefault="00FC0761" w:rsidP="00710A81">
            <w:pPr>
              <w:ind w:right="-17"/>
              <w:rPr>
                <w:sz w:val="18"/>
                <w:szCs w:val="18"/>
              </w:rPr>
            </w:pPr>
            <w:r w:rsidRPr="00C67C95">
              <w:rPr>
                <w:sz w:val="18"/>
                <w:szCs w:val="18"/>
              </w:rPr>
              <w:t>$5</w:t>
            </w:r>
          </w:p>
        </w:tc>
        <w:tc>
          <w:tcPr>
            <w:tcW w:w="1638" w:type="dxa"/>
          </w:tcPr>
          <w:p w:rsidR="00FC0761" w:rsidRPr="00C67C95" w:rsidRDefault="00FC0761" w:rsidP="00710A81">
            <w:pPr>
              <w:ind w:right="-17"/>
              <w:rPr>
                <w:sz w:val="18"/>
                <w:szCs w:val="18"/>
              </w:rPr>
            </w:pPr>
            <w:r w:rsidRPr="00C67C95">
              <w:rPr>
                <w:sz w:val="18"/>
                <w:szCs w:val="18"/>
              </w:rPr>
              <w:t>$0.90</w:t>
            </w:r>
          </w:p>
        </w:tc>
        <w:tc>
          <w:tcPr>
            <w:tcW w:w="2692" w:type="dxa"/>
          </w:tcPr>
          <w:p w:rsidR="00FC0761" w:rsidRPr="00C67C95" w:rsidRDefault="00FC0761" w:rsidP="00710A81">
            <w:pPr>
              <w:ind w:right="-17"/>
              <w:rPr>
                <w:sz w:val="18"/>
                <w:szCs w:val="18"/>
              </w:rPr>
            </w:pPr>
            <w:r w:rsidRPr="00C67C95">
              <w:rPr>
                <w:sz w:val="18"/>
                <w:szCs w:val="18"/>
              </w:rPr>
              <w:t>$4.10</w:t>
            </w:r>
          </w:p>
        </w:tc>
      </w:tr>
      <w:tr w:rsidR="00FC0761" w:rsidRPr="00C67C95" w:rsidTr="006A2C9E">
        <w:trPr>
          <w:jc w:val="center"/>
        </w:trPr>
        <w:tc>
          <w:tcPr>
            <w:tcW w:w="1696" w:type="dxa"/>
          </w:tcPr>
          <w:p w:rsidR="00FC0761" w:rsidRPr="00C67C95" w:rsidRDefault="00FC0761" w:rsidP="00710A81">
            <w:pPr>
              <w:ind w:right="-17"/>
              <w:rPr>
                <w:sz w:val="18"/>
                <w:szCs w:val="18"/>
              </w:rPr>
            </w:pPr>
            <w:r w:rsidRPr="00C67C95">
              <w:rPr>
                <w:sz w:val="18"/>
                <w:szCs w:val="18"/>
              </w:rPr>
              <w:t>March 2022</w:t>
            </w:r>
          </w:p>
        </w:tc>
        <w:tc>
          <w:tcPr>
            <w:tcW w:w="1765" w:type="dxa"/>
          </w:tcPr>
          <w:p w:rsidR="00FC0761" w:rsidRPr="00C67C95" w:rsidRDefault="00FC0761" w:rsidP="00710A81">
            <w:pPr>
              <w:ind w:right="-17"/>
              <w:rPr>
                <w:sz w:val="18"/>
                <w:szCs w:val="18"/>
              </w:rPr>
            </w:pPr>
            <w:r w:rsidRPr="00C67C95">
              <w:rPr>
                <w:sz w:val="18"/>
                <w:szCs w:val="18"/>
              </w:rPr>
              <w:t>$5</w:t>
            </w:r>
          </w:p>
        </w:tc>
        <w:tc>
          <w:tcPr>
            <w:tcW w:w="1638" w:type="dxa"/>
          </w:tcPr>
          <w:p w:rsidR="00FC0761" w:rsidRPr="00C67C95" w:rsidRDefault="00FC0761" w:rsidP="00710A81">
            <w:pPr>
              <w:ind w:right="-17"/>
              <w:rPr>
                <w:sz w:val="18"/>
                <w:szCs w:val="18"/>
              </w:rPr>
            </w:pPr>
            <w:r w:rsidRPr="00C67C95">
              <w:rPr>
                <w:sz w:val="18"/>
                <w:szCs w:val="18"/>
              </w:rPr>
              <w:t>$0.94</w:t>
            </w:r>
          </w:p>
        </w:tc>
        <w:tc>
          <w:tcPr>
            <w:tcW w:w="2692" w:type="dxa"/>
          </w:tcPr>
          <w:p w:rsidR="00FC0761" w:rsidRPr="00C67C95" w:rsidRDefault="00FC0761" w:rsidP="00710A81">
            <w:pPr>
              <w:ind w:right="-17"/>
              <w:rPr>
                <w:sz w:val="18"/>
                <w:szCs w:val="18"/>
              </w:rPr>
            </w:pPr>
            <w:r w:rsidRPr="00C67C95">
              <w:rPr>
                <w:sz w:val="18"/>
                <w:szCs w:val="18"/>
              </w:rPr>
              <w:t>$4.06</w:t>
            </w:r>
          </w:p>
        </w:tc>
      </w:tr>
      <w:tr w:rsidR="00FC0761" w:rsidRPr="00C67C95" w:rsidTr="006A2C9E">
        <w:trPr>
          <w:jc w:val="center"/>
        </w:trPr>
        <w:tc>
          <w:tcPr>
            <w:tcW w:w="1696" w:type="dxa"/>
          </w:tcPr>
          <w:p w:rsidR="00FC0761" w:rsidRPr="00C67C95" w:rsidRDefault="00FC0761" w:rsidP="00710A81">
            <w:pPr>
              <w:ind w:right="-17"/>
              <w:rPr>
                <w:sz w:val="18"/>
                <w:szCs w:val="18"/>
              </w:rPr>
            </w:pPr>
            <w:r w:rsidRPr="00C67C95">
              <w:rPr>
                <w:sz w:val="18"/>
                <w:szCs w:val="18"/>
              </w:rPr>
              <w:t>March 2023</w:t>
            </w:r>
          </w:p>
        </w:tc>
        <w:tc>
          <w:tcPr>
            <w:tcW w:w="1765" w:type="dxa"/>
          </w:tcPr>
          <w:p w:rsidR="00FC0761" w:rsidRPr="00C67C95" w:rsidRDefault="00FC0761" w:rsidP="00C67C95">
            <w:pPr>
              <w:ind w:right="-17"/>
              <w:rPr>
                <w:sz w:val="18"/>
                <w:szCs w:val="18"/>
              </w:rPr>
            </w:pPr>
            <w:r w:rsidRPr="00C67C95">
              <w:rPr>
                <w:sz w:val="18"/>
                <w:szCs w:val="18"/>
              </w:rPr>
              <w:t>$5 + $20 redemption</w:t>
            </w:r>
          </w:p>
        </w:tc>
        <w:tc>
          <w:tcPr>
            <w:tcW w:w="1638" w:type="dxa"/>
          </w:tcPr>
          <w:p w:rsidR="00FC0761" w:rsidRPr="00C67C95" w:rsidRDefault="00FC0761" w:rsidP="00710A81">
            <w:pPr>
              <w:ind w:right="-17"/>
              <w:rPr>
                <w:sz w:val="18"/>
                <w:szCs w:val="18"/>
              </w:rPr>
            </w:pPr>
            <w:r w:rsidRPr="00C67C95">
              <w:rPr>
                <w:sz w:val="18"/>
                <w:szCs w:val="18"/>
              </w:rPr>
              <w:t>$0.98</w:t>
            </w:r>
          </w:p>
        </w:tc>
        <w:tc>
          <w:tcPr>
            <w:tcW w:w="2692" w:type="dxa"/>
          </w:tcPr>
          <w:p w:rsidR="00FC0761" w:rsidRPr="00C67C95" w:rsidRDefault="00FC0761" w:rsidP="00710A81">
            <w:pPr>
              <w:ind w:right="-17"/>
              <w:rPr>
                <w:sz w:val="18"/>
                <w:szCs w:val="18"/>
              </w:rPr>
            </w:pPr>
            <w:r w:rsidRPr="00C67C95">
              <w:rPr>
                <w:sz w:val="18"/>
                <w:szCs w:val="18"/>
              </w:rPr>
              <w:t>$24.02</w:t>
            </w:r>
          </w:p>
        </w:tc>
      </w:tr>
      <w:tr w:rsidR="00FC0761" w:rsidRPr="00C67C95" w:rsidTr="006A2C9E">
        <w:trPr>
          <w:jc w:val="center"/>
        </w:trPr>
        <w:tc>
          <w:tcPr>
            <w:tcW w:w="1696" w:type="dxa"/>
          </w:tcPr>
          <w:p w:rsidR="00FC0761" w:rsidRPr="00C67C95" w:rsidRDefault="00FC0761" w:rsidP="00710A81">
            <w:pPr>
              <w:ind w:right="-17"/>
              <w:rPr>
                <w:sz w:val="18"/>
                <w:szCs w:val="18"/>
              </w:rPr>
            </w:pPr>
            <w:r w:rsidRPr="00C67C95">
              <w:rPr>
                <w:sz w:val="18"/>
                <w:szCs w:val="18"/>
              </w:rPr>
              <w:t>Total</w:t>
            </w:r>
          </w:p>
        </w:tc>
        <w:tc>
          <w:tcPr>
            <w:tcW w:w="1765" w:type="dxa"/>
          </w:tcPr>
          <w:p w:rsidR="00FC0761" w:rsidRPr="00C67C95" w:rsidRDefault="00FC0761" w:rsidP="00710A81">
            <w:pPr>
              <w:ind w:right="-17"/>
              <w:rPr>
                <w:sz w:val="18"/>
                <w:szCs w:val="18"/>
              </w:rPr>
            </w:pPr>
            <w:r w:rsidRPr="00C67C95">
              <w:rPr>
                <w:sz w:val="18"/>
                <w:szCs w:val="18"/>
              </w:rPr>
              <w:t>$45</w:t>
            </w:r>
          </w:p>
        </w:tc>
        <w:tc>
          <w:tcPr>
            <w:tcW w:w="1638" w:type="dxa"/>
          </w:tcPr>
          <w:p w:rsidR="00FC0761" w:rsidRPr="00C67C95" w:rsidRDefault="00FC0761" w:rsidP="00710A81">
            <w:pPr>
              <w:ind w:right="-17"/>
              <w:rPr>
                <w:sz w:val="18"/>
                <w:szCs w:val="18"/>
              </w:rPr>
            </w:pPr>
            <w:r w:rsidRPr="00C67C95">
              <w:rPr>
                <w:sz w:val="18"/>
                <w:szCs w:val="18"/>
              </w:rPr>
              <w:t>$4.50</w:t>
            </w:r>
          </w:p>
        </w:tc>
        <w:tc>
          <w:tcPr>
            <w:tcW w:w="2692" w:type="dxa"/>
          </w:tcPr>
          <w:p w:rsidR="00FC0761" w:rsidRPr="00C67C95" w:rsidRDefault="00FC0761" w:rsidP="00710A81">
            <w:pPr>
              <w:ind w:right="-17"/>
              <w:rPr>
                <w:sz w:val="18"/>
                <w:szCs w:val="18"/>
              </w:rPr>
            </w:pPr>
            <w:r w:rsidRPr="00C67C95">
              <w:rPr>
                <w:sz w:val="18"/>
                <w:szCs w:val="18"/>
              </w:rPr>
              <w:t>$40.50</w:t>
            </w:r>
          </w:p>
        </w:tc>
      </w:tr>
    </w:tbl>
    <w:p w:rsidR="00DD6EB7" w:rsidRPr="00710A81" w:rsidRDefault="00DD6EB7" w:rsidP="00710A81">
      <w:pPr>
        <w:pStyle w:val="Chapter3"/>
        <w:numPr>
          <w:ilvl w:val="0"/>
          <w:numId w:val="0"/>
        </w:numPr>
        <w:rPr>
          <w:sz w:val="20"/>
        </w:rPr>
      </w:pPr>
    </w:p>
    <w:p w:rsidR="00DD6EB7" w:rsidRPr="00710A81" w:rsidRDefault="00DD6EB7" w:rsidP="00C67C95">
      <w:pPr>
        <w:pStyle w:val="Chapter3"/>
        <w:numPr>
          <w:ilvl w:val="0"/>
          <w:numId w:val="0"/>
        </w:numPr>
        <w:spacing w:after="200"/>
        <w:rPr>
          <w:sz w:val="20"/>
        </w:rPr>
      </w:pPr>
      <w:r w:rsidRPr="00710A81">
        <w:rPr>
          <w:sz w:val="20"/>
        </w:rPr>
        <w:t>Alternatively Aus</w:t>
      </w:r>
      <w:r w:rsidR="00F838ED" w:rsidRPr="00710A81">
        <w:rPr>
          <w:sz w:val="20"/>
        </w:rPr>
        <w:t xml:space="preserve"> Parent</w:t>
      </w:r>
      <w:r w:rsidRPr="00710A81">
        <w:rPr>
          <w:sz w:val="20"/>
        </w:rPr>
        <w:t xml:space="preserve"> Ltd and NZ Sub Ltd could agree that the cash </w:t>
      </w:r>
      <w:r w:rsidR="005615D2" w:rsidRPr="00710A81">
        <w:rPr>
          <w:sz w:val="20"/>
        </w:rPr>
        <w:t xml:space="preserve">interest </w:t>
      </w:r>
      <w:r w:rsidRPr="00710A81">
        <w:rPr>
          <w:sz w:val="20"/>
        </w:rPr>
        <w:t>payments received by Aus</w:t>
      </w:r>
      <w:r w:rsidR="00F838ED" w:rsidRPr="00710A81">
        <w:rPr>
          <w:sz w:val="20"/>
        </w:rPr>
        <w:t xml:space="preserve"> Parent</w:t>
      </w:r>
      <w:r w:rsidRPr="00710A81">
        <w:rPr>
          <w:sz w:val="20"/>
        </w:rPr>
        <w:t xml:space="preserve"> Ltd s</w:t>
      </w:r>
      <w:r w:rsidR="0073320C" w:rsidRPr="00710A81">
        <w:rPr>
          <w:sz w:val="20"/>
        </w:rPr>
        <w:t>t</w:t>
      </w:r>
      <w:r w:rsidRPr="00710A81">
        <w:rPr>
          <w:sz w:val="20"/>
        </w:rPr>
        <w:t>ay the same</w:t>
      </w:r>
      <w:r w:rsidR="00F04F73" w:rsidRPr="00710A81">
        <w:rPr>
          <w:sz w:val="20"/>
        </w:rPr>
        <w:t>.  This would mean a higher cash cost to NZ Sub Ltd during the term of the bond.  In this case the amount paid on redemption would reflect the higher cash cost over the term</w:t>
      </w:r>
      <w:r w:rsidRPr="00710A81">
        <w:rPr>
          <w:sz w:val="20"/>
        </w:rPr>
        <w:t>:</w:t>
      </w:r>
    </w:p>
    <w:tbl>
      <w:tblPr>
        <w:tblStyle w:val="TableGrid"/>
        <w:tblW w:w="7780" w:type="dxa"/>
        <w:jc w:val="center"/>
        <w:tblInd w:w="-800" w:type="dxa"/>
        <w:tblLayout w:type="fixed"/>
        <w:tblCellMar>
          <w:top w:w="57" w:type="dxa"/>
          <w:left w:w="57" w:type="dxa"/>
          <w:bottom w:w="57" w:type="dxa"/>
          <w:right w:w="57" w:type="dxa"/>
        </w:tblCellMar>
        <w:tblLook w:val="04A0" w:firstRow="1" w:lastRow="0" w:firstColumn="1" w:lastColumn="0" w:noHBand="0" w:noVBand="1"/>
      </w:tblPr>
      <w:tblGrid>
        <w:gridCol w:w="1591"/>
        <w:gridCol w:w="1764"/>
        <w:gridCol w:w="1678"/>
        <w:gridCol w:w="2747"/>
      </w:tblGrid>
      <w:tr w:rsidR="00FC0761" w:rsidRPr="00C67C95" w:rsidTr="006A2C9E">
        <w:trPr>
          <w:jc w:val="center"/>
        </w:trPr>
        <w:tc>
          <w:tcPr>
            <w:tcW w:w="1591" w:type="dxa"/>
          </w:tcPr>
          <w:p w:rsidR="00FC0761" w:rsidRPr="00C67C95" w:rsidRDefault="00FC0761" w:rsidP="00DD6EB7">
            <w:pPr>
              <w:ind w:right="-17"/>
              <w:rPr>
                <w:b/>
                <w:sz w:val="18"/>
                <w:szCs w:val="18"/>
              </w:rPr>
            </w:pPr>
            <w:r w:rsidRPr="00C67C95">
              <w:rPr>
                <w:b/>
                <w:sz w:val="18"/>
                <w:szCs w:val="18"/>
              </w:rPr>
              <w:t>Month</w:t>
            </w:r>
          </w:p>
        </w:tc>
        <w:tc>
          <w:tcPr>
            <w:tcW w:w="1764" w:type="dxa"/>
          </w:tcPr>
          <w:p w:rsidR="00FC0761" w:rsidRPr="00C67C95" w:rsidRDefault="00FC0761" w:rsidP="00702CF3">
            <w:pPr>
              <w:ind w:right="-17"/>
              <w:jc w:val="left"/>
              <w:rPr>
                <w:b/>
                <w:sz w:val="18"/>
                <w:szCs w:val="18"/>
              </w:rPr>
            </w:pPr>
            <w:r w:rsidRPr="00C67C95">
              <w:rPr>
                <w:b/>
                <w:sz w:val="18"/>
                <w:szCs w:val="18"/>
              </w:rPr>
              <w:t>Cash outlay by NZ Sub Ltd</w:t>
            </w:r>
          </w:p>
        </w:tc>
        <w:tc>
          <w:tcPr>
            <w:tcW w:w="1678" w:type="dxa"/>
          </w:tcPr>
          <w:p w:rsidR="00FC0761" w:rsidRPr="00C67C95" w:rsidRDefault="00FC0761" w:rsidP="00702CF3">
            <w:pPr>
              <w:ind w:right="-17"/>
              <w:jc w:val="left"/>
              <w:rPr>
                <w:b/>
                <w:sz w:val="18"/>
                <w:szCs w:val="18"/>
              </w:rPr>
            </w:pPr>
            <w:r w:rsidRPr="00C67C95">
              <w:rPr>
                <w:b/>
                <w:sz w:val="18"/>
                <w:szCs w:val="18"/>
              </w:rPr>
              <w:t>NRWT on NRFAI</w:t>
            </w:r>
          </w:p>
        </w:tc>
        <w:tc>
          <w:tcPr>
            <w:tcW w:w="2747" w:type="dxa"/>
          </w:tcPr>
          <w:p w:rsidR="00FC0761" w:rsidRPr="00C67C95" w:rsidRDefault="00FC0761" w:rsidP="006A2C9E">
            <w:pPr>
              <w:ind w:right="-17"/>
              <w:jc w:val="left"/>
              <w:rPr>
                <w:b/>
                <w:sz w:val="18"/>
                <w:szCs w:val="18"/>
              </w:rPr>
            </w:pPr>
            <w:r w:rsidRPr="00C67C95">
              <w:rPr>
                <w:b/>
                <w:sz w:val="18"/>
                <w:szCs w:val="18"/>
              </w:rPr>
              <w:t>Cash interest to Aus Parent Ltd</w:t>
            </w:r>
          </w:p>
        </w:tc>
      </w:tr>
      <w:tr w:rsidR="00FC0761" w:rsidRPr="00C67C95" w:rsidTr="006A2C9E">
        <w:trPr>
          <w:jc w:val="center"/>
        </w:trPr>
        <w:tc>
          <w:tcPr>
            <w:tcW w:w="1591" w:type="dxa"/>
          </w:tcPr>
          <w:p w:rsidR="00FC0761" w:rsidRPr="00C67C95" w:rsidRDefault="00FC0761" w:rsidP="00DD6EB7">
            <w:pPr>
              <w:ind w:right="-17"/>
              <w:rPr>
                <w:sz w:val="18"/>
                <w:szCs w:val="18"/>
              </w:rPr>
            </w:pPr>
            <w:r w:rsidRPr="00C67C95">
              <w:rPr>
                <w:sz w:val="18"/>
                <w:szCs w:val="18"/>
              </w:rPr>
              <w:t>March 2019</w:t>
            </w:r>
          </w:p>
        </w:tc>
        <w:tc>
          <w:tcPr>
            <w:tcW w:w="1764" w:type="dxa"/>
          </w:tcPr>
          <w:p w:rsidR="00FC0761" w:rsidRPr="00C67C95" w:rsidRDefault="00FC0761" w:rsidP="00FC0761">
            <w:pPr>
              <w:ind w:right="-17"/>
              <w:rPr>
                <w:sz w:val="18"/>
                <w:szCs w:val="18"/>
              </w:rPr>
            </w:pPr>
            <w:r w:rsidRPr="00C67C95">
              <w:rPr>
                <w:sz w:val="18"/>
                <w:szCs w:val="18"/>
              </w:rPr>
              <w:t>$5.33</w:t>
            </w:r>
          </w:p>
        </w:tc>
        <w:tc>
          <w:tcPr>
            <w:tcW w:w="1678" w:type="dxa"/>
          </w:tcPr>
          <w:p w:rsidR="00FC0761" w:rsidRPr="00C67C95" w:rsidRDefault="00FC0761" w:rsidP="00FC0761">
            <w:pPr>
              <w:ind w:right="-17"/>
              <w:rPr>
                <w:sz w:val="18"/>
                <w:szCs w:val="18"/>
              </w:rPr>
            </w:pPr>
            <w:r w:rsidRPr="00C67C95">
              <w:rPr>
                <w:sz w:val="18"/>
                <w:szCs w:val="18"/>
              </w:rPr>
              <w:t>$0.83</w:t>
            </w:r>
          </w:p>
        </w:tc>
        <w:tc>
          <w:tcPr>
            <w:tcW w:w="2747" w:type="dxa"/>
          </w:tcPr>
          <w:p w:rsidR="00FC0761" w:rsidRPr="00C67C95" w:rsidRDefault="00FC0761" w:rsidP="00FC0761">
            <w:pPr>
              <w:ind w:right="-17"/>
              <w:rPr>
                <w:sz w:val="18"/>
                <w:szCs w:val="18"/>
              </w:rPr>
            </w:pPr>
            <w:r w:rsidRPr="00C67C95">
              <w:rPr>
                <w:sz w:val="18"/>
                <w:szCs w:val="18"/>
              </w:rPr>
              <w:t>$4.50</w:t>
            </w:r>
          </w:p>
        </w:tc>
      </w:tr>
      <w:tr w:rsidR="00FC0761" w:rsidRPr="00C67C95" w:rsidTr="006A2C9E">
        <w:trPr>
          <w:jc w:val="center"/>
        </w:trPr>
        <w:tc>
          <w:tcPr>
            <w:tcW w:w="1591" w:type="dxa"/>
          </w:tcPr>
          <w:p w:rsidR="00FC0761" w:rsidRPr="00C67C95" w:rsidRDefault="00FC0761" w:rsidP="00DD6EB7">
            <w:pPr>
              <w:ind w:right="-17"/>
              <w:rPr>
                <w:sz w:val="18"/>
                <w:szCs w:val="18"/>
              </w:rPr>
            </w:pPr>
            <w:r w:rsidRPr="00C67C95">
              <w:rPr>
                <w:sz w:val="18"/>
                <w:szCs w:val="18"/>
              </w:rPr>
              <w:t>March 2020</w:t>
            </w:r>
          </w:p>
        </w:tc>
        <w:tc>
          <w:tcPr>
            <w:tcW w:w="1764" w:type="dxa"/>
          </w:tcPr>
          <w:p w:rsidR="00FC0761" w:rsidRPr="00C67C95" w:rsidRDefault="00FC0761" w:rsidP="00FC0761">
            <w:pPr>
              <w:ind w:right="-17"/>
              <w:rPr>
                <w:sz w:val="18"/>
                <w:szCs w:val="18"/>
              </w:rPr>
            </w:pPr>
            <w:r w:rsidRPr="00C67C95">
              <w:rPr>
                <w:sz w:val="18"/>
                <w:szCs w:val="18"/>
              </w:rPr>
              <w:t>$5.36</w:t>
            </w:r>
          </w:p>
        </w:tc>
        <w:tc>
          <w:tcPr>
            <w:tcW w:w="1678" w:type="dxa"/>
          </w:tcPr>
          <w:p w:rsidR="00FC0761" w:rsidRPr="00C67C95" w:rsidRDefault="00FC0761" w:rsidP="00FC0761">
            <w:pPr>
              <w:ind w:right="-17"/>
              <w:rPr>
                <w:sz w:val="18"/>
                <w:szCs w:val="18"/>
              </w:rPr>
            </w:pPr>
            <w:r w:rsidRPr="00C67C95">
              <w:rPr>
                <w:sz w:val="18"/>
                <w:szCs w:val="18"/>
              </w:rPr>
              <w:t>$0.86</w:t>
            </w:r>
          </w:p>
        </w:tc>
        <w:tc>
          <w:tcPr>
            <w:tcW w:w="2747" w:type="dxa"/>
          </w:tcPr>
          <w:p w:rsidR="00FC0761" w:rsidRPr="00C67C95" w:rsidRDefault="00FC0761" w:rsidP="00FC0761">
            <w:pPr>
              <w:ind w:right="-17"/>
              <w:rPr>
                <w:sz w:val="18"/>
                <w:szCs w:val="18"/>
              </w:rPr>
            </w:pPr>
            <w:r w:rsidRPr="00C67C95">
              <w:rPr>
                <w:sz w:val="18"/>
                <w:szCs w:val="18"/>
              </w:rPr>
              <w:t>$4.50</w:t>
            </w:r>
          </w:p>
        </w:tc>
      </w:tr>
      <w:tr w:rsidR="00FC0761" w:rsidRPr="00C67C95" w:rsidTr="006A2C9E">
        <w:trPr>
          <w:jc w:val="center"/>
        </w:trPr>
        <w:tc>
          <w:tcPr>
            <w:tcW w:w="1591" w:type="dxa"/>
          </w:tcPr>
          <w:p w:rsidR="00FC0761" w:rsidRPr="00C67C95" w:rsidRDefault="00FC0761" w:rsidP="00DD6EB7">
            <w:pPr>
              <w:ind w:right="-17"/>
              <w:rPr>
                <w:sz w:val="18"/>
                <w:szCs w:val="18"/>
              </w:rPr>
            </w:pPr>
            <w:r w:rsidRPr="00C67C95">
              <w:rPr>
                <w:sz w:val="18"/>
                <w:szCs w:val="18"/>
              </w:rPr>
              <w:t>March 2021</w:t>
            </w:r>
          </w:p>
        </w:tc>
        <w:tc>
          <w:tcPr>
            <w:tcW w:w="1764" w:type="dxa"/>
          </w:tcPr>
          <w:p w:rsidR="00FC0761" w:rsidRPr="00C67C95" w:rsidRDefault="00FC0761" w:rsidP="00FC0761">
            <w:pPr>
              <w:ind w:right="-17"/>
              <w:rPr>
                <w:sz w:val="18"/>
                <w:szCs w:val="18"/>
              </w:rPr>
            </w:pPr>
            <w:r w:rsidRPr="00C67C95">
              <w:rPr>
                <w:sz w:val="18"/>
                <w:szCs w:val="18"/>
              </w:rPr>
              <w:t>$5.40</w:t>
            </w:r>
          </w:p>
        </w:tc>
        <w:tc>
          <w:tcPr>
            <w:tcW w:w="1678" w:type="dxa"/>
          </w:tcPr>
          <w:p w:rsidR="00FC0761" w:rsidRPr="00C67C95" w:rsidRDefault="00FC0761" w:rsidP="00FC0761">
            <w:pPr>
              <w:ind w:right="-17"/>
              <w:rPr>
                <w:sz w:val="18"/>
                <w:szCs w:val="18"/>
              </w:rPr>
            </w:pPr>
            <w:r w:rsidRPr="00C67C95">
              <w:rPr>
                <w:sz w:val="18"/>
                <w:szCs w:val="18"/>
              </w:rPr>
              <w:t>$0.90</w:t>
            </w:r>
          </w:p>
        </w:tc>
        <w:tc>
          <w:tcPr>
            <w:tcW w:w="2747" w:type="dxa"/>
          </w:tcPr>
          <w:p w:rsidR="00FC0761" w:rsidRPr="00C67C95" w:rsidRDefault="00FC0761" w:rsidP="00FC0761">
            <w:pPr>
              <w:ind w:right="-17"/>
              <w:rPr>
                <w:sz w:val="18"/>
                <w:szCs w:val="18"/>
              </w:rPr>
            </w:pPr>
            <w:r w:rsidRPr="00C67C95">
              <w:rPr>
                <w:sz w:val="18"/>
                <w:szCs w:val="18"/>
              </w:rPr>
              <w:t>$4.50</w:t>
            </w:r>
          </w:p>
        </w:tc>
      </w:tr>
      <w:tr w:rsidR="00FC0761" w:rsidRPr="00C67C95" w:rsidTr="006A2C9E">
        <w:trPr>
          <w:jc w:val="center"/>
        </w:trPr>
        <w:tc>
          <w:tcPr>
            <w:tcW w:w="1591" w:type="dxa"/>
          </w:tcPr>
          <w:p w:rsidR="00FC0761" w:rsidRPr="00C67C95" w:rsidRDefault="00FC0761" w:rsidP="00DD6EB7">
            <w:pPr>
              <w:ind w:right="-17"/>
              <w:rPr>
                <w:sz w:val="18"/>
                <w:szCs w:val="18"/>
              </w:rPr>
            </w:pPr>
            <w:r w:rsidRPr="00C67C95">
              <w:rPr>
                <w:sz w:val="18"/>
                <w:szCs w:val="18"/>
              </w:rPr>
              <w:t>March 2022</w:t>
            </w:r>
          </w:p>
        </w:tc>
        <w:tc>
          <w:tcPr>
            <w:tcW w:w="1764" w:type="dxa"/>
          </w:tcPr>
          <w:p w:rsidR="00FC0761" w:rsidRPr="00C67C95" w:rsidRDefault="00FC0761" w:rsidP="00FC0761">
            <w:pPr>
              <w:ind w:right="-17"/>
              <w:rPr>
                <w:sz w:val="18"/>
                <w:szCs w:val="18"/>
              </w:rPr>
            </w:pPr>
            <w:r w:rsidRPr="00C67C95">
              <w:rPr>
                <w:sz w:val="18"/>
                <w:szCs w:val="18"/>
              </w:rPr>
              <w:t>$5.44</w:t>
            </w:r>
          </w:p>
        </w:tc>
        <w:tc>
          <w:tcPr>
            <w:tcW w:w="1678" w:type="dxa"/>
          </w:tcPr>
          <w:p w:rsidR="00FC0761" w:rsidRPr="00C67C95" w:rsidRDefault="00FC0761" w:rsidP="00FC0761">
            <w:pPr>
              <w:ind w:right="-17"/>
              <w:rPr>
                <w:sz w:val="18"/>
                <w:szCs w:val="18"/>
              </w:rPr>
            </w:pPr>
            <w:r w:rsidRPr="00C67C95">
              <w:rPr>
                <w:sz w:val="18"/>
                <w:szCs w:val="18"/>
              </w:rPr>
              <w:t>$0.94</w:t>
            </w:r>
          </w:p>
        </w:tc>
        <w:tc>
          <w:tcPr>
            <w:tcW w:w="2747" w:type="dxa"/>
          </w:tcPr>
          <w:p w:rsidR="00FC0761" w:rsidRPr="00C67C95" w:rsidRDefault="00FC0761" w:rsidP="00FC0761">
            <w:pPr>
              <w:ind w:right="-17"/>
              <w:rPr>
                <w:sz w:val="18"/>
                <w:szCs w:val="18"/>
              </w:rPr>
            </w:pPr>
            <w:r w:rsidRPr="00C67C95">
              <w:rPr>
                <w:sz w:val="18"/>
                <w:szCs w:val="18"/>
              </w:rPr>
              <w:t>$4.50</w:t>
            </w:r>
          </w:p>
        </w:tc>
      </w:tr>
      <w:tr w:rsidR="00FC0761" w:rsidRPr="00C67C95" w:rsidTr="006A2C9E">
        <w:trPr>
          <w:jc w:val="center"/>
        </w:trPr>
        <w:tc>
          <w:tcPr>
            <w:tcW w:w="1591" w:type="dxa"/>
          </w:tcPr>
          <w:p w:rsidR="00FC0761" w:rsidRPr="00C67C95" w:rsidRDefault="00FC0761" w:rsidP="00DD6EB7">
            <w:pPr>
              <w:ind w:right="-17"/>
              <w:rPr>
                <w:sz w:val="18"/>
                <w:szCs w:val="18"/>
              </w:rPr>
            </w:pPr>
            <w:r w:rsidRPr="00C67C95">
              <w:rPr>
                <w:sz w:val="18"/>
                <w:szCs w:val="18"/>
              </w:rPr>
              <w:t>March 2023</w:t>
            </w:r>
          </w:p>
        </w:tc>
        <w:tc>
          <w:tcPr>
            <w:tcW w:w="1764" w:type="dxa"/>
          </w:tcPr>
          <w:p w:rsidR="00FC0761" w:rsidRPr="00C67C95" w:rsidRDefault="00FC0761" w:rsidP="00FC0761">
            <w:pPr>
              <w:ind w:right="-17"/>
              <w:rPr>
                <w:sz w:val="18"/>
                <w:szCs w:val="18"/>
              </w:rPr>
            </w:pPr>
            <w:r w:rsidRPr="00C67C95">
              <w:rPr>
                <w:sz w:val="18"/>
                <w:szCs w:val="18"/>
              </w:rPr>
              <w:t>$23.48</w:t>
            </w:r>
          </w:p>
        </w:tc>
        <w:tc>
          <w:tcPr>
            <w:tcW w:w="1678" w:type="dxa"/>
          </w:tcPr>
          <w:p w:rsidR="00FC0761" w:rsidRPr="00C67C95" w:rsidRDefault="00FC0761" w:rsidP="00FC0761">
            <w:pPr>
              <w:ind w:right="-17"/>
              <w:rPr>
                <w:sz w:val="18"/>
                <w:szCs w:val="18"/>
              </w:rPr>
            </w:pPr>
            <w:r w:rsidRPr="00C67C95">
              <w:rPr>
                <w:sz w:val="18"/>
                <w:szCs w:val="18"/>
              </w:rPr>
              <w:t>$0.98</w:t>
            </w:r>
          </w:p>
        </w:tc>
        <w:tc>
          <w:tcPr>
            <w:tcW w:w="2747" w:type="dxa"/>
          </w:tcPr>
          <w:p w:rsidR="00FC0761" w:rsidRPr="00C67C95" w:rsidRDefault="00FC0761" w:rsidP="00FC0761">
            <w:pPr>
              <w:ind w:right="-17"/>
              <w:rPr>
                <w:sz w:val="18"/>
                <w:szCs w:val="18"/>
              </w:rPr>
            </w:pPr>
            <w:r w:rsidRPr="00C67C95">
              <w:rPr>
                <w:sz w:val="18"/>
                <w:szCs w:val="18"/>
              </w:rPr>
              <w:t>$4.50 coupon + $18 redemption</w:t>
            </w:r>
          </w:p>
        </w:tc>
      </w:tr>
      <w:tr w:rsidR="00FC0761" w:rsidRPr="00C67C95" w:rsidTr="006A2C9E">
        <w:trPr>
          <w:jc w:val="center"/>
        </w:trPr>
        <w:tc>
          <w:tcPr>
            <w:tcW w:w="1591" w:type="dxa"/>
          </w:tcPr>
          <w:p w:rsidR="00FC0761" w:rsidRPr="00C67C95" w:rsidRDefault="00FC0761" w:rsidP="00DD6EB7">
            <w:pPr>
              <w:ind w:right="-17"/>
              <w:rPr>
                <w:sz w:val="18"/>
                <w:szCs w:val="18"/>
              </w:rPr>
            </w:pPr>
            <w:r w:rsidRPr="00C67C95">
              <w:rPr>
                <w:sz w:val="18"/>
                <w:szCs w:val="18"/>
              </w:rPr>
              <w:t>Total</w:t>
            </w:r>
          </w:p>
        </w:tc>
        <w:tc>
          <w:tcPr>
            <w:tcW w:w="1764" w:type="dxa"/>
          </w:tcPr>
          <w:p w:rsidR="00FC0761" w:rsidRPr="00C67C95" w:rsidRDefault="00FC0761" w:rsidP="00FC0761">
            <w:pPr>
              <w:ind w:right="-17"/>
              <w:rPr>
                <w:sz w:val="18"/>
                <w:szCs w:val="18"/>
              </w:rPr>
            </w:pPr>
            <w:r w:rsidRPr="00C67C95">
              <w:rPr>
                <w:sz w:val="18"/>
                <w:szCs w:val="18"/>
              </w:rPr>
              <w:t>$45</w:t>
            </w:r>
          </w:p>
        </w:tc>
        <w:tc>
          <w:tcPr>
            <w:tcW w:w="1678" w:type="dxa"/>
          </w:tcPr>
          <w:p w:rsidR="00FC0761" w:rsidRPr="00C67C95" w:rsidRDefault="00FC0761" w:rsidP="00FC0761">
            <w:pPr>
              <w:ind w:right="-17"/>
              <w:rPr>
                <w:sz w:val="18"/>
                <w:szCs w:val="18"/>
              </w:rPr>
            </w:pPr>
            <w:r w:rsidRPr="00C67C95">
              <w:rPr>
                <w:sz w:val="18"/>
                <w:szCs w:val="18"/>
              </w:rPr>
              <w:t>$4.50</w:t>
            </w:r>
          </w:p>
        </w:tc>
        <w:tc>
          <w:tcPr>
            <w:tcW w:w="2747" w:type="dxa"/>
          </w:tcPr>
          <w:p w:rsidR="00FC0761" w:rsidRPr="00C67C95" w:rsidRDefault="00FC0761" w:rsidP="00FC0761">
            <w:pPr>
              <w:ind w:right="-17"/>
              <w:rPr>
                <w:sz w:val="18"/>
                <w:szCs w:val="18"/>
              </w:rPr>
            </w:pPr>
            <w:r w:rsidRPr="00C67C95">
              <w:rPr>
                <w:sz w:val="18"/>
                <w:szCs w:val="18"/>
              </w:rPr>
              <w:t>$40.50</w:t>
            </w:r>
          </w:p>
        </w:tc>
      </w:tr>
    </w:tbl>
    <w:p w:rsidR="00624712" w:rsidRPr="004867C8" w:rsidRDefault="00101350" w:rsidP="00624712">
      <w:pPr>
        <w:pStyle w:val="Heading2"/>
        <w:rPr>
          <w:lang w:val="en-NZ"/>
        </w:rPr>
      </w:pPr>
      <w:r>
        <w:rPr>
          <w:lang w:val="en-NZ"/>
        </w:rPr>
        <w:lastRenderedPageBreak/>
        <w:t>Foreign currency loans and</w:t>
      </w:r>
      <w:r w:rsidR="00624712">
        <w:rPr>
          <w:lang w:val="en-NZ"/>
        </w:rPr>
        <w:t xml:space="preserve"> NRFAI</w:t>
      </w:r>
    </w:p>
    <w:p w:rsidR="00624712" w:rsidRDefault="00624712" w:rsidP="00DB2E88"/>
    <w:p w:rsidR="00C97D61" w:rsidRDefault="00C97D61" w:rsidP="00CB14C8">
      <w:pPr>
        <w:pStyle w:val="Chapter3"/>
        <w:tabs>
          <w:tab w:val="clear" w:pos="1702"/>
        </w:tabs>
        <w:ind w:left="851"/>
      </w:pPr>
      <w:r>
        <w:t xml:space="preserve">As with the current rules, the calculation of NRFAI on foreign currency loans would not take into account changes in the NZ$ value of the amount borrowed.  </w:t>
      </w:r>
      <w:r w:rsidR="00FA5721">
        <w:t xml:space="preserve">It is proposed that where a loan giving rise to NRFAI is denominated in foreign currency, the NRWT obligation be determined </w:t>
      </w:r>
      <w:r>
        <w:t>by:</w:t>
      </w:r>
    </w:p>
    <w:p w:rsidR="00702CF3" w:rsidRDefault="00702CF3" w:rsidP="00DB2E88"/>
    <w:p w:rsidR="00C97D61" w:rsidRDefault="008725B4" w:rsidP="00AA70EB">
      <w:pPr>
        <w:pStyle w:val="Bullets"/>
      </w:pPr>
      <w:r>
        <w:t>f</w:t>
      </w:r>
      <w:r w:rsidR="00C97D61">
        <w:t>irst, calculating foreign currency income applying a YTM or effective interest method</w:t>
      </w:r>
      <w:r>
        <w:t>;</w:t>
      </w:r>
    </w:p>
    <w:p w:rsidR="00B63135" w:rsidRDefault="008725B4" w:rsidP="00AA70EB">
      <w:pPr>
        <w:pStyle w:val="Bullets"/>
      </w:pPr>
      <w:r>
        <w:t>s</w:t>
      </w:r>
      <w:r w:rsidR="00B63135">
        <w:t>econd, using the exchange rate on the borrower’s balance date to</w:t>
      </w:r>
      <w:r w:rsidR="009B6D39">
        <w:t xml:space="preserve"> determine the amount of NZ$ NRP</w:t>
      </w:r>
      <w:r w:rsidR="00D1229C">
        <w:t>I; and</w:t>
      </w:r>
    </w:p>
    <w:p w:rsidR="00C97D61" w:rsidRDefault="00D1229C" w:rsidP="00AA70EB">
      <w:pPr>
        <w:pStyle w:val="Bullets"/>
        <w:spacing w:after="0"/>
      </w:pPr>
      <w:r>
        <w:t>t</w:t>
      </w:r>
      <w:r w:rsidR="00B63135">
        <w:t>hird</w:t>
      </w:r>
      <w:r>
        <w:t>,</w:t>
      </w:r>
      <w:r w:rsidR="00C97D61">
        <w:t xml:space="preserve"> applying the NRWT rate to th</w:t>
      </w:r>
      <w:r w:rsidR="00B63135">
        <w:t>e</w:t>
      </w:r>
      <w:r w:rsidR="00C97D61">
        <w:t xml:space="preserve"> </w:t>
      </w:r>
      <w:r w:rsidR="00B63135">
        <w:t>NZ$</w:t>
      </w:r>
      <w:r w:rsidR="00C97D61">
        <w:t xml:space="preserve"> amount to det</w:t>
      </w:r>
      <w:r w:rsidR="00702CF3">
        <w:t>ermine the amount of NRWT owed.</w:t>
      </w:r>
    </w:p>
    <w:p w:rsidR="00C97D61" w:rsidRDefault="00C97D61" w:rsidP="00DB2E88"/>
    <w:p w:rsidR="00FA5721" w:rsidRDefault="00C97D61" w:rsidP="00C97D61">
      <w:pPr>
        <w:pStyle w:val="Chapter3"/>
        <w:tabs>
          <w:tab w:val="clear" w:pos="1702"/>
        </w:tabs>
        <w:ind w:left="851"/>
      </w:pPr>
      <w:r>
        <w:t xml:space="preserve">Although this method gives the same total amount of </w:t>
      </w:r>
      <w:r w:rsidR="00F139D1">
        <w:t xml:space="preserve">foreign currency </w:t>
      </w:r>
      <w:r w:rsidR="009B6D39">
        <w:t>NRP</w:t>
      </w:r>
      <w:r>
        <w:t xml:space="preserve">I as the existing rule, the amount of </w:t>
      </w:r>
      <w:r w:rsidR="009B6D39">
        <w:t>NZ$ NRP</w:t>
      </w:r>
      <w:r w:rsidR="00F139D1">
        <w:t xml:space="preserve">I and hence </w:t>
      </w:r>
      <w:r>
        <w:t>NRWT may be different because of the different conversion date (since under the current rules, conversion occurs when the foreign currency interest is paid).</w:t>
      </w:r>
    </w:p>
    <w:p w:rsidR="00FA5721" w:rsidRDefault="00FA5721" w:rsidP="00DB2E88"/>
    <w:p w:rsidR="00FA5721" w:rsidRDefault="00FA5721" w:rsidP="00CB14C8">
      <w:pPr>
        <w:pStyle w:val="Chapter3"/>
        <w:tabs>
          <w:tab w:val="clear" w:pos="1702"/>
        </w:tabs>
        <w:ind w:left="851"/>
      </w:pPr>
      <w:r>
        <w:t>One option would be for this difference to be left unaddressed.  The other would be for a wash</w:t>
      </w:r>
      <w:r w:rsidR="001C411D">
        <w:t>-</w:t>
      </w:r>
      <w:r>
        <w:t xml:space="preserve">up calculation to be undertaken.  If the NZ$ value of the amount of interest paid exceeds the NRFAI, the taxpayer would owe additional NRWT, and in the reverse situation, the NRWT previously paid could be </w:t>
      </w:r>
      <w:r w:rsidR="001C411D">
        <w:t>adjusted</w:t>
      </w:r>
      <w:r>
        <w:t xml:space="preserve"> downwards.</w:t>
      </w:r>
    </w:p>
    <w:p w:rsidR="001A3D93" w:rsidRDefault="001A3D93" w:rsidP="00DB2E88"/>
    <w:p w:rsidR="001A3D93" w:rsidRDefault="001A3D93" w:rsidP="00CB14C8">
      <w:pPr>
        <w:pStyle w:val="Chapter3"/>
        <w:tabs>
          <w:tab w:val="clear" w:pos="1702"/>
        </w:tabs>
        <w:ind w:left="851"/>
      </w:pPr>
      <w:r>
        <w:t xml:space="preserve">Given that the real economic cost of NRWT under the </w:t>
      </w:r>
      <w:r w:rsidR="00AF4CB8">
        <w:t xml:space="preserve">suggested </w:t>
      </w:r>
      <w:r>
        <w:t xml:space="preserve">new rules will be quite different from the cost under the existing rules (because of the different timing of the tax obligation), </w:t>
      </w:r>
      <w:r w:rsidR="00B63135">
        <w:t>we do not consider it is necessary to</w:t>
      </w:r>
      <w:r>
        <w:t xml:space="preserve"> introduc</w:t>
      </w:r>
      <w:r w:rsidR="00B63135">
        <w:t>e</w:t>
      </w:r>
      <w:r>
        <w:t xml:space="preserve"> a special rule, with its own complexities, for the purpose of equali</w:t>
      </w:r>
      <w:r w:rsidR="00B63135">
        <w:t>s</w:t>
      </w:r>
      <w:r w:rsidR="00D02644">
        <w:t>ing the nominal amounts.</w:t>
      </w:r>
    </w:p>
    <w:p w:rsidR="00FA5721" w:rsidRDefault="00FA5721" w:rsidP="00DB2E88"/>
    <w:p w:rsidR="00FA5721" w:rsidRDefault="00FA5721" w:rsidP="00CB14C8">
      <w:pPr>
        <w:pStyle w:val="Chapter3"/>
        <w:tabs>
          <w:tab w:val="clear" w:pos="1702"/>
        </w:tabs>
        <w:ind w:left="851"/>
      </w:pPr>
      <w:r>
        <w:t>Officials invite submissions on this point.</w:t>
      </w:r>
    </w:p>
    <w:p w:rsidR="00624712" w:rsidRDefault="00624712" w:rsidP="00DB2E88"/>
    <w:p w:rsidR="001F4F73" w:rsidRDefault="001F4F73">
      <w:pPr>
        <w:jc w:val="left"/>
        <w:rPr>
          <w:snapToGrid w:val="0"/>
          <w:lang w:val="en-NZ" w:eastAsia="en-US"/>
        </w:rPr>
      </w:pPr>
      <w:r>
        <w:br w:type="page"/>
      </w:r>
    </w:p>
    <w:p w:rsidR="001F4F73" w:rsidRDefault="00676286" w:rsidP="00DB2E88">
      <w:r>
        <w:rPr>
          <w:noProof/>
          <w:lang w:val="en-NZ" w:eastAsia="en-NZ"/>
        </w:rPr>
        <w:lastRenderedPageBreak/>
        <mc:AlternateContent>
          <mc:Choice Requires="wps">
            <w:drawing>
              <wp:anchor distT="0" distB="0" distL="114300" distR="114300" simplePos="0" relativeHeight="251669504" behindDoc="0" locked="0" layoutInCell="1" allowOverlap="1" wp14:anchorId="64AE3AD6" wp14:editId="0B141A0F">
                <wp:simplePos x="0" y="0"/>
                <wp:positionH relativeFrom="column">
                  <wp:posOffset>18416</wp:posOffset>
                </wp:positionH>
                <wp:positionV relativeFrom="paragraph">
                  <wp:posOffset>35560</wp:posOffset>
                </wp:positionV>
                <wp:extent cx="5549900" cy="6807200"/>
                <wp:effectExtent l="0" t="0"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6807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5pt;margin-top:2.8pt;width:437pt;height: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" filled="f" strokecolor="windowText">
                <v:path arrowok="t"/>
              </v:rect>
            </w:pict>
          </mc:Fallback>
        </mc:AlternateContent>
      </w:r>
    </w:p>
    <w:p w:rsidR="001F4F73" w:rsidRPr="00702CF3" w:rsidRDefault="001F4F73" w:rsidP="00702CF3">
      <w:pPr>
        <w:pStyle w:val="Chapter3"/>
        <w:numPr>
          <w:ilvl w:val="0"/>
          <w:numId w:val="0"/>
        </w:numPr>
        <w:ind w:left="284"/>
        <w:rPr>
          <w:b/>
          <w:sz w:val="20"/>
        </w:rPr>
      </w:pPr>
      <w:r w:rsidRPr="00702CF3">
        <w:rPr>
          <w:b/>
          <w:sz w:val="20"/>
        </w:rPr>
        <w:t>Example 4</w:t>
      </w:r>
    </w:p>
    <w:p w:rsidR="001F4F73" w:rsidRPr="00702CF3" w:rsidRDefault="001F4F73" w:rsidP="00702CF3">
      <w:pPr>
        <w:pStyle w:val="Chapter3"/>
        <w:numPr>
          <w:ilvl w:val="0"/>
          <w:numId w:val="0"/>
        </w:numPr>
        <w:ind w:left="284"/>
        <w:rPr>
          <w:sz w:val="20"/>
        </w:rPr>
      </w:pPr>
    </w:p>
    <w:p w:rsidR="001F4F73" w:rsidRPr="00702CF3" w:rsidRDefault="001F4F73" w:rsidP="00702CF3">
      <w:pPr>
        <w:pStyle w:val="Chapter3"/>
        <w:numPr>
          <w:ilvl w:val="0"/>
          <w:numId w:val="0"/>
        </w:numPr>
        <w:ind w:left="284"/>
        <w:rPr>
          <w:sz w:val="20"/>
        </w:rPr>
      </w:pPr>
      <w:r w:rsidRPr="00702CF3">
        <w:rPr>
          <w:sz w:val="20"/>
        </w:rPr>
        <w:t>NZ Sub Ltd has a March balance date and is wholly owned by Aus</w:t>
      </w:r>
      <w:r w:rsidR="00F838ED" w:rsidRPr="00702CF3">
        <w:rPr>
          <w:sz w:val="20"/>
        </w:rPr>
        <w:t xml:space="preserve"> Parent</w:t>
      </w:r>
      <w:r w:rsidRPr="00702CF3">
        <w:rPr>
          <w:sz w:val="20"/>
        </w:rPr>
        <w:t xml:space="preserve"> Ltd.  On 1 April 2018 NZ Sub Ltd issues a </w:t>
      </w:r>
      <w:r w:rsidR="00F91742" w:rsidRPr="00702CF3">
        <w:rPr>
          <w:sz w:val="20"/>
        </w:rPr>
        <w:t>five</w:t>
      </w:r>
      <w:r w:rsidR="00D1229C">
        <w:rPr>
          <w:sz w:val="20"/>
        </w:rPr>
        <w:t>-</w:t>
      </w:r>
      <w:r w:rsidRPr="00702CF3">
        <w:rPr>
          <w:sz w:val="20"/>
        </w:rPr>
        <w:t>year zero coupon bond to Aus</w:t>
      </w:r>
      <w:r w:rsidR="00F838ED" w:rsidRPr="00702CF3">
        <w:rPr>
          <w:sz w:val="20"/>
        </w:rPr>
        <w:t xml:space="preserve"> Parent</w:t>
      </w:r>
      <w:r w:rsidRPr="00702CF3">
        <w:rPr>
          <w:sz w:val="20"/>
        </w:rPr>
        <w:t xml:space="preserve"> Ltd.  This bond has an issue price of AU$100 and a </w:t>
      </w:r>
      <w:r w:rsidR="00F838ED" w:rsidRPr="00702CF3">
        <w:rPr>
          <w:sz w:val="20"/>
        </w:rPr>
        <w:t>face</w:t>
      </w:r>
      <w:r w:rsidRPr="00702CF3">
        <w:rPr>
          <w:sz w:val="20"/>
        </w:rPr>
        <w:t xml:space="preserve"> value of AU$150 on 31 March 2023.</w:t>
      </w:r>
    </w:p>
    <w:p w:rsidR="001F4F73" w:rsidRPr="00702CF3" w:rsidRDefault="001F4F73" w:rsidP="00702CF3">
      <w:pPr>
        <w:pStyle w:val="Chapter3"/>
        <w:numPr>
          <w:ilvl w:val="0"/>
          <w:numId w:val="0"/>
        </w:numPr>
        <w:ind w:left="284"/>
        <w:rPr>
          <w:sz w:val="20"/>
        </w:rPr>
      </w:pPr>
    </w:p>
    <w:p w:rsidR="001F4F73" w:rsidRPr="00702CF3" w:rsidRDefault="001F4F73" w:rsidP="00702CF3">
      <w:pPr>
        <w:pStyle w:val="Chapter3"/>
        <w:numPr>
          <w:ilvl w:val="0"/>
          <w:numId w:val="0"/>
        </w:numPr>
        <w:ind w:left="284"/>
        <w:rPr>
          <w:sz w:val="20"/>
        </w:rPr>
      </w:pPr>
      <w:r w:rsidRPr="00702CF3">
        <w:rPr>
          <w:sz w:val="20"/>
        </w:rPr>
        <w:t>As the difference between NR</w:t>
      </w:r>
      <w:r w:rsidR="009B6D39" w:rsidRPr="00702CF3">
        <w:rPr>
          <w:sz w:val="20"/>
        </w:rPr>
        <w:t>P</w:t>
      </w:r>
      <w:r w:rsidRPr="00702CF3">
        <w:rPr>
          <w:sz w:val="20"/>
        </w:rPr>
        <w:t xml:space="preserve">I from interest </w:t>
      </w:r>
      <w:r w:rsidR="00101350" w:rsidRPr="00702CF3">
        <w:rPr>
          <w:sz w:val="20"/>
        </w:rPr>
        <w:t xml:space="preserve">payments </w:t>
      </w:r>
      <w:r w:rsidRPr="00702CF3">
        <w:rPr>
          <w:sz w:val="20"/>
        </w:rPr>
        <w:t>and NR</w:t>
      </w:r>
      <w:r w:rsidR="009B6D39" w:rsidRPr="00702CF3">
        <w:rPr>
          <w:sz w:val="20"/>
        </w:rPr>
        <w:t>P</w:t>
      </w:r>
      <w:r w:rsidRPr="00702CF3">
        <w:rPr>
          <w:sz w:val="20"/>
        </w:rPr>
        <w:t>I from NRFAI using YTM is more than 10%, and NZ Sub Ltd and Aus</w:t>
      </w:r>
      <w:r w:rsidR="00F838ED" w:rsidRPr="00702CF3">
        <w:rPr>
          <w:sz w:val="20"/>
        </w:rPr>
        <w:t xml:space="preserve"> Parent</w:t>
      </w:r>
      <w:r w:rsidRPr="00702CF3">
        <w:rPr>
          <w:sz w:val="20"/>
        </w:rPr>
        <w:t xml:space="preserve"> Ltd are associated</w:t>
      </w:r>
      <w:r w:rsidR="00D02644">
        <w:rPr>
          <w:sz w:val="20"/>
        </w:rPr>
        <w:t>, the bond gives rise to NRFAI.</w:t>
      </w:r>
    </w:p>
    <w:p w:rsidR="001F4F73" w:rsidRPr="00702CF3" w:rsidRDefault="001F4F73" w:rsidP="00702CF3">
      <w:pPr>
        <w:pStyle w:val="Chapter3"/>
        <w:numPr>
          <w:ilvl w:val="0"/>
          <w:numId w:val="0"/>
        </w:numPr>
        <w:ind w:left="284"/>
        <w:rPr>
          <w:sz w:val="20"/>
        </w:rPr>
      </w:pPr>
    </w:p>
    <w:p w:rsidR="001F4F73" w:rsidRPr="00702CF3" w:rsidRDefault="001F4F73" w:rsidP="00702CF3">
      <w:pPr>
        <w:pStyle w:val="Chapter3"/>
        <w:numPr>
          <w:ilvl w:val="0"/>
          <w:numId w:val="0"/>
        </w:numPr>
        <w:ind w:left="284"/>
        <w:rPr>
          <w:sz w:val="20"/>
        </w:rPr>
      </w:pPr>
      <w:r w:rsidRPr="00702CF3">
        <w:rPr>
          <w:sz w:val="20"/>
        </w:rPr>
        <w:t>Assume the exchange rate at each balance date is:</w:t>
      </w:r>
    </w:p>
    <w:p w:rsidR="001F4F73" w:rsidRPr="00702CF3" w:rsidRDefault="001F4F73" w:rsidP="00702CF3">
      <w:pPr>
        <w:pStyle w:val="Chapter3"/>
        <w:numPr>
          <w:ilvl w:val="0"/>
          <w:numId w:val="0"/>
        </w:numPr>
        <w:ind w:left="284"/>
        <w:rPr>
          <w:sz w:val="20"/>
        </w:rPr>
      </w:pPr>
    </w:p>
    <w:tbl>
      <w:tblPr>
        <w:tblStyle w:val="TableGrid"/>
        <w:tblW w:w="0" w:type="auto"/>
        <w:jc w:val="center"/>
        <w:tblLayout w:type="fixed"/>
        <w:tblCellMar>
          <w:top w:w="57" w:type="dxa"/>
          <w:left w:w="57" w:type="dxa"/>
          <w:bottom w:w="57" w:type="dxa"/>
          <w:right w:w="57" w:type="dxa"/>
        </w:tblCellMar>
        <w:tblLook w:val="04A0" w:firstRow="1" w:lastRow="0" w:firstColumn="1" w:lastColumn="0" w:noHBand="0" w:noVBand="1"/>
      </w:tblPr>
      <w:tblGrid>
        <w:gridCol w:w="1534"/>
        <w:gridCol w:w="2498"/>
      </w:tblGrid>
      <w:tr w:rsidR="001F4F73" w:rsidRPr="006A2C9E" w:rsidTr="006A2C9E">
        <w:trPr>
          <w:jc w:val="center"/>
        </w:trPr>
        <w:tc>
          <w:tcPr>
            <w:tcW w:w="1534" w:type="dxa"/>
          </w:tcPr>
          <w:p w:rsidR="001F4F73" w:rsidRPr="006A2C9E" w:rsidRDefault="001F4F73" w:rsidP="006A2C9E">
            <w:pPr>
              <w:ind w:left="6" w:right="-17"/>
              <w:rPr>
                <w:b/>
                <w:sz w:val="18"/>
                <w:szCs w:val="18"/>
              </w:rPr>
            </w:pPr>
            <w:r w:rsidRPr="006A2C9E">
              <w:rPr>
                <w:b/>
                <w:sz w:val="18"/>
                <w:szCs w:val="18"/>
              </w:rPr>
              <w:t>Balance date</w:t>
            </w:r>
          </w:p>
        </w:tc>
        <w:tc>
          <w:tcPr>
            <w:tcW w:w="2498" w:type="dxa"/>
          </w:tcPr>
          <w:p w:rsidR="001F4F73" w:rsidRPr="006A2C9E" w:rsidRDefault="00D7705B" w:rsidP="006A2C9E">
            <w:pPr>
              <w:ind w:left="31" w:right="-17"/>
              <w:jc w:val="left"/>
              <w:rPr>
                <w:b/>
                <w:sz w:val="18"/>
                <w:szCs w:val="18"/>
              </w:rPr>
            </w:pPr>
            <w:r>
              <w:rPr>
                <w:b/>
                <w:sz w:val="18"/>
                <w:szCs w:val="18"/>
              </w:rPr>
              <w:t>NZD/AUD e</w:t>
            </w:r>
            <w:r w:rsidR="001F4F73" w:rsidRPr="006A2C9E">
              <w:rPr>
                <w:b/>
                <w:sz w:val="18"/>
                <w:szCs w:val="18"/>
              </w:rPr>
              <w:t>xchange rate</w:t>
            </w:r>
          </w:p>
        </w:tc>
      </w:tr>
      <w:tr w:rsidR="001F4F73" w:rsidRPr="00702CF3" w:rsidTr="006A2C9E">
        <w:trPr>
          <w:jc w:val="center"/>
        </w:trPr>
        <w:tc>
          <w:tcPr>
            <w:tcW w:w="1534" w:type="dxa"/>
          </w:tcPr>
          <w:p w:rsidR="001F4F73" w:rsidRPr="00702CF3" w:rsidRDefault="001F4F73" w:rsidP="006A2C9E">
            <w:pPr>
              <w:ind w:left="6" w:right="-17"/>
              <w:rPr>
                <w:sz w:val="18"/>
                <w:szCs w:val="18"/>
              </w:rPr>
            </w:pPr>
            <w:r w:rsidRPr="00702CF3">
              <w:rPr>
                <w:sz w:val="18"/>
                <w:szCs w:val="18"/>
              </w:rPr>
              <w:t>March 2018</w:t>
            </w:r>
          </w:p>
        </w:tc>
        <w:tc>
          <w:tcPr>
            <w:tcW w:w="2498" w:type="dxa"/>
          </w:tcPr>
          <w:p w:rsidR="001F4F73" w:rsidRPr="00702CF3" w:rsidRDefault="001F4F73" w:rsidP="006A2C9E">
            <w:pPr>
              <w:ind w:left="31" w:right="-17"/>
              <w:jc w:val="left"/>
              <w:rPr>
                <w:sz w:val="18"/>
                <w:szCs w:val="18"/>
              </w:rPr>
            </w:pPr>
            <w:r w:rsidRPr="00702CF3">
              <w:rPr>
                <w:sz w:val="18"/>
                <w:szCs w:val="18"/>
              </w:rPr>
              <w:t>0.9123</w:t>
            </w:r>
          </w:p>
        </w:tc>
      </w:tr>
      <w:tr w:rsidR="001F4F73" w:rsidRPr="00702CF3" w:rsidTr="006A2C9E">
        <w:trPr>
          <w:jc w:val="center"/>
        </w:trPr>
        <w:tc>
          <w:tcPr>
            <w:tcW w:w="1534" w:type="dxa"/>
          </w:tcPr>
          <w:p w:rsidR="001F4F73" w:rsidRPr="00702CF3" w:rsidRDefault="001F4F73" w:rsidP="006A2C9E">
            <w:pPr>
              <w:ind w:left="6" w:right="-17"/>
              <w:rPr>
                <w:sz w:val="18"/>
                <w:szCs w:val="18"/>
              </w:rPr>
            </w:pPr>
            <w:r w:rsidRPr="00702CF3">
              <w:rPr>
                <w:sz w:val="18"/>
                <w:szCs w:val="18"/>
              </w:rPr>
              <w:t>March 2019</w:t>
            </w:r>
          </w:p>
        </w:tc>
        <w:tc>
          <w:tcPr>
            <w:tcW w:w="2498" w:type="dxa"/>
          </w:tcPr>
          <w:p w:rsidR="001F4F73" w:rsidRPr="00702CF3" w:rsidRDefault="001F4F73" w:rsidP="006A2C9E">
            <w:pPr>
              <w:ind w:left="31" w:right="-17"/>
              <w:jc w:val="left"/>
              <w:rPr>
                <w:sz w:val="18"/>
                <w:szCs w:val="18"/>
              </w:rPr>
            </w:pPr>
            <w:r w:rsidRPr="00702CF3">
              <w:rPr>
                <w:sz w:val="18"/>
                <w:szCs w:val="18"/>
              </w:rPr>
              <w:t>0.9567</w:t>
            </w:r>
          </w:p>
        </w:tc>
      </w:tr>
      <w:tr w:rsidR="001F4F73" w:rsidRPr="00702CF3" w:rsidTr="006A2C9E">
        <w:trPr>
          <w:jc w:val="center"/>
        </w:trPr>
        <w:tc>
          <w:tcPr>
            <w:tcW w:w="1534" w:type="dxa"/>
          </w:tcPr>
          <w:p w:rsidR="001F4F73" w:rsidRPr="00702CF3" w:rsidRDefault="001F4F73" w:rsidP="006A2C9E">
            <w:pPr>
              <w:ind w:left="6" w:right="-17"/>
              <w:rPr>
                <w:sz w:val="18"/>
                <w:szCs w:val="18"/>
              </w:rPr>
            </w:pPr>
            <w:r w:rsidRPr="00702CF3">
              <w:rPr>
                <w:sz w:val="18"/>
                <w:szCs w:val="18"/>
              </w:rPr>
              <w:t>March 2020</w:t>
            </w:r>
          </w:p>
        </w:tc>
        <w:tc>
          <w:tcPr>
            <w:tcW w:w="2498" w:type="dxa"/>
          </w:tcPr>
          <w:p w:rsidR="001F4F73" w:rsidRPr="00702CF3" w:rsidRDefault="001F4F73" w:rsidP="006A2C9E">
            <w:pPr>
              <w:ind w:left="31" w:right="-17"/>
              <w:jc w:val="left"/>
              <w:rPr>
                <w:sz w:val="18"/>
                <w:szCs w:val="18"/>
              </w:rPr>
            </w:pPr>
            <w:r w:rsidRPr="00702CF3">
              <w:rPr>
                <w:sz w:val="18"/>
                <w:szCs w:val="18"/>
              </w:rPr>
              <w:t>0.8935</w:t>
            </w:r>
          </w:p>
        </w:tc>
      </w:tr>
      <w:tr w:rsidR="001F4F73" w:rsidRPr="00702CF3" w:rsidTr="006A2C9E">
        <w:trPr>
          <w:jc w:val="center"/>
        </w:trPr>
        <w:tc>
          <w:tcPr>
            <w:tcW w:w="1534" w:type="dxa"/>
          </w:tcPr>
          <w:p w:rsidR="001F4F73" w:rsidRPr="00702CF3" w:rsidRDefault="001F4F73" w:rsidP="006A2C9E">
            <w:pPr>
              <w:ind w:left="6" w:right="-17"/>
              <w:rPr>
                <w:sz w:val="18"/>
                <w:szCs w:val="18"/>
              </w:rPr>
            </w:pPr>
            <w:r w:rsidRPr="00702CF3">
              <w:rPr>
                <w:sz w:val="18"/>
                <w:szCs w:val="18"/>
              </w:rPr>
              <w:t>March 2021</w:t>
            </w:r>
          </w:p>
        </w:tc>
        <w:tc>
          <w:tcPr>
            <w:tcW w:w="2498" w:type="dxa"/>
          </w:tcPr>
          <w:p w:rsidR="001F4F73" w:rsidRPr="00702CF3" w:rsidRDefault="00BF6E32" w:rsidP="006A2C9E">
            <w:pPr>
              <w:ind w:left="31" w:right="-17"/>
              <w:jc w:val="left"/>
              <w:rPr>
                <w:sz w:val="18"/>
                <w:szCs w:val="18"/>
              </w:rPr>
            </w:pPr>
            <w:r w:rsidRPr="00702CF3">
              <w:rPr>
                <w:sz w:val="18"/>
                <w:szCs w:val="18"/>
              </w:rPr>
              <w:t>0.9</w:t>
            </w:r>
            <w:r w:rsidR="001F4F73" w:rsidRPr="00702CF3">
              <w:rPr>
                <w:sz w:val="18"/>
                <w:szCs w:val="18"/>
              </w:rPr>
              <w:t>123</w:t>
            </w:r>
          </w:p>
        </w:tc>
      </w:tr>
      <w:tr w:rsidR="001F4F73" w:rsidRPr="00702CF3" w:rsidTr="006A2C9E">
        <w:trPr>
          <w:jc w:val="center"/>
        </w:trPr>
        <w:tc>
          <w:tcPr>
            <w:tcW w:w="1534" w:type="dxa"/>
          </w:tcPr>
          <w:p w:rsidR="001F4F73" w:rsidRPr="00702CF3" w:rsidRDefault="001F4F73" w:rsidP="006A2C9E">
            <w:pPr>
              <w:ind w:left="6" w:right="-17"/>
              <w:rPr>
                <w:sz w:val="18"/>
                <w:szCs w:val="18"/>
              </w:rPr>
            </w:pPr>
            <w:r w:rsidRPr="00702CF3">
              <w:rPr>
                <w:sz w:val="18"/>
                <w:szCs w:val="18"/>
              </w:rPr>
              <w:t>March 2022</w:t>
            </w:r>
          </w:p>
        </w:tc>
        <w:tc>
          <w:tcPr>
            <w:tcW w:w="2498" w:type="dxa"/>
          </w:tcPr>
          <w:p w:rsidR="001F4F73" w:rsidRPr="00702CF3" w:rsidRDefault="001F4F73" w:rsidP="006A2C9E">
            <w:pPr>
              <w:ind w:left="31" w:right="-17"/>
              <w:jc w:val="left"/>
              <w:rPr>
                <w:sz w:val="18"/>
                <w:szCs w:val="18"/>
              </w:rPr>
            </w:pPr>
            <w:r w:rsidRPr="00702CF3">
              <w:rPr>
                <w:sz w:val="18"/>
                <w:szCs w:val="18"/>
              </w:rPr>
              <w:t>0.9236</w:t>
            </w:r>
          </w:p>
        </w:tc>
      </w:tr>
      <w:tr w:rsidR="001F4F73" w:rsidRPr="00702CF3" w:rsidTr="006A2C9E">
        <w:trPr>
          <w:jc w:val="center"/>
        </w:trPr>
        <w:tc>
          <w:tcPr>
            <w:tcW w:w="1534" w:type="dxa"/>
          </w:tcPr>
          <w:p w:rsidR="001F4F73" w:rsidRPr="00702CF3" w:rsidRDefault="001F4F73" w:rsidP="006A2C9E">
            <w:pPr>
              <w:ind w:left="6" w:right="-17"/>
              <w:rPr>
                <w:sz w:val="18"/>
                <w:szCs w:val="18"/>
              </w:rPr>
            </w:pPr>
            <w:r w:rsidRPr="00702CF3">
              <w:rPr>
                <w:sz w:val="18"/>
                <w:szCs w:val="18"/>
              </w:rPr>
              <w:t>March 2023</w:t>
            </w:r>
          </w:p>
        </w:tc>
        <w:tc>
          <w:tcPr>
            <w:tcW w:w="2498" w:type="dxa"/>
          </w:tcPr>
          <w:p w:rsidR="001F4F73" w:rsidRPr="00702CF3" w:rsidRDefault="001F4F73" w:rsidP="006A2C9E">
            <w:pPr>
              <w:ind w:left="31" w:right="-17"/>
              <w:jc w:val="left"/>
              <w:rPr>
                <w:sz w:val="18"/>
                <w:szCs w:val="18"/>
              </w:rPr>
            </w:pPr>
            <w:r w:rsidRPr="00702CF3">
              <w:rPr>
                <w:sz w:val="18"/>
                <w:szCs w:val="18"/>
              </w:rPr>
              <w:t>0.8576</w:t>
            </w:r>
          </w:p>
        </w:tc>
      </w:tr>
    </w:tbl>
    <w:p w:rsidR="001F4F73" w:rsidRPr="00702CF3" w:rsidRDefault="001F4F73" w:rsidP="00702CF3">
      <w:pPr>
        <w:pStyle w:val="Chapter3"/>
        <w:numPr>
          <w:ilvl w:val="0"/>
          <w:numId w:val="0"/>
        </w:numPr>
        <w:ind w:left="284"/>
        <w:rPr>
          <w:sz w:val="20"/>
        </w:rPr>
      </w:pPr>
    </w:p>
    <w:p w:rsidR="001F4F73" w:rsidRPr="00702CF3" w:rsidRDefault="001F4F73" w:rsidP="00702CF3">
      <w:pPr>
        <w:pStyle w:val="Chapter3"/>
        <w:numPr>
          <w:ilvl w:val="0"/>
          <w:numId w:val="0"/>
        </w:numPr>
        <w:ind w:left="284"/>
        <w:rPr>
          <w:sz w:val="20"/>
        </w:rPr>
      </w:pPr>
      <w:r w:rsidRPr="00702CF3">
        <w:rPr>
          <w:sz w:val="20"/>
        </w:rPr>
        <w:t>In NZ Sub Ltd’s March NRWT returns it has to return the following amounts:</w:t>
      </w:r>
    </w:p>
    <w:p w:rsidR="00C03367" w:rsidRPr="00702CF3" w:rsidRDefault="00C03367" w:rsidP="00702CF3">
      <w:pPr>
        <w:pStyle w:val="Chapter3"/>
        <w:numPr>
          <w:ilvl w:val="0"/>
          <w:numId w:val="0"/>
        </w:numPr>
        <w:ind w:left="284"/>
        <w:rPr>
          <w:sz w:val="20"/>
        </w:rPr>
      </w:pPr>
    </w:p>
    <w:tbl>
      <w:tblPr>
        <w:tblStyle w:val="TableGrid"/>
        <w:tblW w:w="6953" w:type="dxa"/>
        <w:jc w:val="center"/>
        <w:tblLayout w:type="fixed"/>
        <w:tblCellMar>
          <w:top w:w="57" w:type="dxa"/>
          <w:left w:w="57" w:type="dxa"/>
          <w:bottom w:w="57" w:type="dxa"/>
          <w:right w:w="57" w:type="dxa"/>
        </w:tblCellMar>
        <w:tblLook w:val="04A0" w:firstRow="1" w:lastRow="0" w:firstColumn="1" w:lastColumn="0" w:noHBand="0" w:noVBand="1"/>
      </w:tblPr>
      <w:tblGrid>
        <w:gridCol w:w="1534"/>
        <w:gridCol w:w="1806"/>
        <w:gridCol w:w="1806"/>
        <w:gridCol w:w="1807"/>
      </w:tblGrid>
      <w:tr w:rsidR="001F4F73" w:rsidRPr="006A2C9E" w:rsidTr="006A2C9E">
        <w:trPr>
          <w:jc w:val="center"/>
        </w:trPr>
        <w:tc>
          <w:tcPr>
            <w:tcW w:w="1534" w:type="dxa"/>
          </w:tcPr>
          <w:p w:rsidR="001F4F73" w:rsidRPr="006A2C9E" w:rsidRDefault="00145614" w:rsidP="006A2C9E">
            <w:pPr>
              <w:ind w:left="19" w:right="-17"/>
              <w:jc w:val="left"/>
              <w:rPr>
                <w:b/>
                <w:sz w:val="18"/>
                <w:szCs w:val="18"/>
              </w:rPr>
            </w:pPr>
            <w:r>
              <w:rPr>
                <w:b/>
                <w:sz w:val="18"/>
                <w:szCs w:val="18"/>
              </w:rPr>
              <w:t>NRWT r</w:t>
            </w:r>
            <w:r w:rsidR="001F4F73" w:rsidRPr="006A2C9E">
              <w:rPr>
                <w:b/>
                <w:sz w:val="18"/>
                <w:szCs w:val="18"/>
              </w:rPr>
              <w:t>eturn</w:t>
            </w:r>
          </w:p>
        </w:tc>
        <w:tc>
          <w:tcPr>
            <w:tcW w:w="1806" w:type="dxa"/>
          </w:tcPr>
          <w:p w:rsidR="001F4F73" w:rsidRPr="006A2C9E" w:rsidRDefault="001F4F73" w:rsidP="006A2C9E">
            <w:pPr>
              <w:ind w:left="44" w:right="-17"/>
              <w:jc w:val="left"/>
              <w:rPr>
                <w:b/>
                <w:sz w:val="18"/>
                <w:szCs w:val="18"/>
              </w:rPr>
            </w:pPr>
            <w:r w:rsidRPr="006A2C9E">
              <w:rPr>
                <w:b/>
                <w:sz w:val="18"/>
                <w:szCs w:val="18"/>
              </w:rPr>
              <w:t>AU$ NRFAI</w:t>
            </w:r>
          </w:p>
        </w:tc>
        <w:tc>
          <w:tcPr>
            <w:tcW w:w="1806" w:type="dxa"/>
          </w:tcPr>
          <w:p w:rsidR="001F4F73" w:rsidRPr="006A2C9E" w:rsidRDefault="001F4F73" w:rsidP="006A2C9E">
            <w:pPr>
              <w:ind w:left="81" w:right="-17"/>
              <w:jc w:val="left"/>
              <w:rPr>
                <w:b/>
                <w:sz w:val="18"/>
                <w:szCs w:val="18"/>
              </w:rPr>
            </w:pPr>
            <w:r w:rsidRPr="006A2C9E">
              <w:rPr>
                <w:b/>
                <w:sz w:val="18"/>
                <w:szCs w:val="18"/>
              </w:rPr>
              <w:t>NZ$ equivalent NRFAI</w:t>
            </w:r>
          </w:p>
        </w:tc>
        <w:tc>
          <w:tcPr>
            <w:tcW w:w="1807" w:type="dxa"/>
          </w:tcPr>
          <w:p w:rsidR="001F4F73" w:rsidRPr="006A2C9E" w:rsidRDefault="001F4F73" w:rsidP="006A2C9E">
            <w:pPr>
              <w:ind w:right="-17"/>
              <w:jc w:val="left"/>
              <w:rPr>
                <w:b/>
                <w:sz w:val="18"/>
                <w:szCs w:val="18"/>
              </w:rPr>
            </w:pPr>
            <w:r w:rsidRPr="006A2C9E">
              <w:rPr>
                <w:b/>
                <w:sz w:val="18"/>
                <w:szCs w:val="18"/>
              </w:rPr>
              <w:t>NRWT on NZ$ NRFAI</w:t>
            </w:r>
          </w:p>
        </w:tc>
      </w:tr>
      <w:tr w:rsidR="00BF6E32" w:rsidRPr="00702CF3" w:rsidTr="006A2C9E">
        <w:trPr>
          <w:jc w:val="center"/>
        </w:trPr>
        <w:tc>
          <w:tcPr>
            <w:tcW w:w="1534" w:type="dxa"/>
          </w:tcPr>
          <w:p w:rsidR="00BF6E32" w:rsidRPr="00702CF3" w:rsidRDefault="00BF6E32" w:rsidP="006A2C9E">
            <w:pPr>
              <w:ind w:left="19" w:right="-17"/>
              <w:rPr>
                <w:sz w:val="18"/>
                <w:szCs w:val="18"/>
              </w:rPr>
            </w:pPr>
            <w:r w:rsidRPr="00702CF3">
              <w:rPr>
                <w:sz w:val="18"/>
                <w:szCs w:val="18"/>
              </w:rPr>
              <w:t>March 2019</w:t>
            </w:r>
          </w:p>
        </w:tc>
        <w:tc>
          <w:tcPr>
            <w:tcW w:w="1806" w:type="dxa"/>
          </w:tcPr>
          <w:p w:rsidR="00BF6E32" w:rsidRPr="00702CF3" w:rsidRDefault="00BF6E32" w:rsidP="006A2C9E">
            <w:pPr>
              <w:ind w:left="44" w:right="-17"/>
              <w:rPr>
                <w:sz w:val="18"/>
                <w:szCs w:val="18"/>
              </w:rPr>
            </w:pPr>
            <w:r w:rsidRPr="00702CF3">
              <w:rPr>
                <w:sz w:val="18"/>
                <w:szCs w:val="18"/>
              </w:rPr>
              <w:t>$8.45</w:t>
            </w:r>
          </w:p>
        </w:tc>
        <w:tc>
          <w:tcPr>
            <w:tcW w:w="1806" w:type="dxa"/>
            <w:vAlign w:val="center"/>
          </w:tcPr>
          <w:p w:rsidR="00BF6E32" w:rsidRPr="00702CF3" w:rsidRDefault="00BF6E32" w:rsidP="006A2C9E">
            <w:pPr>
              <w:ind w:left="81"/>
              <w:rPr>
                <w:color w:val="000000"/>
                <w:sz w:val="18"/>
                <w:szCs w:val="18"/>
              </w:rPr>
            </w:pPr>
            <w:r w:rsidRPr="00702CF3">
              <w:rPr>
                <w:color w:val="000000"/>
                <w:sz w:val="18"/>
                <w:szCs w:val="18"/>
              </w:rPr>
              <w:t>$8.83</w:t>
            </w:r>
          </w:p>
        </w:tc>
        <w:tc>
          <w:tcPr>
            <w:tcW w:w="1807" w:type="dxa"/>
            <w:vAlign w:val="center"/>
          </w:tcPr>
          <w:p w:rsidR="00BF6E32" w:rsidRPr="00702CF3" w:rsidRDefault="00BF6E32" w:rsidP="006A2C9E">
            <w:pPr>
              <w:rPr>
                <w:color w:val="000000"/>
                <w:sz w:val="18"/>
                <w:szCs w:val="18"/>
              </w:rPr>
            </w:pPr>
            <w:r w:rsidRPr="00702CF3">
              <w:rPr>
                <w:color w:val="000000"/>
                <w:sz w:val="18"/>
                <w:szCs w:val="18"/>
              </w:rPr>
              <w:t>$0.88</w:t>
            </w:r>
          </w:p>
        </w:tc>
      </w:tr>
      <w:tr w:rsidR="00BF6E32" w:rsidRPr="00702CF3" w:rsidTr="006A2C9E">
        <w:trPr>
          <w:jc w:val="center"/>
        </w:trPr>
        <w:tc>
          <w:tcPr>
            <w:tcW w:w="1534" w:type="dxa"/>
          </w:tcPr>
          <w:p w:rsidR="00BF6E32" w:rsidRPr="00702CF3" w:rsidRDefault="00BF6E32" w:rsidP="006A2C9E">
            <w:pPr>
              <w:ind w:left="19" w:right="-17"/>
              <w:rPr>
                <w:sz w:val="18"/>
                <w:szCs w:val="18"/>
              </w:rPr>
            </w:pPr>
            <w:r w:rsidRPr="00702CF3">
              <w:rPr>
                <w:sz w:val="18"/>
                <w:szCs w:val="18"/>
              </w:rPr>
              <w:t>March 2020</w:t>
            </w:r>
          </w:p>
        </w:tc>
        <w:tc>
          <w:tcPr>
            <w:tcW w:w="1806" w:type="dxa"/>
          </w:tcPr>
          <w:p w:rsidR="00BF6E32" w:rsidRPr="00702CF3" w:rsidRDefault="00BF6E32" w:rsidP="006A2C9E">
            <w:pPr>
              <w:ind w:left="44" w:right="-17"/>
              <w:rPr>
                <w:sz w:val="18"/>
                <w:szCs w:val="18"/>
              </w:rPr>
            </w:pPr>
            <w:r w:rsidRPr="00702CF3">
              <w:rPr>
                <w:sz w:val="18"/>
                <w:szCs w:val="18"/>
              </w:rPr>
              <w:t>$9.16</w:t>
            </w:r>
          </w:p>
        </w:tc>
        <w:tc>
          <w:tcPr>
            <w:tcW w:w="1806" w:type="dxa"/>
            <w:vAlign w:val="center"/>
          </w:tcPr>
          <w:p w:rsidR="00BF6E32" w:rsidRPr="00702CF3" w:rsidRDefault="00BF6E32" w:rsidP="006A2C9E">
            <w:pPr>
              <w:ind w:left="81"/>
              <w:rPr>
                <w:color w:val="000000"/>
                <w:sz w:val="18"/>
                <w:szCs w:val="18"/>
              </w:rPr>
            </w:pPr>
            <w:r w:rsidRPr="00702CF3">
              <w:rPr>
                <w:color w:val="000000"/>
                <w:sz w:val="18"/>
                <w:szCs w:val="18"/>
              </w:rPr>
              <w:t>$10.25</w:t>
            </w:r>
          </w:p>
        </w:tc>
        <w:tc>
          <w:tcPr>
            <w:tcW w:w="1807" w:type="dxa"/>
            <w:vAlign w:val="center"/>
          </w:tcPr>
          <w:p w:rsidR="00BF6E32" w:rsidRPr="00702CF3" w:rsidRDefault="00BF6E32" w:rsidP="006A2C9E">
            <w:pPr>
              <w:rPr>
                <w:color w:val="000000"/>
                <w:sz w:val="18"/>
                <w:szCs w:val="18"/>
              </w:rPr>
            </w:pPr>
            <w:r w:rsidRPr="00702CF3">
              <w:rPr>
                <w:color w:val="000000"/>
                <w:sz w:val="18"/>
                <w:szCs w:val="18"/>
              </w:rPr>
              <w:t>$1.03</w:t>
            </w:r>
          </w:p>
        </w:tc>
      </w:tr>
      <w:tr w:rsidR="00BF6E32" w:rsidRPr="00702CF3" w:rsidTr="006A2C9E">
        <w:trPr>
          <w:jc w:val="center"/>
        </w:trPr>
        <w:tc>
          <w:tcPr>
            <w:tcW w:w="1534" w:type="dxa"/>
          </w:tcPr>
          <w:p w:rsidR="00BF6E32" w:rsidRPr="00702CF3" w:rsidRDefault="00BF6E32" w:rsidP="006A2C9E">
            <w:pPr>
              <w:ind w:left="19" w:right="-17"/>
              <w:rPr>
                <w:sz w:val="18"/>
                <w:szCs w:val="18"/>
              </w:rPr>
            </w:pPr>
            <w:r w:rsidRPr="00702CF3">
              <w:rPr>
                <w:sz w:val="18"/>
                <w:szCs w:val="18"/>
              </w:rPr>
              <w:t>March 2021</w:t>
            </w:r>
          </w:p>
        </w:tc>
        <w:tc>
          <w:tcPr>
            <w:tcW w:w="1806" w:type="dxa"/>
          </w:tcPr>
          <w:p w:rsidR="00BF6E32" w:rsidRPr="00702CF3" w:rsidRDefault="00BF6E32" w:rsidP="006A2C9E">
            <w:pPr>
              <w:ind w:left="44" w:right="-17"/>
              <w:rPr>
                <w:sz w:val="18"/>
                <w:szCs w:val="18"/>
              </w:rPr>
            </w:pPr>
            <w:r w:rsidRPr="00702CF3">
              <w:rPr>
                <w:sz w:val="18"/>
                <w:szCs w:val="18"/>
              </w:rPr>
              <w:t>$9.93</w:t>
            </w:r>
          </w:p>
        </w:tc>
        <w:tc>
          <w:tcPr>
            <w:tcW w:w="1806" w:type="dxa"/>
            <w:vAlign w:val="center"/>
          </w:tcPr>
          <w:p w:rsidR="00BF6E32" w:rsidRPr="00702CF3" w:rsidRDefault="006F6514" w:rsidP="006A2C9E">
            <w:pPr>
              <w:ind w:left="81"/>
              <w:rPr>
                <w:color w:val="000000"/>
                <w:sz w:val="18"/>
                <w:szCs w:val="18"/>
              </w:rPr>
            </w:pPr>
            <w:r w:rsidRPr="00702CF3">
              <w:rPr>
                <w:color w:val="000000"/>
                <w:sz w:val="18"/>
                <w:szCs w:val="18"/>
              </w:rPr>
              <w:t>$10.88</w:t>
            </w:r>
          </w:p>
        </w:tc>
        <w:tc>
          <w:tcPr>
            <w:tcW w:w="1807" w:type="dxa"/>
            <w:vAlign w:val="center"/>
          </w:tcPr>
          <w:p w:rsidR="00BF6E32" w:rsidRPr="00702CF3" w:rsidRDefault="006F6514" w:rsidP="006A2C9E">
            <w:pPr>
              <w:rPr>
                <w:color w:val="000000"/>
                <w:sz w:val="18"/>
                <w:szCs w:val="18"/>
              </w:rPr>
            </w:pPr>
            <w:r w:rsidRPr="00702CF3">
              <w:rPr>
                <w:color w:val="000000"/>
                <w:sz w:val="18"/>
                <w:szCs w:val="18"/>
              </w:rPr>
              <w:t>$1.09</w:t>
            </w:r>
          </w:p>
        </w:tc>
      </w:tr>
      <w:tr w:rsidR="00BF6E32" w:rsidRPr="00702CF3" w:rsidTr="006A2C9E">
        <w:trPr>
          <w:jc w:val="center"/>
        </w:trPr>
        <w:tc>
          <w:tcPr>
            <w:tcW w:w="1534" w:type="dxa"/>
          </w:tcPr>
          <w:p w:rsidR="00BF6E32" w:rsidRPr="00702CF3" w:rsidRDefault="00BF6E32" w:rsidP="006A2C9E">
            <w:pPr>
              <w:ind w:left="19" w:right="-17"/>
              <w:rPr>
                <w:sz w:val="18"/>
                <w:szCs w:val="18"/>
              </w:rPr>
            </w:pPr>
            <w:r w:rsidRPr="00702CF3">
              <w:rPr>
                <w:sz w:val="18"/>
                <w:szCs w:val="18"/>
              </w:rPr>
              <w:t>March 2022</w:t>
            </w:r>
          </w:p>
        </w:tc>
        <w:tc>
          <w:tcPr>
            <w:tcW w:w="1806" w:type="dxa"/>
          </w:tcPr>
          <w:p w:rsidR="00BF6E32" w:rsidRPr="00702CF3" w:rsidRDefault="00BF6E32" w:rsidP="006A2C9E">
            <w:pPr>
              <w:ind w:left="44" w:right="-17"/>
              <w:rPr>
                <w:sz w:val="18"/>
                <w:szCs w:val="18"/>
              </w:rPr>
            </w:pPr>
            <w:r w:rsidRPr="00702CF3">
              <w:rPr>
                <w:sz w:val="18"/>
                <w:szCs w:val="18"/>
              </w:rPr>
              <w:t>$10.77</w:t>
            </w:r>
          </w:p>
        </w:tc>
        <w:tc>
          <w:tcPr>
            <w:tcW w:w="1806" w:type="dxa"/>
            <w:vAlign w:val="center"/>
          </w:tcPr>
          <w:p w:rsidR="00BF6E32" w:rsidRPr="00702CF3" w:rsidRDefault="00BF6E32" w:rsidP="006A2C9E">
            <w:pPr>
              <w:ind w:left="81"/>
              <w:rPr>
                <w:color w:val="000000"/>
                <w:sz w:val="18"/>
                <w:szCs w:val="18"/>
              </w:rPr>
            </w:pPr>
            <w:r w:rsidRPr="00702CF3">
              <w:rPr>
                <w:color w:val="000000"/>
                <w:sz w:val="18"/>
                <w:szCs w:val="18"/>
              </w:rPr>
              <w:t>$11.66</w:t>
            </w:r>
          </w:p>
        </w:tc>
        <w:tc>
          <w:tcPr>
            <w:tcW w:w="1807" w:type="dxa"/>
            <w:vAlign w:val="center"/>
          </w:tcPr>
          <w:p w:rsidR="00BF6E32" w:rsidRPr="00702CF3" w:rsidRDefault="00BF6E32" w:rsidP="006A2C9E">
            <w:pPr>
              <w:rPr>
                <w:color w:val="000000"/>
                <w:sz w:val="18"/>
                <w:szCs w:val="18"/>
              </w:rPr>
            </w:pPr>
            <w:r w:rsidRPr="00702CF3">
              <w:rPr>
                <w:color w:val="000000"/>
                <w:sz w:val="18"/>
                <w:szCs w:val="18"/>
              </w:rPr>
              <w:t>$1.17</w:t>
            </w:r>
          </w:p>
        </w:tc>
      </w:tr>
      <w:tr w:rsidR="00BF6E32" w:rsidRPr="00702CF3" w:rsidTr="006A2C9E">
        <w:trPr>
          <w:jc w:val="center"/>
        </w:trPr>
        <w:tc>
          <w:tcPr>
            <w:tcW w:w="1534" w:type="dxa"/>
          </w:tcPr>
          <w:p w:rsidR="00BF6E32" w:rsidRPr="00702CF3" w:rsidRDefault="00BF6E32" w:rsidP="006A2C9E">
            <w:pPr>
              <w:ind w:left="19" w:right="-17"/>
              <w:rPr>
                <w:sz w:val="18"/>
                <w:szCs w:val="18"/>
              </w:rPr>
            </w:pPr>
            <w:r w:rsidRPr="00702CF3">
              <w:rPr>
                <w:sz w:val="18"/>
                <w:szCs w:val="18"/>
              </w:rPr>
              <w:t>March 2023</w:t>
            </w:r>
          </w:p>
        </w:tc>
        <w:tc>
          <w:tcPr>
            <w:tcW w:w="1806" w:type="dxa"/>
          </w:tcPr>
          <w:p w:rsidR="00BF6E32" w:rsidRPr="00702CF3" w:rsidRDefault="00BF6E32" w:rsidP="006A2C9E">
            <w:pPr>
              <w:ind w:left="44" w:right="-17"/>
              <w:rPr>
                <w:sz w:val="18"/>
                <w:szCs w:val="18"/>
              </w:rPr>
            </w:pPr>
            <w:r w:rsidRPr="00702CF3">
              <w:rPr>
                <w:sz w:val="18"/>
                <w:szCs w:val="18"/>
              </w:rPr>
              <w:t>$11.68</w:t>
            </w:r>
          </w:p>
        </w:tc>
        <w:tc>
          <w:tcPr>
            <w:tcW w:w="1806" w:type="dxa"/>
            <w:vAlign w:val="center"/>
          </w:tcPr>
          <w:p w:rsidR="00BF6E32" w:rsidRPr="00702CF3" w:rsidRDefault="00BF6E32" w:rsidP="006A2C9E">
            <w:pPr>
              <w:ind w:left="81"/>
              <w:rPr>
                <w:color w:val="000000"/>
                <w:sz w:val="18"/>
                <w:szCs w:val="18"/>
              </w:rPr>
            </w:pPr>
            <w:r w:rsidRPr="00702CF3">
              <w:rPr>
                <w:color w:val="000000"/>
                <w:sz w:val="18"/>
                <w:szCs w:val="18"/>
              </w:rPr>
              <w:t>$13.62</w:t>
            </w:r>
          </w:p>
        </w:tc>
        <w:tc>
          <w:tcPr>
            <w:tcW w:w="1807" w:type="dxa"/>
            <w:vAlign w:val="center"/>
          </w:tcPr>
          <w:p w:rsidR="00BF6E32" w:rsidRPr="00702CF3" w:rsidRDefault="00BF6E32" w:rsidP="006A2C9E">
            <w:pPr>
              <w:rPr>
                <w:color w:val="000000"/>
                <w:sz w:val="18"/>
                <w:szCs w:val="18"/>
              </w:rPr>
            </w:pPr>
            <w:r w:rsidRPr="00702CF3">
              <w:rPr>
                <w:color w:val="000000"/>
                <w:sz w:val="18"/>
                <w:szCs w:val="18"/>
              </w:rPr>
              <w:t>$1.36</w:t>
            </w:r>
          </w:p>
        </w:tc>
      </w:tr>
      <w:tr w:rsidR="00BF6E32" w:rsidRPr="00702CF3" w:rsidTr="006A2C9E">
        <w:trPr>
          <w:jc w:val="center"/>
        </w:trPr>
        <w:tc>
          <w:tcPr>
            <w:tcW w:w="1534" w:type="dxa"/>
          </w:tcPr>
          <w:p w:rsidR="00BF6E32" w:rsidRPr="00702CF3" w:rsidRDefault="00BF6E32" w:rsidP="006A2C9E">
            <w:pPr>
              <w:ind w:left="19" w:right="-17"/>
              <w:rPr>
                <w:sz w:val="18"/>
                <w:szCs w:val="18"/>
              </w:rPr>
            </w:pPr>
            <w:r w:rsidRPr="00702CF3">
              <w:rPr>
                <w:sz w:val="18"/>
                <w:szCs w:val="18"/>
              </w:rPr>
              <w:t>Total</w:t>
            </w:r>
          </w:p>
        </w:tc>
        <w:tc>
          <w:tcPr>
            <w:tcW w:w="1806" w:type="dxa"/>
          </w:tcPr>
          <w:p w:rsidR="00BF6E32" w:rsidRPr="00702CF3" w:rsidRDefault="00BF6E32" w:rsidP="006A2C9E">
            <w:pPr>
              <w:ind w:left="44"/>
              <w:rPr>
                <w:color w:val="000000"/>
                <w:sz w:val="18"/>
                <w:szCs w:val="18"/>
              </w:rPr>
            </w:pPr>
            <w:r w:rsidRPr="00702CF3">
              <w:rPr>
                <w:color w:val="000000"/>
                <w:sz w:val="18"/>
                <w:szCs w:val="18"/>
              </w:rPr>
              <w:t>$</w:t>
            </w:r>
            <w:r w:rsidR="001A3D93" w:rsidRPr="00702CF3">
              <w:rPr>
                <w:color w:val="000000"/>
                <w:sz w:val="18"/>
                <w:szCs w:val="18"/>
              </w:rPr>
              <w:t>50.00</w:t>
            </w:r>
          </w:p>
        </w:tc>
        <w:tc>
          <w:tcPr>
            <w:tcW w:w="1806" w:type="dxa"/>
            <w:vAlign w:val="center"/>
          </w:tcPr>
          <w:p w:rsidR="00BF6E32" w:rsidRPr="00702CF3" w:rsidRDefault="00BF6E32" w:rsidP="006A2C9E">
            <w:pPr>
              <w:ind w:left="81"/>
              <w:rPr>
                <w:color w:val="000000"/>
                <w:sz w:val="18"/>
                <w:szCs w:val="18"/>
              </w:rPr>
            </w:pPr>
            <w:r w:rsidRPr="00702CF3">
              <w:rPr>
                <w:color w:val="000000"/>
                <w:sz w:val="18"/>
                <w:szCs w:val="18"/>
              </w:rPr>
              <w:t>$55.25</w:t>
            </w:r>
          </w:p>
        </w:tc>
        <w:tc>
          <w:tcPr>
            <w:tcW w:w="1807" w:type="dxa"/>
            <w:vAlign w:val="center"/>
          </w:tcPr>
          <w:p w:rsidR="00BF6E32" w:rsidRPr="00702CF3" w:rsidRDefault="00BF6E32" w:rsidP="006A2C9E">
            <w:pPr>
              <w:rPr>
                <w:color w:val="000000"/>
                <w:sz w:val="18"/>
                <w:szCs w:val="18"/>
              </w:rPr>
            </w:pPr>
            <w:r w:rsidRPr="00702CF3">
              <w:rPr>
                <w:color w:val="000000"/>
                <w:sz w:val="18"/>
                <w:szCs w:val="18"/>
              </w:rPr>
              <w:t>$5.52</w:t>
            </w:r>
          </w:p>
        </w:tc>
      </w:tr>
    </w:tbl>
    <w:p w:rsidR="00DD6EB7" w:rsidRPr="00702CF3" w:rsidRDefault="00DD6EB7" w:rsidP="00702CF3">
      <w:pPr>
        <w:pStyle w:val="Chapter3"/>
        <w:numPr>
          <w:ilvl w:val="0"/>
          <w:numId w:val="0"/>
        </w:numPr>
        <w:ind w:left="284" w:hanging="851"/>
        <w:rPr>
          <w:sz w:val="20"/>
        </w:rPr>
      </w:pPr>
    </w:p>
    <w:p w:rsidR="00DD6EB7" w:rsidRPr="00702CF3" w:rsidRDefault="00522481" w:rsidP="00702CF3">
      <w:pPr>
        <w:pStyle w:val="Chapter3"/>
        <w:numPr>
          <w:ilvl w:val="0"/>
          <w:numId w:val="0"/>
        </w:numPr>
        <w:ind w:left="284"/>
        <w:rPr>
          <w:sz w:val="20"/>
        </w:rPr>
      </w:pPr>
      <w:r w:rsidRPr="00702CF3">
        <w:rPr>
          <w:sz w:val="20"/>
        </w:rPr>
        <w:t xml:space="preserve">This compares with the </w:t>
      </w:r>
      <w:r w:rsidR="005A5485" w:rsidRPr="00702CF3">
        <w:rPr>
          <w:sz w:val="20"/>
        </w:rPr>
        <w:t xml:space="preserve">current law where NRWT is imposed on </w:t>
      </w:r>
      <w:r w:rsidRPr="00702CF3">
        <w:rPr>
          <w:sz w:val="20"/>
        </w:rPr>
        <w:t>actual payments which are:</w:t>
      </w:r>
    </w:p>
    <w:p w:rsidR="00BF6E32" w:rsidRPr="00702CF3" w:rsidRDefault="00BF6E32" w:rsidP="00702CF3">
      <w:pPr>
        <w:pStyle w:val="Chapter3"/>
        <w:numPr>
          <w:ilvl w:val="0"/>
          <w:numId w:val="0"/>
        </w:numPr>
        <w:ind w:left="284" w:hanging="851"/>
        <w:rPr>
          <w:sz w:val="20"/>
        </w:rPr>
      </w:pPr>
    </w:p>
    <w:tbl>
      <w:tblPr>
        <w:tblStyle w:val="TableGrid"/>
        <w:tblW w:w="6955" w:type="dxa"/>
        <w:jc w:val="center"/>
        <w:tblInd w:w="-660" w:type="dxa"/>
        <w:tblLayout w:type="fixed"/>
        <w:tblCellMar>
          <w:top w:w="57" w:type="dxa"/>
          <w:left w:w="57" w:type="dxa"/>
          <w:bottom w:w="57" w:type="dxa"/>
          <w:right w:w="57" w:type="dxa"/>
        </w:tblCellMar>
        <w:tblLook w:val="04A0" w:firstRow="1" w:lastRow="0" w:firstColumn="1" w:lastColumn="0" w:noHBand="0" w:noVBand="1"/>
      </w:tblPr>
      <w:tblGrid>
        <w:gridCol w:w="1540"/>
        <w:gridCol w:w="1805"/>
        <w:gridCol w:w="1805"/>
        <w:gridCol w:w="1805"/>
      </w:tblGrid>
      <w:tr w:rsidR="00522481" w:rsidRPr="006A2C9E" w:rsidTr="006A2C9E">
        <w:trPr>
          <w:jc w:val="center"/>
        </w:trPr>
        <w:tc>
          <w:tcPr>
            <w:tcW w:w="1540" w:type="dxa"/>
          </w:tcPr>
          <w:p w:rsidR="00522481" w:rsidRPr="006A2C9E" w:rsidRDefault="00145614" w:rsidP="006A2C9E">
            <w:pPr>
              <w:ind w:left="20" w:right="-17"/>
              <w:jc w:val="left"/>
              <w:rPr>
                <w:b/>
                <w:sz w:val="18"/>
                <w:szCs w:val="18"/>
              </w:rPr>
            </w:pPr>
            <w:r>
              <w:rPr>
                <w:b/>
                <w:sz w:val="18"/>
                <w:szCs w:val="18"/>
              </w:rPr>
              <w:t>NRWT r</w:t>
            </w:r>
            <w:r w:rsidR="00522481" w:rsidRPr="006A2C9E">
              <w:rPr>
                <w:b/>
                <w:sz w:val="18"/>
                <w:szCs w:val="18"/>
              </w:rPr>
              <w:t>eturn</w:t>
            </w:r>
          </w:p>
        </w:tc>
        <w:tc>
          <w:tcPr>
            <w:tcW w:w="1805" w:type="dxa"/>
          </w:tcPr>
          <w:p w:rsidR="00522481" w:rsidRPr="006A2C9E" w:rsidRDefault="00522481" w:rsidP="006A2C9E">
            <w:pPr>
              <w:ind w:left="39" w:right="-17"/>
              <w:jc w:val="left"/>
              <w:rPr>
                <w:b/>
                <w:sz w:val="18"/>
                <w:szCs w:val="18"/>
              </w:rPr>
            </w:pPr>
            <w:r w:rsidRPr="006A2C9E">
              <w:rPr>
                <w:b/>
                <w:sz w:val="18"/>
                <w:szCs w:val="18"/>
              </w:rPr>
              <w:t>AU$ interest</w:t>
            </w:r>
          </w:p>
        </w:tc>
        <w:tc>
          <w:tcPr>
            <w:tcW w:w="1805" w:type="dxa"/>
          </w:tcPr>
          <w:p w:rsidR="00522481" w:rsidRPr="006A2C9E" w:rsidRDefault="00522481" w:rsidP="006A2C9E">
            <w:pPr>
              <w:ind w:left="39" w:right="-17" w:hanging="1"/>
              <w:jc w:val="left"/>
              <w:rPr>
                <w:b/>
                <w:sz w:val="18"/>
                <w:szCs w:val="18"/>
              </w:rPr>
            </w:pPr>
            <w:r w:rsidRPr="006A2C9E">
              <w:rPr>
                <w:b/>
                <w:sz w:val="18"/>
                <w:szCs w:val="18"/>
              </w:rPr>
              <w:t>NZ$ equivalent interest</w:t>
            </w:r>
          </w:p>
        </w:tc>
        <w:tc>
          <w:tcPr>
            <w:tcW w:w="1805" w:type="dxa"/>
          </w:tcPr>
          <w:p w:rsidR="00522481" w:rsidRPr="006A2C9E" w:rsidRDefault="00522481" w:rsidP="006A2C9E">
            <w:pPr>
              <w:ind w:left="24" w:right="-17"/>
              <w:jc w:val="left"/>
              <w:rPr>
                <w:b/>
                <w:sz w:val="18"/>
                <w:szCs w:val="18"/>
              </w:rPr>
            </w:pPr>
            <w:r w:rsidRPr="006A2C9E">
              <w:rPr>
                <w:b/>
                <w:sz w:val="18"/>
                <w:szCs w:val="18"/>
              </w:rPr>
              <w:t>NRWT on NZ$ interest</w:t>
            </w:r>
          </w:p>
        </w:tc>
      </w:tr>
      <w:tr w:rsidR="00522481" w:rsidRPr="00702CF3" w:rsidTr="006A2C9E">
        <w:trPr>
          <w:jc w:val="center"/>
        </w:trPr>
        <w:tc>
          <w:tcPr>
            <w:tcW w:w="1540" w:type="dxa"/>
          </w:tcPr>
          <w:p w:rsidR="00522481" w:rsidRPr="00702CF3" w:rsidRDefault="00522481" w:rsidP="006A2C9E">
            <w:pPr>
              <w:ind w:left="20" w:right="-17"/>
              <w:rPr>
                <w:sz w:val="18"/>
                <w:szCs w:val="18"/>
              </w:rPr>
            </w:pPr>
            <w:r w:rsidRPr="00702CF3">
              <w:rPr>
                <w:sz w:val="18"/>
                <w:szCs w:val="18"/>
              </w:rPr>
              <w:t>March 2023</w:t>
            </w:r>
          </w:p>
        </w:tc>
        <w:tc>
          <w:tcPr>
            <w:tcW w:w="1805" w:type="dxa"/>
          </w:tcPr>
          <w:p w:rsidR="00522481" w:rsidRPr="00702CF3" w:rsidRDefault="00BF6E32" w:rsidP="006A2C9E">
            <w:pPr>
              <w:ind w:left="39" w:right="-17"/>
              <w:rPr>
                <w:sz w:val="18"/>
                <w:szCs w:val="18"/>
              </w:rPr>
            </w:pPr>
            <w:r w:rsidRPr="00702CF3">
              <w:rPr>
                <w:sz w:val="18"/>
                <w:szCs w:val="18"/>
              </w:rPr>
              <w:t>$50</w:t>
            </w:r>
          </w:p>
        </w:tc>
        <w:tc>
          <w:tcPr>
            <w:tcW w:w="1805" w:type="dxa"/>
          </w:tcPr>
          <w:p w:rsidR="00522481" w:rsidRPr="00702CF3" w:rsidRDefault="00BF6E32" w:rsidP="006A2C9E">
            <w:pPr>
              <w:ind w:left="39" w:right="-17" w:hanging="1"/>
              <w:rPr>
                <w:sz w:val="18"/>
                <w:szCs w:val="18"/>
              </w:rPr>
            </w:pPr>
            <w:r w:rsidRPr="00702CF3">
              <w:rPr>
                <w:sz w:val="18"/>
                <w:szCs w:val="18"/>
              </w:rPr>
              <w:t>$58.30</w:t>
            </w:r>
          </w:p>
        </w:tc>
        <w:tc>
          <w:tcPr>
            <w:tcW w:w="1805" w:type="dxa"/>
          </w:tcPr>
          <w:p w:rsidR="00522481" w:rsidRPr="00702CF3" w:rsidRDefault="00BF6E32" w:rsidP="006A2C9E">
            <w:pPr>
              <w:ind w:left="24" w:right="-17"/>
              <w:rPr>
                <w:sz w:val="18"/>
                <w:szCs w:val="18"/>
              </w:rPr>
            </w:pPr>
            <w:r w:rsidRPr="00702CF3">
              <w:rPr>
                <w:sz w:val="18"/>
                <w:szCs w:val="18"/>
              </w:rPr>
              <w:t>$5.83</w:t>
            </w:r>
          </w:p>
        </w:tc>
      </w:tr>
    </w:tbl>
    <w:p w:rsidR="00522481" w:rsidRPr="00702CF3" w:rsidRDefault="00522481" w:rsidP="00702CF3">
      <w:pPr>
        <w:pStyle w:val="Chapter3"/>
        <w:numPr>
          <w:ilvl w:val="0"/>
          <w:numId w:val="0"/>
        </w:numPr>
        <w:ind w:left="284" w:hanging="851"/>
        <w:rPr>
          <w:sz w:val="20"/>
        </w:rPr>
      </w:pPr>
    </w:p>
    <w:p w:rsidR="00DD6EB7" w:rsidRPr="00702CF3" w:rsidRDefault="00101350" w:rsidP="00702CF3">
      <w:pPr>
        <w:pStyle w:val="Chapter3"/>
        <w:numPr>
          <w:ilvl w:val="0"/>
          <w:numId w:val="0"/>
        </w:numPr>
        <w:ind w:left="284"/>
        <w:rPr>
          <w:sz w:val="20"/>
        </w:rPr>
      </w:pPr>
      <w:r w:rsidRPr="00702CF3">
        <w:rPr>
          <w:sz w:val="20"/>
        </w:rPr>
        <w:t>Without a</w:t>
      </w:r>
      <w:r w:rsidR="000E5DBC" w:rsidRPr="00702CF3">
        <w:rPr>
          <w:sz w:val="20"/>
        </w:rPr>
        <w:t xml:space="preserve"> wash-up the</w:t>
      </w:r>
      <w:r w:rsidR="00BF6E32" w:rsidRPr="00702CF3">
        <w:rPr>
          <w:sz w:val="20"/>
        </w:rPr>
        <w:t xml:space="preserve"> $0.31</w:t>
      </w:r>
      <w:r w:rsidR="000E5DBC" w:rsidRPr="00702CF3">
        <w:rPr>
          <w:sz w:val="20"/>
        </w:rPr>
        <w:t xml:space="preserve"> difference </w:t>
      </w:r>
      <w:r w:rsidRPr="00702CF3">
        <w:rPr>
          <w:sz w:val="20"/>
        </w:rPr>
        <w:t>will</w:t>
      </w:r>
      <w:r w:rsidR="00522481" w:rsidRPr="00702CF3">
        <w:rPr>
          <w:sz w:val="20"/>
        </w:rPr>
        <w:t xml:space="preserve"> n</w:t>
      </w:r>
      <w:r w:rsidR="00F91742" w:rsidRPr="00702CF3">
        <w:rPr>
          <w:sz w:val="20"/>
        </w:rPr>
        <w:t>ot</w:t>
      </w:r>
      <w:r w:rsidR="00522481" w:rsidRPr="00702CF3">
        <w:rPr>
          <w:sz w:val="20"/>
        </w:rPr>
        <w:t xml:space="preserve"> </w:t>
      </w:r>
      <w:r w:rsidRPr="00702CF3">
        <w:rPr>
          <w:sz w:val="20"/>
        </w:rPr>
        <w:t xml:space="preserve">be </w:t>
      </w:r>
      <w:r w:rsidR="00522481" w:rsidRPr="00702CF3">
        <w:rPr>
          <w:sz w:val="20"/>
        </w:rPr>
        <w:t>payable.</w:t>
      </w:r>
    </w:p>
    <w:p w:rsidR="00624712" w:rsidRDefault="00624712" w:rsidP="00DB2E88"/>
    <w:p w:rsidR="006A2C9E" w:rsidRDefault="006A2C9E">
      <w:pPr>
        <w:jc w:val="left"/>
        <w:rPr>
          <w:lang w:val="en-NZ"/>
        </w:rPr>
      </w:pPr>
    </w:p>
    <w:p w:rsidR="006A2C9E" w:rsidRDefault="006A2C9E">
      <w:pPr>
        <w:jc w:val="left"/>
        <w:rPr>
          <w:lang w:val="en-NZ"/>
        </w:rPr>
      </w:pPr>
    </w:p>
    <w:p w:rsidR="00522481" w:rsidRDefault="00522481" w:rsidP="00DB2E88">
      <w:pPr>
        <w:rPr>
          <w:lang w:val="en-NZ"/>
        </w:rPr>
      </w:pPr>
    </w:p>
    <w:p w:rsidR="00274B2C" w:rsidRPr="006A2C9E" w:rsidRDefault="00274B2C" w:rsidP="006A2C9E">
      <w:pPr>
        <w:pStyle w:val="Heading2"/>
      </w:pPr>
      <w:r w:rsidRPr="006A2C9E">
        <w:t>Non-deductible interest</w:t>
      </w:r>
    </w:p>
    <w:p w:rsidR="00274B2C" w:rsidRDefault="00274B2C" w:rsidP="00DB2E88"/>
    <w:p w:rsidR="00274B2C" w:rsidRDefault="00274B2C" w:rsidP="00CB14C8">
      <w:pPr>
        <w:pStyle w:val="Chapter3"/>
        <w:tabs>
          <w:tab w:val="clear" w:pos="1702"/>
        </w:tabs>
        <w:ind w:left="851"/>
      </w:pPr>
      <w:r>
        <w:t>Under the existing NRWT rules there is no exemption from withholding NRWT just because an amount of interest is not deductible to the N</w:t>
      </w:r>
      <w:r w:rsidR="00D1229C">
        <w:t xml:space="preserve">ew </w:t>
      </w:r>
      <w:r>
        <w:t>Z</w:t>
      </w:r>
      <w:r w:rsidR="00D1229C">
        <w:t>ealand-</w:t>
      </w:r>
      <w:r>
        <w:t>resident borrower</w:t>
      </w:r>
      <w:r w:rsidR="00101350">
        <w:t xml:space="preserve"> (for example if the New Zealand borrower is a tax-exempt charity)</w:t>
      </w:r>
      <w:r>
        <w:t xml:space="preserve">.  We </w:t>
      </w:r>
      <w:r w:rsidR="00AF4CB8">
        <w:t xml:space="preserve">suggest </w:t>
      </w:r>
      <w:r>
        <w:t xml:space="preserve">that this principle is maintained </w:t>
      </w:r>
      <w:r w:rsidR="00691544">
        <w:t>for arrangements that generate NRFAI</w:t>
      </w:r>
      <w:r>
        <w:t>.</w:t>
      </w:r>
    </w:p>
    <w:p w:rsidR="00274B2C" w:rsidRDefault="00274B2C" w:rsidP="00DB2E88"/>
    <w:p w:rsidR="006A2C9E" w:rsidRDefault="006A2C9E">
      <w:pPr>
        <w:jc w:val="left"/>
        <w:rPr>
          <w:snapToGrid w:val="0"/>
          <w:lang w:val="en-NZ" w:eastAsia="en-US"/>
        </w:rPr>
      </w:pPr>
      <w:r>
        <w:br w:type="page"/>
      </w:r>
    </w:p>
    <w:p w:rsidR="006E4BEC" w:rsidRDefault="004F2F5D" w:rsidP="00F94F53">
      <w:pPr>
        <w:pStyle w:val="Chapter3"/>
        <w:tabs>
          <w:tab w:val="clear" w:pos="1702"/>
        </w:tabs>
        <w:ind w:left="851"/>
      </w:pPr>
      <w:r>
        <w:lastRenderedPageBreak/>
        <w:t xml:space="preserve">A New Zealand borrower who exceeds the thin capitalisation thresholds will derive an amount of income under the formula in section FE 6(2).  </w:t>
      </w:r>
      <w:r w:rsidR="00A03601">
        <w:t>In</w:t>
      </w:r>
      <w:r w:rsidR="007854B4">
        <w:t xml:space="preserve"> </w:t>
      </w:r>
      <w:r w:rsidR="00A03601">
        <w:t>substance</w:t>
      </w:r>
      <w:r>
        <w:t xml:space="preserve">, this amount is equal to the amount of interest </w:t>
      </w:r>
      <w:r w:rsidR="00A03601">
        <w:t>the thin capitalisation rules disallow</w:t>
      </w:r>
      <w:r>
        <w:t>.</w:t>
      </w:r>
      <w:r w:rsidR="00A03601">
        <w:t xml:space="preserve">  Under the current NRWT rules, a New Zealand borrower deriving an amount of income under the thin capitalisation rules is still required to withhold NRWT on the interest payment.  We </w:t>
      </w:r>
      <w:r w:rsidR="00AF4CB8">
        <w:t xml:space="preserve">suggest that </w:t>
      </w:r>
      <w:r w:rsidR="00A03601">
        <w:t>this principle is maintained for arrangements that generate NRFAI.</w:t>
      </w:r>
    </w:p>
    <w:p w:rsidR="006E4BEC" w:rsidRDefault="006E4BEC" w:rsidP="00DB2E88"/>
    <w:p w:rsidR="006A2C9E" w:rsidRDefault="006A2C9E" w:rsidP="00DB2E88"/>
    <w:p w:rsidR="006E4BEC" w:rsidRPr="00702CF3" w:rsidRDefault="005C5C46" w:rsidP="00702CF3">
      <w:pPr>
        <w:pStyle w:val="Heading1"/>
      </w:pPr>
      <w:bookmarkStart w:id="19" w:name="_Toc418756709"/>
      <w:r w:rsidRPr="00702CF3">
        <w:t>Australian provision</w:t>
      </w:r>
      <w:bookmarkEnd w:id="19"/>
    </w:p>
    <w:p w:rsidR="006E4BEC" w:rsidRDefault="006E4BEC" w:rsidP="00F94F53">
      <w:pPr>
        <w:pStyle w:val="ListParagraph"/>
      </w:pPr>
    </w:p>
    <w:p w:rsidR="006E4BEC" w:rsidRDefault="006E4BEC" w:rsidP="00CB14C8">
      <w:pPr>
        <w:pStyle w:val="Chapter3"/>
        <w:tabs>
          <w:tab w:val="clear" w:pos="1702"/>
        </w:tabs>
        <w:ind w:left="851"/>
      </w:pPr>
      <w:r>
        <w:t>Like New Zealand, Australia has both a withholding tax system based on payments and a domestically</w:t>
      </w:r>
      <w:r w:rsidR="00D1229C">
        <w:t xml:space="preserve"> </w:t>
      </w:r>
      <w:r>
        <w:t>applicable regime for taxing some financial instruments on an accrual basis</w:t>
      </w:r>
      <w:r w:rsidR="00313D42">
        <w:t xml:space="preserve"> (referred to as </w:t>
      </w:r>
      <w:r w:rsidR="00F14B88">
        <w:t xml:space="preserve">“taxation of financial arrangements” or </w:t>
      </w:r>
      <w:r w:rsidR="00313D42">
        <w:rPr>
          <w:i/>
        </w:rPr>
        <w:t>TOFA</w:t>
      </w:r>
      <w:r w:rsidR="00313D42">
        <w:t>)</w:t>
      </w:r>
      <w:r>
        <w:t xml:space="preserve">.  Australia also has a provision </w:t>
      </w:r>
      <w:r w:rsidR="00313D42">
        <w:t>(s</w:t>
      </w:r>
      <w:r w:rsidR="00313D42" w:rsidRPr="00F04F73">
        <w:t xml:space="preserve">ection 26-25 of the ITAA 1997) </w:t>
      </w:r>
      <w:r>
        <w:t xml:space="preserve">which denies an Australian a deduction for interest paid to a non-Australian if withholding tax is not paid on that interest. </w:t>
      </w:r>
      <w:r w:rsidR="00FE3D12">
        <w:t xml:space="preserve"> This rule has been in place </w:t>
      </w:r>
      <w:r w:rsidR="00426002">
        <w:t>for many years</w:t>
      </w:r>
      <w:r w:rsidR="00FE3D12">
        <w:t>.</w:t>
      </w:r>
    </w:p>
    <w:p w:rsidR="006E4BEC" w:rsidRDefault="006E4BEC" w:rsidP="00DB2E88"/>
    <w:p w:rsidR="006E4BEC" w:rsidRDefault="006E4BEC" w:rsidP="00CB14C8">
      <w:pPr>
        <w:pStyle w:val="Chapter3"/>
        <w:tabs>
          <w:tab w:val="clear" w:pos="1702"/>
        </w:tabs>
        <w:ind w:left="851"/>
      </w:pPr>
      <w:r>
        <w:t>Th</w:t>
      </w:r>
      <w:r w:rsidR="00676286">
        <w:t>e Australian</w:t>
      </w:r>
      <w:r>
        <w:t xml:space="preserve"> provision </w:t>
      </w:r>
      <w:r w:rsidR="00FE3D12">
        <w:t xml:space="preserve">can be viewed as aimed at achieving something similar in broad policy terms as </w:t>
      </w:r>
      <w:r w:rsidR="005C5C46">
        <w:t xml:space="preserve">the proposal in this </w:t>
      </w:r>
      <w:r w:rsidR="00676286">
        <w:t>chapter</w:t>
      </w:r>
      <w:r w:rsidR="00145614">
        <w:t xml:space="preserve"> of the i</w:t>
      </w:r>
      <w:r w:rsidR="005C5C46">
        <w:t xml:space="preserve">ssues </w:t>
      </w:r>
      <w:r w:rsidR="00145614">
        <w:t>p</w:t>
      </w:r>
      <w:r w:rsidR="005C5C46">
        <w:t>aper.</w:t>
      </w:r>
      <w:r>
        <w:t xml:space="preserve">  </w:t>
      </w:r>
      <w:r w:rsidR="00FE3D12">
        <w:t>But r</w:t>
      </w:r>
      <w:r>
        <w:t xml:space="preserve">ather than </w:t>
      </w:r>
      <w:r w:rsidR="005C5C46">
        <w:t xml:space="preserve">accelerating </w:t>
      </w:r>
      <w:r>
        <w:t xml:space="preserve">NRWT </w:t>
      </w:r>
      <w:r w:rsidR="005C5C46">
        <w:t xml:space="preserve">to (broadly) match </w:t>
      </w:r>
      <w:r>
        <w:t>the</w:t>
      </w:r>
      <w:r w:rsidR="005C5C46">
        <w:t xml:space="preserve"> deduction under the</w:t>
      </w:r>
      <w:r>
        <w:t xml:space="preserve"> financial arrangement rules (as we </w:t>
      </w:r>
      <w:r w:rsidR="00831BD2">
        <w:t>suggest</w:t>
      </w:r>
      <w:r>
        <w:t xml:space="preserve">), the Australian rule is </w:t>
      </w:r>
      <w:r w:rsidR="003532E1">
        <w:t>deferring</w:t>
      </w:r>
      <w:r>
        <w:t xml:space="preserve"> the </w:t>
      </w:r>
      <w:r w:rsidR="005C5C46">
        <w:t>deduction to match the timing of the NRWT obligation.</w:t>
      </w:r>
    </w:p>
    <w:p w:rsidR="005C5C46" w:rsidRDefault="005C5C46" w:rsidP="00DB2E88"/>
    <w:p w:rsidR="00FE23DF" w:rsidRDefault="00FE3D12" w:rsidP="00FE23DF">
      <w:pPr>
        <w:pStyle w:val="Chapter3"/>
        <w:tabs>
          <w:tab w:val="clear" w:pos="1702"/>
        </w:tabs>
        <w:ind w:left="851"/>
      </w:pPr>
      <w:r>
        <w:t>The key difference in terms of the focus of the Australian rule (compared with our proposal) is that t</w:t>
      </w:r>
      <w:r w:rsidR="005C5C46">
        <w:t xml:space="preserve">he aim </w:t>
      </w:r>
      <w:r>
        <w:t xml:space="preserve">is to </w:t>
      </w:r>
      <w:r w:rsidR="005C5C46">
        <w:t>buttress the borrower’s obligation to withhold NRWT</w:t>
      </w:r>
      <w:r>
        <w:t>.  It may be that at the time this rule was enacted</w:t>
      </w:r>
      <w:r w:rsidR="005C5C46">
        <w:t xml:space="preserve"> the deduction and the NRWT obligation would generally have fallen in the same year.  </w:t>
      </w:r>
      <w:r>
        <w:t>It is understood that i</w:t>
      </w:r>
      <w:r w:rsidR="005C5C46">
        <w:t xml:space="preserve">n a case where </w:t>
      </w:r>
      <w:r w:rsidR="00313D42">
        <w:t>a deduction arises under TOFA but there is no payment and hence no NRWT obligation</w:t>
      </w:r>
      <w:r w:rsidR="00F76582">
        <w:t xml:space="preserve"> until a later year</w:t>
      </w:r>
      <w:r w:rsidR="00313D42">
        <w:t>, the deduction is still claimed.  However, if NRWT is not paid when the relevant amount eventually is paid, it is possible that the deduction would be reversed.</w:t>
      </w:r>
    </w:p>
    <w:p w:rsidR="00A9743F" w:rsidRDefault="00A9743F" w:rsidP="00DB2E88"/>
    <w:p w:rsidR="006A2C9E" w:rsidRDefault="006A2C9E" w:rsidP="00DB2E88"/>
    <w:p w:rsidR="00FE23DF" w:rsidRPr="006A2C9E" w:rsidRDefault="00FE23DF" w:rsidP="006A2C9E">
      <w:pPr>
        <w:pStyle w:val="Heading1"/>
      </w:pPr>
      <w:bookmarkStart w:id="20" w:name="_Toc418756710"/>
      <w:r w:rsidRPr="006A2C9E">
        <w:t>Foreign tax credits</w:t>
      </w:r>
      <w:bookmarkEnd w:id="20"/>
    </w:p>
    <w:p w:rsidR="00FE23DF" w:rsidRPr="00D02644" w:rsidRDefault="00FE23DF" w:rsidP="00DB2E88"/>
    <w:p w:rsidR="00BA19BC" w:rsidRDefault="00831BD2" w:rsidP="00F94F53">
      <w:pPr>
        <w:pStyle w:val="Chapter3"/>
        <w:tabs>
          <w:tab w:val="clear" w:pos="1702"/>
        </w:tabs>
        <w:ind w:left="851"/>
      </w:pPr>
      <w:r>
        <w:t>If this suggestion were adopted, officials do not believe it would</w:t>
      </w:r>
      <w:r w:rsidR="00FE23DF">
        <w:t xml:space="preserve"> adversely affect a foreign lender’s ability to claim a tax credit </w:t>
      </w:r>
      <w:r w:rsidR="003532E1">
        <w:t xml:space="preserve">for NRWT </w:t>
      </w:r>
      <w:r w:rsidR="00FE23DF">
        <w:t xml:space="preserve">in its home jurisdiction.  </w:t>
      </w:r>
      <w:r>
        <w:t>It</w:t>
      </w:r>
      <w:r w:rsidR="00A43E20">
        <w:t xml:space="preserve"> may mean NRWT is paid in a year before there is a liability for income ta</w:t>
      </w:r>
      <w:r w:rsidR="00F76582">
        <w:t>x on that income in a lender’s home</w:t>
      </w:r>
      <w:r w:rsidR="00A43E20">
        <w:t xml:space="preserve"> jurisdiction</w:t>
      </w:r>
      <w:r w:rsidR="001A318D">
        <w:t>.  T</w:t>
      </w:r>
      <w:r w:rsidR="00A43E20">
        <w:t xml:space="preserve">hat earlier time of payment should not affect </w:t>
      </w:r>
      <w:r w:rsidR="00BE0794">
        <w:t>whether the taxpayer can claim a credit for NRWT paid</w:t>
      </w:r>
      <w:r w:rsidR="00A43E20">
        <w:t>.  For example, under section LJ 2, a New Zealand resident is entitled to claim a credit for</w:t>
      </w:r>
      <w:r w:rsidR="00D1229C">
        <w:t xml:space="preserve"> foreign tax imposed on foreign-</w:t>
      </w:r>
      <w:r w:rsidR="00A43E20">
        <w:t>sourced income regardless of when the foreign tax is paid.</w:t>
      </w:r>
    </w:p>
    <w:p w:rsidR="00BA19BC" w:rsidRDefault="00BA19BC" w:rsidP="00DB2E88"/>
    <w:p w:rsidR="00FE23DF" w:rsidRPr="00FE23DF" w:rsidRDefault="00BA19BC" w:rsidP="00F94F53">
      <w:pPr>
        <w:pStyle w:val="Chapter3"/>
        <w:tabs>
          <w:tab w:val="clear" w:pos="1702"/>
        </w:tabs>
        <w:ind w:left="851"/>
      </w:pPr>
      <w:r>
        <w:t xml:space="preserve">It may also be the case that a foreign lender’s home jurisdiction has its own form of the financial arrangement rules, and that this </w:t>
      </w:r>
      <w:r w:rsidR="00831BD2">
        <w:t xml:space="preserve">suggested change </w:t>
      </w:r>
      <w:r>
        <w:t>in fact brings NRWT closer in line with the timing of the lender’s income tax obligation.</w:t>
      </w:r>
    </w:p>
    <w:p w:rsidR="00FE23DF" w:rsidRDefault="00FE23DF" w:rsidP="00DB2E88">
      <w:pPr>
        <w:rPr>
          <w:lang w:val="en-NZ"/>
        </w:rPr>
      </w:pPr>
    </w:p>
    <w:p w:rsidR="006A2C9E" w:rsidRDefault="006A2C9E">
      <w:pPr>
        <w:jc w:val="left"/>
        <w:rPr>
          <w:rFonts w:ascii="Times New Roman Bold" w:hAnsi="Times New Roman Bold"/>
          <w:b/>
          <w:kern w:val="28"/>
          <w:szCs w:val="24"/>
          <w:lang w:val="en-NZ"/>
        </w:rPr>
      </w:pPr>
      <w:r>
        <w:rPr>
          <w:lang w:val="en-NZ"/>
        </w:rPr>
        <w:br w:type="page"/>
      </w:r>
    </w:p>
    <w:p w:rsidR="00404E02" w:rsidRDefault="00404E02" w:rsidP="00FA50A9">
      <w:pPr>
        <w:pStyle w:val="Heading1"/>
        <w:rPr>
          <w:lang w:val="en-NZ"/>
        </w:rPr>
      </w:pPr>
      <w:bookmarkStart w:id="21" w:name="_Toc418756711"/>
      <w:r w:rsidRPr="00D83876">
        <w:rPr>
          <w:lang w:val="en-NZ"/>
        </w:rPr>
        <w:lastRenderedPageBreak/>
        <w:t>Applicat</w:t>
      </w:r>
      <w:r w:rsidR="0088272D" w:rsidRPr="00D83876">
        <w:rPr>
          <w:lang w:val="en-NZ"/>
        </w:rPr>
        <w:t>ion date</w:t>
      </w:r>
      <w:r w:rsidR="00942C16" w:rsidRPr="00D83876">
        <w:rPr>
          <w:lang w:val="en-NZ"/>
        </w:rPr>
        <w:t>s</w:t>
      </w:r>
      <w:bookmarkEnd w:id="21"/>
    </w:p>
    <w:p w:rsidR="0088272D" w:rsidRDefault="0088272D" w:rsidP="00DB2E88"/>
    <w:p w:rsidR="0088272D" w:rsidRDefault="00831BD2" w:rsidP="00CB14C8">
      <w:pPr>
        <w:pStyle w:val="Chapter3"/>
        <w:tabs>
          <w:tab w:val="clear" w:pos="1702"/>
        </w:tabs>
        <w:ind w:left="851"/>
      </w:pPr>
      <w:r>
        <w:t>It is suggested</w:t>
      </w:r>
      <w:r w:rsidR="0088272D">
        <w:t xml:space="preserve"> that </w:t>
      </w:r>
      <w:r w:rsidR="00850F58">
        <w:t>the reform</w:t>
      </w:r>
      <w:r w:rsidR="00942C16">
        <w:t>s outlined in this chapter</w:t>
      </w:r>
      <w:r w:rsidR="0088272D">
        <w:t xml:space="preserve"> would apply to </w:t>
      </w:r>
      <w:r w:rsidR="00355003">
        <w:t>financial arrangement</w:t>
      </w:r>
      <w:r w:rsidR="0088272D">
        <w:t>s entered into</w:t>
      </w:r>
      <w:r w:rsidR="00BE0794">
        <w:t>,</w:t>
      </w:r>
      <w:r w:rsidR="0088272D">
        <w:t xml:space="preserve"> on or after </w:t>
      </w:r>
      <w:r w:rsidR="00942C16">
        <w:t>enactment of the legislation.  This is expected to be in the second half of 2016.</w:t>
      </w:r>
    </w:p>
    <w:p w:rsidR="00404E02" w:rsidRPr="008B237E" w:rsidRDefault="00404E02" w:rsidP="008B237E"/>
    <w:p w:rsidR="000B1934" w:rsidRPr="004867C8" w:rsidRDefault="000B1934" w:rsidP="000B1934">
      <w:pPr>
        <w:pStyle w:val="Heading2"/>
        <w:rPr>
          <w:lang w:val="en-NZ"/>
        </w:rPr>
      </w:pPr>
      <w:r>
        <w:rPr>
          <w:lang w:val="en-NZ"/>
        </w:rPr>
        <w:t>Transitional treatment of existing financial arrangements</w:t>
      </w:r>
    </w:p>
    <w:p w:rsidR="000B1934" w:rsidRDefault="000B1934" w:rsidP="000B1934"/>
    <w:p w:rsidR="008A38CE" w:rsidRDefault="00850F58" w:rsidP="00D1495A">
      <w:pPr>
        <w:pStyle w:val="Chapter3"/>
        <w:tabs>
          <w:tab w:val="clear" w:pos="1702"/>
        </w:tabs>
        <w:ind w:left="851"/>
      </w:pPr>
      <w:r>
        <w:t>F</w:t>
      </w:r>
      <w:r w:rsidR="008A38CE">
        <w:t xml:space="preserve">inancial arrangements entered into </w:t>
      </w:r>
      <w:r w:rsidR="009871DD">
        <w:t xml:space="preserve">before </w:t>
      </w:r>
      <w:r w:rsidR="008A38CE">
        <w:t xml:space="preserve">the </w:t>
      </w:r>
      <w:r>
        <w:t>enactment of the legislation will be required to apply the new rules</w:t>
      </w:r>
      <w:r w:rsidR="00145614">
        <w:t xml:space="preserve"> for </w:t>
      </w:r>
      <w:r w:rsidR="008A38CE">
        <w:t>income year</w:t>
      </w:r>
      <w:r w:rsidR="00553BCC">
        <w:t>s</w:t>
      </w:r>
      <w:r w:rsidR="008B237E">
        <w:t xml:space="preserve"> following enactment</w:t>
      </w:r>
      <w:r w:rsidR="001A318D">
        <w:t>.  T</w:t>
      </w:r>
      <w:r w:rsidR="009B06F7">
        <w:t xml:space="preserve">his is reasonable, since the arrangements are between associated persons.  </w:t>
      </w:r>
      <w:r w:rsidR="008A38CE">
        <w:t>Transitional rules for these arrangements are c</w:t>
      </w:r>
      <w:r w:rsidR="00D1495A">
        <w:t>overed in the paragraphs below.</w:t>
      </w:r>
    </w:p>
    <w:p w:rsidR="008A38CE" w:rsidRDefault="008A38CE" w:rsidP="00DB2E88"/>
    <w:p w:rsidR="008A38CE" w:rsidRDefault="008A38CE" w:rsidP="008A38CE">
      <w:pPr>
        <w:pStyle w:val="Chapter3"/>
        <w:tabs>
          <w:tab w:val="clear" w:pos="1702"/>
        </w:tabs>
        <w:ind w:left="851"/>
      </w:pPr>
      <w:r>
        <w:t>A</w:t>
      </w:r>
      <w:r w:rsidR="008F4865">
        <w:t xml:space="preserve"> taxpayer with a</w:t>
      </w:r>
      <w:r>
        <w:t>n existing</w:t>
      </w:r>
      <w:r w:rsidR="008F4865">
        <w:t xml:space="preserve"> financial arrangement</w:t>
      </w:r>
      <w:r>
        <w:t>, applying the new rules for the first time, will calculate their NRWT liability for that first year as if they had applied the new rules in previous years.</w:t>
      </w:r>
    </w:p>
    <w:p w:rsidR="008A38CE" w:rsidRDefault="008A38CE" w:rsidP="00DB2E88"/>
    <w:p w:rsidR="008A38CE" w:rsidRDefault="008A38CE" w:rsidP="008A38CE">
      <w:pPr>
        <w:pStyle w:val="Chapter3"/>
        <w:tabs>
          <w:tab w:val="clear" w:pos="1702"/>
        </w:tabs>
        <w:ind w:left="851"/>
      </w:pPr>
      <w:bookmarkStart w:id="22" w:name="_Ref416686957"/>
      <w:r>
        <w:t>In the year that the financial arrangement matures</w:t>
      </w:r>
      <w:r w:rsidR="00BE0794">
        <w:t>,</w:t>
      </w:r>
      <w:r>
        <w:t xml:space="preserve"> the taxpayer will be required to calculate a wash-up to ensure that the appropriate amount of NRWT has been paid.  </w:t>
      </w:r>
      <w:r w:rsidR="009B06F7">
        <w:t>Generally, t</w:t>
      </w:r>
      <w:r>
        <w:t>his formula will be:</w:t>
      </w:r>
      <w:bookmarkEnd w:id="22"/>
    </w:p>
    <w:p w:rsidR="008A38CE" w:rsidRDefault="008A38CE" w:rsidP="00DB2E88"/>
    <w:tbl>
      <w:tblPr>
        <w:tblStyle w:val="TableGrid"/>
        <w:tblW w:w="0" w:type="auto"/>
        <w:jc w:val="center"/>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316"/>
        <w:gridCol w:w="2379"/>
      </w:tblGrid>
      <w:tr w:rsidR="008A38CE" w:rsidRPr="006A2C9E" w:rsidTr="006A2C9E">
        <w:trPr>
          <w:jc w:val="center"/>
        </w:trPr>
        <w:tc>
          <w:tcPr>
            <w:tcW w:w="3846" w:type="dxa"/>
            <w:vAlign w:val="center"/>
          </w:tcPr>
          <w:p w:rsidR="008A38CE" w:rsidRPr="006A2C9E" w:rsidRDefault="008A38CE" w:rsidP="008F4865">
            <w:pPr>
              <w:pStyle w:val="Chapter3"/>
              <w:numPr>
                <w:ilvl w:val="0"/>
                <w:numId w:val="0"/>
              </w:numPr>
              <w:jc w:val="center"/>
              <w:rPr>
                <w:sz w:val="20"/>
              </w:rPr>
            </w:pPr>
            <w:r w:rsidRPr="006A2C9E">
              <w:rPr>
                <w:sz w:val="20"/>
              </w:rPr>
              <w:t>NRWT liability if financial arrangement had always been subject to new rules</w:t>
            </w:r>
          </w:p>
        </w:tc>
        <w:tc>
          <w:tcPr>
            <w:tcW w:w="316" w:type="dxa"/>
            <w:vAlign w:val="center"/>
          </w:tcPr>
          <w:p w:rsidR="008A38CE" w:rsidRPr="006A2C9E" w:rsidRDefault="006A2C9E" w:rsidP="006A2C9E">
            <w:pPr>
              <w:pStyle w:val="Chapter3"/>
              <w:numPr>
                <w:ilvl w:val="0"/>
                <w:numId w:val="0"/>
              </w:numPr>
              <w:jc w:val="center"/>
              <w:rPr>
                <w:sz w:val="20"/>
              </w:rPr>
            </w:pPr>
            <w:r>
              <w:rPr>
                <w:sz w:val="20"/>
              </w:rPr>
              <w:t>–</w:t>
            </w:r>
          </w:p>
        </w:tc>
        <w:tc>
          <w:tcPr>
            <w:tcW w:w="2379" w:type="dxa"/>
            <w:vAlign w:val="center"/>
          </w:tcPr>
          <w:p w:rsidR="008A38CE" w:rsidRPr="006A2C9E" w:rsidRDefault="008A38CE" w:rsidP="008F4865">
            <w:pPr>
              <w:pStyle w:val="Chapter3"/>
              <w:numPr>
                <w:ilvl w:val="0"/>
                <w:numId w:val="0"/>
              </w:numPr>
              <w:jc w:val="center"/>
              <w:rPr>
                <w:sz w:val="20"/>
              </w:rPr>
            </w:pPr>
            <w:r w:rsidRPr="006A2C9E">
              <w:rPr>
                <w:sz w:val="20"/>
              </w:rPr>
              <w:t>NRWT actually paid on financial arrangement</w:t>
            </w:r>
          </w:p>
        </w:tc>
      </w:tr>
    </w:tbl>
    <w:p w:rsidR="008A38CE" w:rsidRDefault="008A38CE" w:rsidP="00DB2E88"/>
    <w:p w:rsidR="00F838ED" w:rsidRDefault="00F838ED" w:rsidP="00F838ED">
      <w:pPr>
        <w:pStyle w:val="Chapter3"/>
        <w:tabs>
          <w:tab w:val="clear" w:pos="1702"/>
        </w:tabs>
        <w:ind w:left="851"/>
      </w:pPr>
      <w:r>
        <w:t>This wash-up would also be triggered:</w:t>
      </w:r>
    </w:p>
    <w:p w:rsidR="006A2C9E" w:rsidRDefault="006A2C9E" w:rsidP="00DB2E88"/>
    <w:p w:rsidR="00F838ED" w:rsidRDefault="001073AC" w:rsidP="00AA70EB">
      <w:pPr>
        <w:pStyle w:val="Bullets"/>
      </w:pPr>
      <w:r>
        <w:t xml:space="preserve">if </w:t>
      </w:r>
      <w:r w:rsidR="00F838ED">
        <w:t>the lender ceased to be associated or was replaced by an</w:t>
      </w:r>
      <w:r w:rsidR="009B06F7">
        <w:t xml:space="preserve"> unassociated </w:t>
      </w:r>
      <w:r w:rsidR="00F838ED">
        <w:t>lender; or</w:t>
      </w:r>
    </w:p>
    <w:p w:rsidR="009B06F7" w:rsidRDefault="00F838ED" w:rsidP="00AA70EB">
      <w:pPr>
        <w:pStyle w:val="Bullets"/>
        <w:spacing w:after="0"/>
      </w:pPr>
      <w:r>
        <w:t>immediately prior to the migration of the New Zealand borrower.</w:t>
      </w:r>
    </w:p>
    <w:p w:rsidR="008F4865" w:rsidRDefault="008F4865" w:rsidP="00DB2E88"/>
    <w:p w:rsidR="009B06F7" w:rsidRDefault="00135076" w:rsidP="00D83876">
      <w:pPr>
        <w:pStyle w:val="Chapter3"/>
        <w:tabs>
          <w:tab w:val="clear" w:pos="1702"/>
        </w:tabs>
        <w:ind w:left="851"/>
      </w:pPr>
      <w:r>
        <w:t xml:space="preserve">For </w:t>
      </w:r>
      <w:r w:rsidR="00831BD2">
        <w:t xml:space="preserve">pre-existing arrangements </w:t>
      </w:r>
      <w:r>
        <w:t xml:space="preserve">which would be brought into the NRWT rules by the suggested changes but </w:t>
      </w:r>
      <w:r w:rsidR="00D1229C">
        <w:t xml:space="preserve">that </w:t>
      </w:r>
      <w:r>
        <w:t>do not currently give rise to NRPI, officials do not consider it appropriate to impose NRWT on income arising before the income year</w:t>
      </w:r>
      <w:r w:rsidR="008B237E">
        <w:t xml:space="preserve"> following enactment</w:t>
      </w:r>
      <w:r w:rsidR="001A318D">
        <w:t>.  A</w:t>
      </w:r>
      <w:r w:rsidR="009B06F7">
        <w:t xml:space="preserve">ccordingly, the wash-up formula in paragraph </w:t>
      </w:r>
      <w:r w:rsidR="009B06F7">
        <w:fldChar w:fldCharType="begin"/>
      </w:r>
      <w:r w:rsidR="009B06F7">
        <w:instrText xml:space="preserve"> REF _Ref416686957 \r \h </w:instrText>
      </w:r>
      <w:r w:rsidR="009B06F7">
        <w:fldChar w:fldCharType="separate"/>
      </w:r>
      <w:r w:rsidR="006B68CF">
        <w:t>3.39</w:t>
      </w:r>
      <w:r w:rsidR="009B06F7">
        <w:fldChar w:fldCharType="end"/>
      </w:r>
      <w:r w:rsidR="009B06F7">
        <w:t xml:space="preserve"> would not apply</w:t>
      </w:r>
      <w:r w:rsidR="00B63135">
        <w:t>.</w:t>
      </w:r>
    </w:p>
    <w:p w:rsidR="009B06F7" w:rsidRDefault="009B06F7" w:rsidP="00DB2E88"/>
    <w:p w:rsidR="009B06F7" w:rsidRDefault="00760BB3" w:rsidP="00D83876">
      <w:pPr>
        <w:pStyle w:val="Chapter3"/>
        <w:tabs>
          <w:tab w:val="clear" w:pos="1702"/>
        </w:tabs>
        <w:ind w:left="851"/>
      </w:pPr>
      <w:r>
        <w:t xml:space="preserve">However, </w:t>
      </w:r>
      <w:r w:rsidR="00F139D1">
        <w:t xml:space="preserve">it is possible in relation to </w:t>
      </w:r>
      <w:r>
        <w:t xml:space="preserve">such arrangements </w:t>
      </w:r>
      <w:r w:rsidR="00F139D1">
        <w:t xml:space="preserve">that the new rules could be circumvented.  </w:t>
      </w:r>
      <w:r>
        <w:t xml:space="preserve">A </w:t>
      </w:r>
      <w:r w:rsidR="00FC1AB2">
        <w:t xml:space="preserve">borrower could make a </w:t>
      </w:r>
      <w:r>
        <w:t>prepayment</w:t>
      </w:r>
      <w:r w:rsidR="00F139D1">
        <w:t xml:space="preserve"> before the beginning of the </w:t>
      </w:r>
      <w:r w:rsidR="008B237E">
        <w:t>income</w:t>
      </w:r>
      <w:r w:rsidR="00F139D1">
        <w:t xml:space="preserve"> year</w:t>
      </w:r>
      <w:r w:rsidR="008B237E">
        <w:t xml:space="preserve"> following enactment</w:t>
      </w:r>
      <w:r w:rsidR="001A318D">
        <w:t>.  T</w:t>
      </w:r>
      <w:r w:rsidR="00BE0794">
        <w:t>his would</w:t>
      </w:r>
      <w:r w:rsidR="00F139D1">
        <w:t xml:space="preserve"> pre</w:t>
      </w:r>
      <w:r w:rsidR="001A38BA">
        <w:t>-</w:t>
      </w:r>
      <w:r w:rsidR="00F139D1">
        <w:t xml:space="preserve">pay funding costs </w:t>
      </w:r>
      <w:r w:rsidR="00BE0794">
        <w:t xml:space="preserve">likely to </w:t>
      </w:r>
      <w:r w:rsidR="00F139D1">
        <w:t>acc</w:t>
      </w:r>
      <w:r w:rsidR="00FC1AB2">
        <w:t xml:space="preserve">rue during and after that year.  The prepayment would not be subject to NRWT (subject to possible application of the </w:t>
      </w:r>
      <w:r w:rsidR="00D1229C">
        <w:t>general anti-avoidance rule</w:t>
      </w:r>
      <w:r w:rsidR="00FC1AB2">
        <w:t xml:space="preserve">), although it economically relates to a period when NRWT is intended to be imposed.  </w:t>
      </w:r>
      <w:r>
        <w:t xml:space="preserve">Accordingly, we </w:t>
      </w:r>
      <w:r w:rsidR="00135076">
        <w:t xml:space="preserve">suggest </w:t>
      </w:r>
      <w:r>
        <w:t>a specific provision which would apply if a New Zealand</w:t>
      </w:r>
      <w:r w:rsidR="00D1229C">
        <w:t>-</w:t>
      </w:r>
      <w:r>
        <w:t>resident party to a financial arrangement makes or has made a payment to an associated person, and that payment has the effect of pre-paying for funding provided to the New Zealand resident for a period that ends after the first day of the income year</w:t>
      </w:r>
      <w:r w:rsidR="008B237E">
        <w:t xml:space="preserve"> following enactment</w:t>
      </w:r>
      <w:r>
        <w:t>.  For NRWT purposes, the portion of the payment that as an economic matter relates to the period falling on or after that first day w</w:t>
      </w:r>
      <w:r w:rsidR="009871DD">
        <w:t>ill</w:t>
      </w:r>
      <w:r>
        <w:t xml:space="preserve"> be treated as paid on that day, and would give rise to an NRWT obligation accordingly.</w:t>
      </w:r>
    </w:p>
    <w:p w:rsidR="008B237E" w:rsidRPr="008B237E" w:rsidRDefault="008B237E" w:rsidP="00DB2E88"/>
    <w:p w:rsidR="008B237E" w:rsidRDefault="008B237E">
      <w:pPr>
        <w:jc w:val="left"/>
        <w:rPr>
          <w:b/>
          <w:sz w:val="20"/>
        </w:rPr>
      </w:pPr>
      <w:r>
        <w:rPr>
          <w:b/>
          <w:sz w:val="20"/>
        </w:rPr>
        <w:br w:type="page"/>
      </w:r>
    </w:p>
    <w:p w:rsidR="005F20B6" w:rsidRPr="006A2C9E" w:rsidRDefault="006A2C9E" w:rsidP="00DB2E88">
      <w:pPr>
        <w:pStyle w:val="Chapter3"/>
        <w:numPr>
          <w:ilvl w:val="0"/>
          <w:numId w:val="0"/>
        </w:numPr>
        <w:rPr>
          <w:sz w:val="20"/>
        </w:rPr>
      </w:pPr>
      <w:r w:rsidRPr="00DB2E88">
        <w:rPr>
          <w:noProof/>
          <w:sz w:val="20"/>
          <w:lang w:eastAsia="en-NZ"/>
        </w:rPr>
        <w:lastRenderedPageBreak/>
        <mc:AlternateContent>
          <mc:Choice Requires="wps">
            <w:drawing>
              <wp:anchor distT="0" distB="0" distL="114300" distR="114300" simplePos="0" relativeHeight="251795456" behindDoc="0" locked="0" layoutInCell="1" allowOverlap="1" wp14:anchorId="69FAA699" wp14:editId="4FD61FE9">
                <wp:simplePos x="0" y="0"/>
                <wp:positionH relativeFrom="column">
                  <wp:posOffset>-141881</wp:posOffset>
                </wp:positionH>
                <wp:positionV relativeFrom="paragraph">
                  <wp:posOffset>51187</wp:posOffset>
                </wp:positionV>
                <wp:extent cx="5666740" cy="4015408"/>
                <wp:effectExtent l="0" t="0" r="10160" b="234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6740" cy="401540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1.15pt;margin-top:4.05pt;width:446.2pt;height:316.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" filled="f" strokecolor="windowText">
                <v:path arrowok="t"/>
              </v:rect>
            </w:pict>
          </mc:Fallback>
        </mc:AlternateContent>
      </w:r>
    </w:p>
    <w:p w:rsidR="008F4865" w:rsidRPr="00DB2E88" w:rsidRDefault="008F4865" w:rsidP="00DB2E88">
      <w:pPr>
        <w:pStyle w:val="Chapter3"/>
        <w:numPr>
          <w:ilvl w:val="0"/>
          <w:numId w:val="0"/>
        </w:numPr>
        <w:rPr>
          <w:b/>
          <w:sz w:val="20"/>
        </w:rPr>
      </w:pPr>
      <w:r w:rsidRPr="00DB2E88">
        <w:rPr>
          <w:b/>
          <w:sz w:val="20"/>
        </w:rPr>
        <w:t>Example 5</w:t>
      </w:r>
    </w:p>
    <w:p w:rsidR="008F4865" w:rsidRPr="006A2C9E" w:rsidRDefault="008F4865" w:rsidP="00DB2E88">
      <w:pPr>
        <w:pStyle w:val="Chapter3"/>
        <w:numPr>
          <w:ilvl w:val="0"/>
          <w:numId w:val="0"/>
        </w:numPr>
        <w:rPr>
          <w:sz w:val="20"/>
        </w:rPr>
      </w:pPr>
    </w:p>
    <w:p w:rsidR="00E528F7" w:rsidRPr="006A2C9E" w:rsidRDefault="00E528F7" w:rsidP="006A2C9E">
      <w:pPr>
        <w:pStyle w:val="Chapter3"/>
        <w:numPr>
          <w:ilvl w:val="0"/>
          <w:numId w:val="0"/>
        </w:numPr>
        <w:rPr>
          <w:sz w:val="20"/>
        </w:rPr>
      </w:pPr>
      <w:r w:rsidRPr="006A2C9E">
        <w:rPr>
          <w:sz w:val="20"/>
        </w:rPr>
        <w:t xml:space="preserve">NZ Sub Ltd has a March balance date and is wholly owned by </w:t>
      </w:r>
      <w:r w:rsidR="00F838ED" w:rsidRPr="006A2C9E">
        <w:rPr>
          <w:sz w:val="20"/>
        </w:rPr>
        <w:t>A</w:t>
      </w:r>
      <w:r w:rsidRPr="006A2C9E">
        <w:rPr>
          <w:sz w:val="20"/>
        </w:rPr>
        <w:t>us</w:t>
      </w:r>
      <w:r w:rsidR="00F838ED" w:rsidRPr="006A2C9E">
        <w:rPr>
          <w:sz w:val="20"/>
        </w:rPr>
        <w:t xml:space="preserve"> Parent</w:t>
      </w:r>
      <w:r w:rsidRPr="006A2C9E">
        <w:rPr>
          <w:sz w:val="20"/>
        </w:rPr>
        <w:t xml:space="preserve"> Ltd.  On 1 April 2015 NZ Sub Ltd issues a five year 5% annual coupon bond to Aus</w:t>
      </w:r>
      <w:r w:rsidR="00F838ED" w:rsidRPr="006A2C9E">
        <w:rPr>
          <w:sz w:val="20"/>
        </w:rPr>
        <w:t xml:space="preserve"> Parent</w:t>
      </w:r>
      <w:r w:rsidRPr="006A2C9E">
        <w:rPr>
          <w:sz w:val="20"/>
        </w:rPr>
        <w:t xml:space="preserve"> Ltd.  This bond has an issue price of $80 and a face value of $100.</w:t>
      </w:r>
    </w:p>
    <w:p w:rsidR="00E528F7" w:rsidRPr="006A2C9E" w:rsidRDefault="00E528F7" w:rsidP="006A2C9E">
      <w:pPr>
        <w:pStyle w:val="Chapter3"/>
        <w:numPr>
          <w:ilvl w:val="0"/>
          <w:numId w:val="0"/>
        </w:numPr>
        <w:rPr>
          <w:sz w:val="20"/>
        </w:rPr>
      </w:pPr>
    </w:p>
    <w:p w:rsidR="00E528F7" w:rsidRPr="006A2C9E" w:rsidRDefault="00D17FE3" w:rsidP="006A2C9E">
      <w:pPr>
        <w:pStyle w:val="Chapter3"/>
        <w:numPr>
          <w:ilvl w:val="0"/>
          <w:numId w:val="0"/>
        </w:numPr>
        <w:rPr>
          <w:sz w:val="20"/>
        </w:rPr>
      </w:pPr>
      <w:r w:rsidRPr="006A2C9E">
        <w:rPr>
          <w:sz w:val="20"/>
        </w:rPr>
        <w:t xml:space="preserve">In </w:t>
      </w:r>
      <w:r w:rsidR="001C411D" w:rsidRPr="006A2C9E">
        <w:rPr>
          <w:sz w:val="20"/>
        </w:rPr>
        <w:t xml:space="preserve">the </w:t>
      </w:r>
      <w:r w:rsidRPr="006A2C9E">
        <w:rPr>
          <w:sz w:val="20"/>
        </w:rPr>
        <w:t xml:space="preserve">31 March 2016 and 2017 years NZ Sub Ltd had been paying NRWT on the $5 cash interest payments.  </w:t>
      </w:r>
      <w:r w:rsidR="00E528F7" w:rsidRPr="006A2C9E">
        <w:rPr>
          <w:sz w:val="20"/>
        </w:rPr>
        <w:t>In the year to 31 March 201</w:t>
      </w:r>
      <w:r w:rsidR="00F838ED" w:rsidRPr="006A2C9E">
        <w:rPr>
          <w:sz w:val="20"/>
        </w:rPr>
        <w:t>8</w:t>
      </w:r>
      <w:r w:rsidR="00E528F7" w:rsidRPr="006A2C9E">
        <w:rPr>
          <w:sz w:val="20"/>
        </w:rPr>
        <w:t>, the amount of interest under the traditional interest definition is $5, whereas the amount of financial arrangement income applying YTM is $8.26.  As the difference between NR</w:t>
      </w:r>
      <w:r w:rsidR="009B6D39" w:rsidRPr="006A2C9E">
        <w:rPr>
          <w:sz w:val="20"/>
        </w:rPr>
        <w:t>P</w:t>
      </w:r>
      <w:r w:rsidR="00E528F7" w:rsidRPr="006A2C9E">
        <w:rPr>
          <w:sz w:val="20"/>
        </w:rPr>
        <w:t>I from interest payments and NR</w:t>
      </w:r>
      <w:r w:rsidR="009B6D39" w:rsidRPr="006A2C9E">
        <w:rPr>
          <w:sz w:val="20"/>
        </w:rPr>
        <w:t>P</w:t>
      </w:r>
      <w:r w:rsidR="00E528F7" w:rsidRPr="006A2C9E">
        <w:rPr>
          <w:sz w:val="20"/>
        </w:rPr>
        <w:t>I from NRFAI using YTM is more than 10%, and NZ Sub Ltd and A</w:t>
      </w:r>
      <w:r w:rsidR="001C411D" w:rsidRPr="006A2C9E">
        <w:rPr>
          <w:sz w:val="20"/>
        </w:rPr>
        <w:t>us Parent</w:t>
      </w:r>
      <w:r w:rsidR="00E528F7" w:rsidRPr="006A2C9E">
        <w:rPr>
          <w:sz w:val="20"/>
        </w:rPr>
        <w:t xml:space="preserve"> Ltd are associated, the bond gives rise to NRFAI.  NZ Sub Ltd is not required to withhold NRWT on the cash interest payments to Aus</w:t>
      </w:r>
      <w:r w:rsidRPr="006A2C9E">
        <w:rPr>
          <w:sz w:val="20"/>
        </w:rPr>
        <w:t xml:space="preserve"> Parent</w:t>
      </w:r>
      <w:r w:rsidR="00E528F7" w:rsidRPr="006A2C9E">
        <w:rPr>
          <w:sz w:val="20"/>
        </w:rPr>
        <w:t xml:space="preserve"> Ltd.</w:t>
      </w:r>
    </w:p>
    <w:p w:rsidR="00E528F7" w:rsidRPr="006A2C9E" w:rsidRDefault="00E528F7" w:rsidP="006A2C9E">
      <w:pPr>
        <w:pStyle w:val="Chapter3"/>
        <w:numPr>
          <w:ilvl w:val="0"/>
          <w:numId w:val="0"/>
        </w:numPr>
        <w:rPr>
          <w:sz w:val="20"/>
        </w:rPr>
      </w:pPr>
    </w:p>
    <w:p w:rsidR="00E528F7" w:rsidRPr="006A2C9E" w:rsidRDefault="00E528F7" w:rsidP="006A2C9E">
      <w:pPr>
        <w:pStyle w:val="Chapter3"/>
        <w:numPr>
          <w:ilvl w:val="0"/>
          <w:numId w:val="0"/>
        </w:numPr>
        <w:rPr>
          <w:sz w:val="20"/>
        </w:rPr>
      </w:pPr>
      <w:r w:rsidRPr="006A2C9E">
        <w:rPr>
          <w:sz w:val="20"/>
        </w:rPr>
        <w:t>NZ Sub Ltd’s March NRWT returns include the following calculations:</w:t>
      </w:r>
    </w:p>
    <w:p w:rsidR="00E528F7" w:rsidRPr="006A2C9E" w:rsidRDefault="00E528F7" w:rsidP="006A2C9E">
      <w:pPr>
        <w:pStyle w:val="Chapter3"/>
        <w:numPr>
          <w:ilvl w:val="0"/>
          <w:numId w:val="0"/>
        </w:numPr>
        <w:rPr>
          <w:sz w:val="20"/>
        </w:rPr>
      </w:pPr>
    </w:p>
    <w:tbl>
      <w:tblPr>
        <w:tblStyle w:val="TableGrid"/>
        <w:tblW w:w="7905" w:type="dxa"/>
        <w:jc w:val="center"/>
        <w:tblLayout w:type="fixed"/>
        <w:tblCellMar>
          <w:top w:w="57" w:type="dxa"/>
          <w:left w:w="57" w:type="dxa"/>
          <w:bottom w:w="57" w:type="dxa"/>
          <w:right w:w="57" w:type="dxa"/>
        </w:tblCellMar>
        <w:tblLook w:val="04A0" w:firstRow="1" w:lastRow="0" w:firstColumn="1" w:lastColumn="0" w:noHBand="0" w:noVBand="1"/>
      </w:tblPr>
      <w:tblGrid>
        <w:gridCol w:w="1384"/>
        <w:gridCol w:w="1719"/>
        <w:gridCol w:w="1200"/>
        <w:gridCol w:w="1201"/>
        <w:gridCol w:w="1200"/>
        <w:gridCol w:w="1201"/>
      </w:tblGrid>
      <w:tr w:rsidR="00D17FE3" w:rsidRPr="001D497B" w:rsidTr="001D497B">
        <w:trPr>
          <w:jc w:val="center"/>
        </w:trPr>
        <w:tc>
          <w:tcPr>
            <w:tcW w:w="1384" w:type="dxa"/>
          </w:tcPr>
          <w:p w:rsidR="00D17FE3" w:rsidRPr="001D497B" w:rsidRDefault="001D497B" w:rsidP="006A2C9E">
            <w:pPr>
              <w:ind w:right="-17"/>
              <w:jc w:val="left"/>
              <w:rPr>
                <w:b/>
                <w:sz w:val="18"/>
                <w:szCs w:val="18"/>
              </w:rPr>
            </w:pPr>
            <w:r>
              <w:rPr>
                <w:b/>
                <w:sz w:val="18"/>
                <w:szCs w:val="18"/>
              </w:rPr>
              <w:t>NRWT r</w:t>
            </w:r>
            <w:r w:rsidR="00D17FE3" w:rsidRPr="001D497B">
              <w:rPr>
                <w:b/>
                <w:sz w:val="18"/>
                <w:szCs w:val="18"/>
              </w:rPr>
              <w:t>eturn</w:t>
            </w:r>
          </w:p>
        </w:tc>
        <w:tc>
          <w:tcPr>
            <w:tcW w:w="1719" w:type="dxa"/>
          </w:tcPr>
          <w:p w:rsidR="00D17FE3" w:rsidRPr="001D497B" w:rsidRDefault="00D17FE3" w:rsidP="006A2C9E">
            <w:pPr>
              <w:ind w:right="-17"/>
              <w:jc w:val="left"/>
              <w:rPr>
                <w:b/>
                <w:sz w:val="18"/>
                <w:szCs w:val="18"/>
              </w:rPr>
            </w:pPr>
            <w:r w:rsidRPr="001D497B">
              <w:rPr>
                <w:b/>
                <w:sz w:val="18"/>
                <w:szCs w:val="18"/>
              </w:rPr>
              <w:t xml:space="preserve">Cash </w:t>
            </w:r>
            <w:r w:rsidR="00BE0794" w:rsidRPr="001D497B">
              <w:rPr>
                <w:b/>
                <w:sz w:val="18"/>
                <w:szCs w:val="18"/>
              </w:rPr>
              <w:t>i</w:t>
            </w:r>
            <w:r w:rsidRPr="001D497B">
              <w:rPr>
                <w:b/>
                <w:sz w:val="18"/>
                <w:szCs w:val="18"/>
              </w:rPr>
              <w:t>nterest</w:t>
            </w:r>
          </w:p>
        </w:tc>
        <w:tc>
          <w:tcPr>
            <w:tcW w:w="1200" w:type="dxa"/>
          </w:tcPr>
          <w:p w:rsidR="00D17FE3" w:rsidRPr="001D497B" w:rsidRDefault="00D17FE3" w:rsidP="006A2C9E">
            <w:pPr>
              <w:ind w:right="-17"/>
              <w:jc w:val="left"/>
              <w:rPr>
                <w:b/>
                <w:sz w:val="18"/>
                <w:szCs w:val="18"/>
              </w:rPr>
            </w:pPr>
            <w:r w:rsidRPr="001D497B">
              <w:rPr>
                <w:b/>
                <w:sz w:val="18"/>
                <w:szCs w:val="18"/>
              </w:rPr>
              <w:t>NRWT on cash interest</w:t>
            </w:r>
          </w:p>
        </w:tc>
        <w:tc>
          <w:tcPr>
            <w:tcW w:w="1201" w:type="dxa"/>
          </w:tcPr>
          <w:p w:rsidR="00D17FE3" w:rsidRPr="001D497B" w:rsidRDefault="00D17FE3" w:rsidP="006A2C9E">
            <w:pPr>
              <w:ind w:right="-17"/>
              <w:jc w:val="left"/>
              <w:rPr>
                <w:b/>
                <w:sz w:val="18"/>
                <w:szCs w:val="18"/>
              </w:rPr>
            </w:pPr>
            <w:r w:rsidRPr="001D497B">
              <w:rPr>
                <w:b/>
                <w:sz w:val="18"/>
                <w:szCs w:val="18"/>
              </w:rPr>
              <w:t>NRFAI</w:t>
            </w:r>
          </w:p>
        </w:tc>
        <w:tc>
          <w:tcPr>
            <w:tcW w:w="1200" w:type="dxa"/>
          </w:tcPr>
          <w:p w:rsidR="00D17FE3" w:rsidRPr="001D497B" w:rsidRDefault="00D17FE3" w:rsidP="006A2C9E">
            <w:pPr>
              <w:ind w:right="-17"/>
              <w:jc w:val="left"/>
              <w:rPr>
                <w:b/>
                <w:sz w:val="18"/>
                <w:szCs w:val="18"/>
              </w:rPr>
            </w:pPr>
            <w:r w:rsidRPr="001D497B">
              <w:rPr>
                <w:b/>
                <w:sz w:val="18"/>
                <w:szCs w:val="18"/>
              </w:rPr>
              <w:t>NRWT on NRFAI</w:t>
            </w:r>
          </w:p>
        </w:tc>
        <w:tc>
          <w:tcPr>
            <w:tcW w:w="1201" w:type="dxa"/>
          </w:tcPr>
          <w:p w:rsidR="00D17FE3" w:rsidRPr="001D497B" w:rsidRDefault="00D17FE3" w:rsidP="006A2C9E">
            <w:pPr>
              <w:ind w:right="-17"/>
              <w:jc w:val="left"/>
              <w:rPr>
                <w:b/>
                <w:sz w:val="18"/>
                <w:szCs w:val="18"/>
              </w:rPr>
            </w:pPr>
            <w:r w:rsidRPr="001D497B">
              <w:rPr>
                <w:b/>
                <w:sz w:val="18"/>
                <w:szCs w:val="18"/>
              </w:rPr>
              <w:t>NRWT on wash-up</w:t>
            </w:r>
          </w:p>
        </w:tc>
      </w:tr>
      <w:tr w:rsidR="00D17FE3" w:rsidRPr="001D497B" w:rsidTr="001D497B">
        <w:trPr>
          <w:jc w:val="center"/>
        </w:trPr>
        <w:tc>
          <w:tcPr>
            <w:tcW w:w="1384" w:type="dxa"/>
          </w:tcPr>
          <w:p w:rsidR="00D17FE3" w:rsidRPr="001D497B" w:rsidRDefault="00D17FE3" w:rsidP="006A2C9E">
            <w:pPr>
              <w:ind w:right="-17"/>
              <w:jc w:val="left"/>
              <w:rPr>
                <w:sz w:val="18"/>
                <w:szCs w:val="18"/>
              </w:rPr>
            </w:pPr>
            <w:r w:rsidRPr="001D497B">
              <w:rPr>
                <w:sz w:val="18"/>
                <w:szCs w:val="18"/>
              </w:rPr>
              <w:t>March 2016</w:t>
            </w:r>
          </w:p>
        </w:tc>
        <w:tc>
          <w:tcPr>
            <w:tcW w:w="1719" w:type="dxa"/>
          </w:tcPr>
          <w:p w:rsidR="00D17FE3" w:rsidRPr="001D497B" w:rsidRDefault="00D17FE3" w:rsidP="006A2C9E">
            <w:pPr>
              <w:ind w:right="-17"/>
              <w:jc w:val="left"/>
              <w:rPr>
                <w:sz w:val="18"/>
                <w:szCs w:val="18"/>
              </w:rPr>
            </w:pPr>
            <w:r w:rsidRPr="001D497B">
              <w:rPr>
                <w:sz w:val="18"/>
                <w:szCs w:val="18"/>
              </w:rPr>
              <w:t>$5</w:t>
            </w:r>
          </w:p>
        </w:tc>
        <w:tc>
          <w:tcPr>
            <w:tcW w:w="1200" w:type="dxa"/>
          </w:tcPr>
          <w:p w:rsidR="00D17FE3" w:rsidRPr="001D497B" w:rsidRDefault="00D17FE3" w:rsidP="006A2C9E">
            <w:pPr>
              <w:ind w:right="-17"/>
              <w:jc w:val="left"/>
              <w:rPr>
                <w:sz w:val="18"/>
                <w:szCs w:val="18"/>
              </w:rPr>
            </w:pPr>
            <w:r w:rsidRPr="001D497B">
              <w:rPr>
                <w:sz w:val="18"/>
                <w:szCs w:val="18"/>
              </w:rPr>
              <w:t>$0.50</w:t>
            </w:r>
          </w:p>
        </w:tc>
        <w:tc>
          <w:tcPr>
            <w:tcW w:w="1201" w:type="dxa"/>
          </w:tcPr>
          <w:p w:rsidR="00D17FE3" w:rsidRPr="001D497B" w:rsidRDefault="00D17FE3" w:rsidP="006A2C9E">
            <w:pPr>
              <w:ind w:right="-17"/>
              <w:jc w:val="left"/>
              <w:rPr>
                <w:sz w:val="18"/>
                <w:szCs w:val="18"/>
              </w:rPr>
            </w:pPr>
            <w:r w:rsidRPr="001D497B">
              <w:rPr>
                <w:sz w:val="18"/>
                <w:szCs w:val="18"/>
              </w:rPr>
              <w:t>$0</w:t>
            </w:r>
          </w:p>
        </w:tc>
        <w:tc>
          <w:tcPr>
            <w:tcW w:w="1200" w:type="dxa"/>
          </w:tcPr>
          <w:p w:rsidR="00D17FE3" w:rsidRPr="001D497B" w:rsidRDefault="00D17FE3" w:rsidP="006A2C9E">
            <w:pPr>
              <w:ind w:right="-17"/>
              <w:jc w:val="left"/>
              <w:rPr>
                <w:sz w:val="18"/>
                <w:szCs w:val="18"/>
              </w:rPr>
            </w:pPr>
            <w:r w:rsidRPr="001D497B">
              <w:rPr>
                <w:sz w:val="18"/>
                <w:szCs w:val="18"/>
              </w:rPr>
              <w:t>$0</w:t>
            </w:r>
          </w:p>
        </w:tc>
        <w:tc>
          <w:tcPr>
            <w:tcW w:w="1201" w:type="dxa"/>
          </w:tcPr>
          <w:p w:rsidR="00D17FE3" w:rsidRPr="001D497B" w:rsidRDefault="00D17FE3" w:rsidP="006A2C9E">
            <w:pPr>
              <w:ind w:right="-17"/>
              <w:jc w:val="left"/>
              <w:rPr>
                <w:sz w:val="18"/>
                <w:szCs w:val="18"/>
              </w:rPr>
            </w:pPr>
          </w:p>
        </w:tc>
      </w:tr>
      <w:tr w:rsidR="00D17FE3" w:rsidRPr="001D497B" w:rsidTr="001D497B">
        <w:trPr>
          <w:jc w:val="center"/>
        </w:trPr>
        <w:tc>
          <w:tcPr>
            <w:tcW w:w="1384" w:type="dxa"/>
          </w:tcPr>
          <w:p w:rsidR="00D17FE3" w:rsidRPr="001D497B" w:rsidRDefault="00D17FE3" w:rsidP="006A2C9E">
            <w:pPr>
              <w:ind w:right="-17"/>
              <w:jc w:val="left"/>
              <w:rPr>
                <w:sz w:val="18"/>
                <w:szCs w:val="18"/>
              </w:rPr>
            </w:pPr>
            <w:r w:rsidRPr="001D497B">
              <w:rPr>
                <w:sz w:val="18"/>
                <w:szCs w:val="18"/>
              </w:rPr>
              <w:t>March 2017</w:t>
            </w:r>
          </w:p>
        </w:tc>
        <w:tc>
          <w:tcPr>
            <w:tcW w:w="1719" w:type="dxa"/>
          </w:tcPr>
          <w:p w:rsidR="00D17FE3" w:rsidRPr="001D497B" w:rsidRDefault="00D17FE3" w:rsidP="006A2C9E">
            <w:pPr>
              <w:ind w:right="-17"/>
              <w:jc w:val="left"/>
              <w:rPr>
                <w:sz w:val="18"/>
                <w:szCs w:val="18"/>
              </w:rPr>
            </w:pPr>
            <w:r w:rsidRPr="001D497B">
              <w:rPr>
                <w:sz w:val="18"/>
                <w:szCs w:val="18"/>
              </w:rPr>
              <w:t>$5</w:t>
            </w:r>
          </w:p>
        </w:tc>
        <w:tc>
          <w:tcPr>
            <w:tcW w:w="1200" w:type="dxa"/>
          </w:tcPr>
          <w:p w:rsidR="00D17FE3" w:rsidRPr="001D497B" w:rsidRDefault="00D17FE3" w:rsidP="006A2C9E">
            <w:pPr>
              <w:ind w:right="-17"/>
              <w:jc w:val="left"/>
              <w:rPr>
                <w:sz w:val="18"/>
                <w:szCs w:val="18"/>
              </w:rPr>
            </w:pPr>
            <w:r w:rsidRPr="001D497B">
              <w:rPr>
                <w:sz w:val="18"/>
                <w:szCs w:val="18"/>
              </w:rPr>
              <w:t>$0.50</w:t>
            </w:r>
          </w:p>
        </w:tc>
        <w:tc>
          <w:tcPr>
            <w:tcW w:w="1201" w:type="dxa"/>
          </w:tcPr>
          <w:p w:rsidR="00D17FE3" w:rsidRPr="001D497B" w:rsidRDefault="00D17FE3" w:rsidP="006A2C9E">
            <w:pPr>
              <w:ind w:right="-17"/>
              <w:jc w:val="left"/>
              <w:rPr>
                <w:sz w:val="18"/>
                <w:szCs w:val="18"/>
              </w:rPr>
            </w:pPr>
            <w:r w:rsidRPr="001D497B">
              <w:rPr>
                <w:sz w:val="18"/>
                <w:szCs w:val="18"/>
              </w:rPr>
              <w:t>$0</w:t>
            </w:r>
          </w:p>
        </w:tc>
        <w:tc>
          <w:tcPr>
            <w:tcW w:w="1200" w:type="dxa"/>
          </w:tcPr>
          <w:p w:rsidR="00D17FE3" w:rsidRPr="001D497B" w:rsidRDefault="00D17FE3" w:rsidP="006A2C9E">
            <w:pPr>
              <w:ind w:right="-17"/>
              <w:jc w:val="left"/>
              <w:rPr>
                <w:sz w:val="18"/>
                <w:szCs w:val="18"/>
              </w:rPr>
            </w:pPr>
            <w:r w:rsidRPr="001D497B">
              <w:rPr>
                <w:sz w:val="18"/>
                <w:szCs w:val="18"/>
              </w:rPr>
              <w:t>$0</w:t>
            </w:r>
          </w:p>
        </w:tc>
        <w:tc>
          <w:tcPr>
            <w:tcW w:w="1201" w:type="dxa"/>
          </w:tcPr>
          <w:p w:rsidR="00D17FE3" w:rsidRPr="001D497B" w:rsidRDefault="00D17FE3" w:rsidP="006A2C9E">
            <w:pPr>
              <w:ind w:right="-17"/>
              <w:jc w:val="left"/>
              <w:rPr>
                <w:sz w:val="18"/>
                <w:szCs w:val="18"/>
              </w:rPr>
            </w:pPr>
          </w:p>
        </w:tc>
      </w:tr>
      <w:tr w:rsidR="00D17FE3" w:rsidRPr="001D497B" w:rsidTr="001D497B">
        <w:trPr>
          <w:jc w:val="center"/>
        </w:trPr>
        <w:tc>
          <w:tcPr>
            <w:tcW w:w="1384" w:type="dxa"/>
          </w:tcPr>
          <w:p w:rsidR="00D17FE3" w:rsidRPr="001D497B" w:rsidRDefault="00D17FE3" w:rsidP="006A2C9E">
            <w:pPr>
              <w:ind w:right="-17"/>
              <w:jc w:val="left"/>
              <w:rPr>
                <w:sz w:val="18"/>
                <w:szCs w:val="18"/>
              </w:rPr>
            </w:pPr>
            <w:r w:rsidRPr="001D497B">
              <w:rPr>
                <w:sz w:val="18"/>
                <w:szCs w:val="18"/>
              </w:rPr>
              <w:t>March 2018</w:t>
            </w:r>
          </w:p>
        </w:tc>
        <w:tc>
          <w:tcPr>
            <w:tcW w:w="1719" w:type="dxa"/>
          </w:tcPr>
          <w:p w:rsidR="00D17FE3" w:rsidRPr="001D497B" w:rsidRDefault="00D17FE3" w:rsidP="006A2C9E">
            <w:pPr>
              <w:ind w:right="-17"/>
              <w:jc w:val="left"/>
              <w:rPr>
                <w:sz w:val="18"/>
                <w:szCs w:val="18"/>
              </w:rPr>
            </w:pPr>
            <w:r w:rsidRPr="001D497B">
              <w:rPr>
                <w:sz w:val="18"/>
                <w:szCs w:val="18"/>
              </w:rPr>
              <w:t>$5</w:t>
            </w:r>
          </w:p>
        </w:tc>
        <w:tc>
          <w:tcPr>
            <w:tcW w:w="1200" w:type="dxa"/>
          </w:tcPr>
          <w:p w:rsidR="00D17FE3" w:rsidRPr="001D497B" w:rsidRDefault="00D17FE3" w:rsidP="006A2C9E">
            <w:pPr>
              <w:ind w:right="-17"/>
              <w:jc w:val="left"/>
              <w:rPr>
                <w:sz w:val="18"/>
                <w:szCs w:val="18"/>
              </w:rPr>
            </w:pPr>
            <w:r w:rsidRPr="001D497B">
              <w:rPr>
                <w:sz w:val="18"/>
                <w:szCs w:val="18"/>
              </w:rPr>
              <w:t>$0</w:t>
            </w:r>
          </w:p>
        </w:tc>
        <w:tc>
          <w:tcPr>
            <w:tcW w:w="1201" w:type="dxa"/>
          </w:tcPr>
          <w:p w:rsidR="00D17FE3" w:rsidRPr="001D497B" w:rsidRDefault="00D17FE3" w:rsidP="006A2C9E">
            <w:pPr>
              <w:ind w:right="-17"/>
              <w:jc w:val="left"/>
              <w:rPr>
                <w:sz w:val="18"/>
                <w:szCs w:val="18"/>
              </w:rPr>
            </w:pPr>
            <w:r w:rsidRPr="001D497B">
              <w:rPr>
                <w:sz w:val="18"/>
                <w:szCs w:val="18"/>
              </w:rPr>
              <w:t>$8.96</w:t>
            </w:r>
          </w:p>
        </w:tc>
        <w:tc>
          <w:tcPr>
            <w:tcW w:w="1200" w:type="dxa"/>
          </w:tcPr>
          <w:p w:rsidR="00D17FE3" w:rsidRPr="001D497B" w:rsidRDefault="00D17FE3" w:rsidP="006A2C9E">
            <w:pPr>
              <w:ind w:right="-17"/>
              <w:jc w:val="left"/>
              <w:rPr>
                <w:sz w:val="18"/>
                <w:szCs w:val="18"/>
              </w:rPr>
            </w:pPr>
            <w:r w:rsidRPr="001D497B">
              <w:rPr>
                <w:sz w:val="18"/>
                <w:szCs w:val="18"/>
              </w:rPr>
              <w:t>$0.90</w:t>
            </w:r>
          </w:p>
        </w:tc>
        <w:tc>
          <w:tcPr>
            <w:tcW w:w="1201" w:type="dxa"/>
          </w:tcPr>
          <w:p w:rsidR="00D17FE3" w:rsidRPr="001D497B" w:rsidRDefault="00D17FE3" w:rsidP="006A2C9E">
            <w:pPr>
              <w:ind w:right="-17"/>
              <w:jc w:val="left"/>
              <w:rPr>
                <w:sz w:val="18"/>
                <w:szCs w:val="18"/>
              </w:rPr>
            </w:pPr>
          </w:p>
        </w:tc>
      </w:tr>
      <w:tr w:rsidR="00D17FE3" w:rsidRPr="001D497B" w:rsidTr="001D497B">
        <w:trPr>
          <w:jc w:val="center"/>
        </w:trPr>
        <w:tc>
          <w:tcPr>
            <w:tcW w:w="1384" w:type="dxa"/>
          </w:tcPr>
          <w:p w:rsidR="00D17FE3" w:rsidRPr="001D497B" w:rsidRDefault="00D17FE3" w:rsidP="006A2C9E">
            <w:pPr>
              <w:ind w:right="-17"/>
              <w:jc w:val="left"/>
              <w:rPr>
                <w:sz w:val="18"/>
                <w:szCs w:val="18"/>
              </w:rPr>
            </w:pPr>
            <w:r w:rsidRPr="001D497B">
              <w:rPr>
                <w:sz w:val="18"/>
                <w:szCs w:val="18"/>
              </w:rPr>
              <w:t>March 2019</w:t>
            </w:r>
          </w:p>
        </w:tc>
        <w:tc>
          <w:tcPr>
            <w:tcW w:w="1719" w:type="dxa"/>
          </w:tcPr>
          <w:p w:rsidR="00D17FE3" w:rsidRPr="001D497B" w:rsidRDefault="00D17FE3" w:rsidP="006A2C9E">
            <w:pPr>
              <w:ind w:right="-17"/>
              <w:jc w:val="left"/>
              <w:rPr>
                <w:sz w:val="18"/>
                <w:szCs w:val="18"/>
              </w:rPr>
            </w:pPr>
            <w:r w:rsidRPr="001D497B">
              <w:rPr>
                <w:sz w:val="18"/>
                <w:szCs w:val="18"/>
              </w:rPr>
              <w:t>$5</w:t>
            </w:r>
          </w:p>
        </w:tc>
        <w:tc>
          <w:tcPr>
            <w:tcW w:w="1200" w:type="dxa"/>
          </w:tcPr>
          <w:p w:rsidR="00D17FE3" w:rsidRPr="001D497B" w:rsidRDefault="00D17FE3" w:rsidP="006A2C9E">
            <w:pPr>
              <w:ind w:right="-17"/>
              <w:jc w:val="left"/>
              <w:rPr>
                <w:sz w:val="18"/>
                <w:szCs w:val="18"/>
              </w:rPr>
            </w:pPr>
            <w:r w:rsidRPr="001D497B">
              <w:rPr>
                <w:sz w:val="18"/>
                <w:szCs w:val="18"/>
              </w:rPr>
              <w:t>$0</w:t>
            </w:r>
          </w:p>
        </w:tc>
        <w:tc>
          <w:tcPr>
            <w:tcW w:w="1201" w:type="dxa"/>
          </w:tcPr>
          <w:p w:rsidR="00D17FE3" w:rsidRPr="001D497B" w:rsidRDefault="00D17FE3" w:rsidP="006A2C9E">
            <w:pPr>
              <w:ind w:right="-17"/>
              <w:jc w:val="left"/>
              <w:rPr>
                <w:sz w:val="18"/>
                <w:szCs w:val="18"/>
              </w:rPr>
            </w:pPr>
            <w:r w:rsidRPr="001D497B">
              <w:rPr>
                <w:sz w:val="18"/>
                <w:szCs w:val="18"/>
              </w:rPr>
              <w:t>$9.37</w:t>
            </w:r>
          </w:p>
        </w:tc>
        <w:tc>
          <w:tcPr>
            <w:tcW w:w="1200" w:type="dxa"/>
          </w:tcPr>
          <w:p w:rsidR="00D17FE3" w:rsidRPr="001D497B" w:rsidRDefault="00D17FE3" w:rsidP="006A2C9E">
            <w:pPr>
              <w:ind w:right="-17"/>
              <w:jc w:val="left"/>
              <w:rPr>
                <w:sz w:val="18"/>
                <w:szCs w:val="18"/>
              </w:rPr>
            </w:pPr>
            <w:r w:rsidRPr="001D497B">
              <w:rPr>
                <w:sz w:val="18"/>
                <w:szCs w:val="18"/>
              </w:rPr>
              <w:t>$0.94</w:t>
            </w:r>
          </w:p>
        </w:tc>
        <w:tc>
          <w:tcPr>
            <w:tcW w:w="1201" w:type="dxa"/>
          </w:tcPr>
          <w:p w:rsidR="00D17FE3" w:rsidRPr="001D497B" w:rsidRDefault="00D17FE3" w:rsidP="006A2C9E">
            <w:pPr>
              <w:ind w:right="-17"/>
              <w:jc w:val="left"/>
              <w:rPr>
                <w:sz w:val="18"/>
                <w:szCs w:val="18"/>
              </w:rPr>
            </w:pPr>
          </w:p>
        </w:tc>
      </w:tr>
      <w:tr w:rsidR="00D17FE3" w:rsidRPr="001D497B" w:rsidTr="001D497B">
        <w:trPr>
          <w:jc w:val="center"/>
        </w:trPr>
        <w:tc>
          <w:tcPr>
            <w:tcW w:w="1384" w:type="dxa"/>
          </w:tcPr>
          <w:p w:rsidR="00D17FE3" w:rsidRPr="001D497B" w:rsidRDefault="00D17FE3" w:rsidP="006A2C9E">
            <w:pPr>
              <w:ind w:right="-17"/>
              <w:jc w:val="left"/>
              <w:rPr>
                <w:sz w:val="18"/>
                <w:szCs w:val="18"/>
              </w:rPr>
            </w:pPr>
            <w:r w:rsidRPr="001D497B">
              <w:rPr>
                <w:sz w:val="18"/>
                <w:szCs w:val="18"/>
              </w:rPr>
              <w:t>March 2020</w:t>
            </w:r>
          </w:p>
        </w:tc>
        <w:tc>
          <w:tcPr>
            <w:tcW w:w="1719" w:type="dxa"/>
          </w:tcPr>
          <w:p w:rsidR="00D17FE3" w:rsidRPr="001D497B" w:rsidRDefault="001D497B" w:rsidP="006A2C9E">
            <w:pPr>
              <w:ind w:right="-17"/>
              <w:jc w:val="left"/>
              <w:rPr>
                <w:sz w:val="18"/>
                <w:szCs w:val="18"/>
              </w:rPr>
            </w:pPr>
            <w:r>
              <w:rPr>
                <w:sz w:val="18"/>
                <w:szCs w:val="18"/>
              </w:rPr>
              <w:t xml:space="preserve">$5 + $20 </w:t>
            </w:r>
            <w:r w:rsidR="00D17FE3" w:rsidRPr="001D497B">
              <w:rPr>
                <w:sz w:val="18"/>
                <w:szCs w:val="18"/>
              </w:rPr>
              <w:t>redemption</w:t>
            </w:r>
          </w:p>
        </w:tc>
        <w:tc>
          <w:tcPr>
            <w:tcW w:w="1200" w:type="dxa"/>
          </w:tcPr>
          <w:p w:rsidR="00D17FE3" w:rsidRPr="001D497B" w:rsidRDefault="00D17FE3" w:rsidP="006A2C9E">
            <w:pPr>
              <w:ind w:right="-17"/>
              <w:jc w:val="left"/>
              <w:rPr>
                <w:sz w:val="18"/>
                <w:szCs w:val="18"/>
              </w:rPr>
            </w:pPr>
            <w:r w:rsidRPr="001D497B">
              <w:rPr>
                <w:sz w:val="18"/>
                <w:szCs w:val="18"/>
              </w:rPr>
              <w:t>$0</w:t>
            </w:r>
          </w:p>
        </w:tc>
        <w:tc>
          <w:tcPr>
            <w:tcW w:w="1201" w:type="dxa"/>
          </w:tcPr>
          <w:p w:rsidR="00D17FE3" w:rsidRPr="001D497B" w:rsidRDefault="00D17FE3" w:rsidP="006A2C9E">
            <w:pPr>
              <w:ind w:right="-17"/>
              <w:jc w:val="left"/>
              <w:rPr>
                <w:sz w:val="18"/>
                <w:szCs w:val="18"/>
              </w:rPr>
            </w:pPr>
            <w:r w:rsidRPr="001D497B">
              <w:rPr>
                <w:sz w:val="18"/>
                <w:szCs w:val="18"/>
              </w:rPr>
              <w:t>$9.82</w:t>
            </w:r>
          </w:p>
        </w:tc>
        <w:tc>
          <w:tcPr>
            <w:tcW w:w="1200" w:type="dxa"/>
          </w:tcPr>
          <w:p w:rsidR="00D17FE3" w:rsidRPr="001D497B" w:rsidRDefault="00D17FE3" w:rsidP="006A2C9E">
            <w:pPr>
              <w:ind w:right="-17"/>
              <w:jc w:val="left"/>
              <w:rPr>
                <w:sz w:val="18"/>
                <w:szCs w:val="18"/>
              </w:rPr>
            </w:pPr>
          </w:p>
        </w:tc>
        <w:tc>
          <w:tcPr>
            <w:tcW w:w="1201" w:type="dxa"/>
          </w:tcPr>
          <w:p w:rsidR="00D17FE3" w:rsidRPr="001D497B" w:rsidRDefault="006F6514" w:rsidP="006A2C9E">
            <w:pPr>
              <w:ind w:right="-17"/>
              <w:jc w:val="left"/>
              <w:rPr>
                <w:sz w:val="18"/>
                <w:szCs w:val="18"/>
              </w:rPr>
            </w:pPr>
            <w:r w:rsidRPr="001D497B">
              <w:rPr>
                <w:sz w:val="18"/>
                <w:szCs w:val="18"/>
              </w:rPr>
              <w:t>$1.66</w:t>
            </w:r>
            <w:r w:rsidR="00D17FE3" w:rsidRPr="001D497B">
              <w:rPr>
                <w:rStyle w:val="FootnoteReference"/>
              </w:rPr>
              <w:footnoteReference w:id="8"/>
            </w:r>
          </w:p>
        </w:tc>
      </w:tr>
    </w:tbl>
    <w:p w:rsidR="008F4865" w:rsidRPr="00DB2E88" w:rsidRDefault="008F4865" w:rsidP="00DB2E88"/>
    <w:p w:rsidR="00D17FE3" w:rsidRPr="00DB2E88" w:rsidRDefault="00D17FE3" w:rsidP="00DB2E88"/>
    <w:p w:rsidR="006A2C9E" w:rsidRPr="00DB2E88" w:rsidRDefault="006A2C9E" w:rsidP="00DB2E88"/>
    <w:p w:rsidR="006A2C9E" w:rsidRPr="00DB2E88" w:rsidRDefault="006A2C9E" w:rsidP="00DB2E88"/>
    <w:p w:rsidR="00D26929" w:rsidRPr="00DB2E88" w:rsidRDefault="00D26929" w:rsidP="00DB2E88"/>
    <w:p w:rsidR="00990C67" w:rsidRPr="00C43A88" w:rsidRDefault="006A2C9E" w:rsidP="001D497B">
      <w:pPr>
        <w:pBdr>
          <w:top w:val="single" w:sz="6" w:space="10" w:color="auto"/>
          <w:left w:val="single" w:sz="6" w:space="10" w:color="auto"/>
          <w:bottom w:val="single" w:sz="6" w:space="10" w:color="auto"/>
          <w:right w:val="single" w:sz="6" w:space="10" w:color="auto"/>
        </w:pBdr>
        <w:jc w:val="left"/>
        <w:rPr>
          <w:b/>
          <w:bCs/>
          <w:caps/>
        </w:rPr>
      </w:pPr>
      <w:r>
        <w:rPr>
          <w:b/>
          <w:bCs/>
        </w:rPr>
        <w:t>Q</w:t>
      </w:r>
      <w:r w:rsidRPr="00C43A88">
        <w:rPr>
          <w:b/>
          <w:bCs/>
        </w:rPr>
        <w:t>uestions for submitters</w:t>
      </w:r>
    </w:p>
    <w:p w:rsidR="00990C67" w:rsidRPr="00DB2E88" w:rsidRDefault="00990C67" w:rsidP="001D497B">
      <w:pPr>
        <w:pBdr>
          <w:top w:val="single" w:sz="6" w:space="10" w:color="auto"/>
          <w:left w:val="single" w:sz="6" w:space="10" w:color="auto"/>
          <w:bottom w:val="single" w:sz="6" w:space="10" w:color="auto"/>
          <w:right w:val="single" w:sz="6" w:space="10" w:color="auto"/>
        </w:pBdr>
        <w:jc w:val="left"/>
        <w:rPr>
          <w:bCs/>
          <w:caps/>
        </w:rPr>
      </w:pPr>
    </w:p>
    <w:p w:rsidR="00990C67" w:rsidRDefault="006947F8"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r>
        <w:t>3.</w:t>
      </w:r>
      <w:r w:rsidR="00FA6F5F">
        <w:t>1</w:t>
      </w:r>
      <w:r w:rsidR="00632CC9">
        <w:tab/>
        <w:t>Does an NRWT liability arising in the NRWT return period that includes a taxpayer</w:t>
      </w:r>
      <w:r w:rsidR="008F6CE7">
        <w:t>’</w:t>
      </w:r>
      <w:r w:rsidR="00632CC9">
        <w:t>s balance date provide sufficient time for a taxpayer to calculate and pay the NRWT</w:t>
      </w:r>
      <w:r w:rsidR="00091461">
        <w:t xml:space="preserve"> owing</w:t>
      </w:r>
      <w:r w:rsidR="00632CC9">
        <w:t>?</w:t>
      </w:r>
    </w:p>
    <w:p w:rsidR="001F4F73" w:rsidRDefault="001F4F73"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p>
    <w:p w:rsidR="001F4F73" w:rsidRDefault="00FA6F5F"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r>
        <w:t>3.2</w:t>
      </w:r>
      <w:r w:rsidR="001F4F73">
        <w:tab/>
      </w:r>
      <w:r w:rsidR="00722A54">
        <w:t>Do any practical difficulties arise</w:t>
      </w:r>
      <w:r>
        <w:t xml:space="preserve"> on the effect of obligations to the lender as set out in paragraph </w:t>
      </w:r>
      <w:r w:rsidR="001F4F73">
        <w:fldChar w:fldCharType="begin"/>
      </w:r>
      <w:r w:rsidR="001F4F73">
        <w:instrText xml:space="preserve"> REF _Ref415499045 \r \h </w:instrText>
      </w:r>
      <w:r w:rsidR="001F4F73">
        <w:fldChar w:fldCharType="separate"/>
      </w:r>
      <w:r w:rsidR="006B68CF">
        <w:t>3.23</w:t>
      </w:r>
      <w:r w:rsidR="001F4F73">
        <w:fldChar w:fldCharType="end"/>
      </w:r>
      <w:r w:rsidR="001F4F73">
        <w:t xml:space="preserve"> </w:t>
      </w:r>
      <w:r>
        <w:t>and example</w:t>
      </w:r>
      <w:r w:rsidR="00D02644">
        <w:t xml:space="preserve"> 3?</w:t>
      </w:r>
    </w:p>
    <w:p w:rsidR="00F60AE2" w:rsidRDefault="00F60AE2"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p>
    <w:p w:rsidR="00F60AE2" w:rsidRDefault="006947F8"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r>
        <w:t>3.</w:t>
      </w:r>
      <w:r w:rsidR="00FA6F5F">
        <w:t>3</w:t>
      </w:r>
      <w:r w:rsidR="00F60AE2">
        <w:tab/>
      </w:r>
      <w:r w:rsidR="001A3D93">
        <w:t xml:space="preserve">Is it necessary for </w:t>
      </w:r>
      <w:r w:rsidR="009F1E4D">
        <w:t>differences between NRWT if calculated on actual interest payments on foreign currency arrangements, and NRWT calculated on NRFAI</w:t>
      </w:r>
      <w:r w:rsidR="001A3D93">
        <w:t xml:space="preserve">, </w:t>
      </w:r>
      <w:r w:rsidR="00F04F73">
        <w:t>to result</w:t>
      </w:r>
      <w:r w:rsidR="009F1E4D">
        <w:t xml:space="preserve"> in an adjustment to </w:t>
      </w:r>
      <w:r w:rsidR="00F60AE2">
        <w:t>NRWT?</w:t>
      </w:r>
    </w:p>
    <w:p w:rsidR="002713C9" w:rsidRDefault="002713C9" w:rsidP="001D497B">
      <w:pPr>
        <w:pStyle w:val="Chapter1"/>
        <w:numPr>
          <w:ilvl w:val="0"/>
          <w:numId w:val="0"/>
        </w:numPr>
        <w:pBdr>
          <w:top w:val="single" w:sz="6" w:space="10" w:color="auto"/>
          <w:left w:val="single" w:sz="6" w:space="10" w:color="auto"/>
          <w:bottom w:val="single" w:sz="6" w:space="10" w:color="auto"/>
          <w:right w:val="single" w:sz="6" w:space="10" w:color="auto"/>
        </w:pBdr>
      </w:pPr>
    </w:p>
    <w:p w:rsidR="000B1934" w:rsidRDefault="00FA6F5F"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r>
        <w:t>3.4</w:t>
      </w:r>
      <w:r w:rsidR="002713C9">
        <w:tab/>
      </w:r>
      <w:r w:rsidR="000B1934">
        <w:t xml:space="preserve">Is </w:t>
      </w:r>
      <w:r w:rsidR="008F4865">
        <w:t>the approach of imposing NRWT on NRFAI ari</w:t>
      </w:r>
      <w:r w:rsidR="008B237E">
        <w:t xml:space="preserve">sing after the beginning of the </w:t>
      </w:r>
      <w:r w:rsidR="008F4865">
        <w:t xml:space="preserve">income year </w:t>
      </w:r>
      <w:r w:rsidR="008B237E">
        <w:t xml:space="preserve">following enactment </w:t>
      </w:r>
      <w:r w:rsidR="008F4865">
        <w:t>appropriate</w:t>
      </w:r>
      <w:r w:rsidR="00227E43">
        <w:t>?</w:t>
      </w:r>
    </w:p>
    <w:p w:rsidR="000E5DBC" w:rsidRDefault="000E5DBC"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p>
    <w:p w:rsidR="007E20BA" w:rsidRDefault="000E5DBC" w:rsidP="001D497B">
      <w:pPr>
        <w:pStyle w:val="Chapter1"/>
        <w:numPr>
          <w:ilvl w:val="0"/>
          <w:numId w:val="0"/>
        </w:numPr>
        <w:pBdr>
          <w:top w:val="single" w:sz="6" w:space="10" w:color="auto"/>
          <w:left w:val="single" w:sz="6" w:space="10" w:color="auto"/>
          <w:bottom w:val="single" w:sz="6" w:space="10" w:color="auto"/>
          <w:right w:val="single" w:sz="6" w:space="10" w:color="auto"/>
        </w:pBdr>
        <w:ind w:left="567" w:hanging="567"/>
      </w:pPr>
      <w:r>
        <w:t>3.5</w:t>
      </w:r>
      <w:r>
        <w:tab/>
        <w:t xml:space="preserve">Is the </w:t>
      </w:r>
      <w:r w:rsidR="00AF4CB8">
        <w:t xml:space="preserve">suggested </w:t>
      </w:r>
      <w:r>
        <w:t>wash</w:t>
      </w:r>
      <w:r w:rsidR="001C411D">
        <w:t>-</w:t>
      </w:r>
      <w:r>
        <w:t>up adjustment the best way to bring existing arrangements into the NRFAI regime?</w:t>
      </w:r>
    </w:p>
    <w:p w:rsidR="00D26929" w:rsidRDefault="00D26929" w:rsidP="00DB2E88"/>
    <w:p w:rsidR="002B19D6" w:rsidRPr="00D26929" w:rsidRDefault="002B19D6" w:rsidP="001D497B">
      <w:pPr>
        <w:pStyle w:val="Chapterheading"/>
      </w:pPr>
      <w:r w:rsidRPr="00D26929">
        <w:br w:type="page"/>
      </w:r>
      <w:bookmarkStart w:id="23" w:name="_Toc418756712"/>
      <w:r w:rsidR="00312170" w:rsidRPr="00A77C6C">
        <w:rPr>
          <w:caps w:val="0"/>
          <w:lang w:val="en-NZ"/>
        </w:rPr>
        <w:lastRenderedPageBreak/>
        <w:t xml:space="preserve">CHAPTER </w:t>
      </w:r>
      <w:r w:rsidR="00A77C6C" w:rsidRPr="00A77C6C">
        <w:rPr>
          <w:lang w:val="en-NZ"/>
        </w:rPr>
        <w:t>4</w:t>
      </w:r>
      <w:bookmarkEnd w:id="23"/>
    </w:p>
    <w:p w:rsidR="002B19D6" w:rsidRPr="00AE1C04" w:rsidRDefault="002B19D6" w:rsidP="001D497B">
      <w:pPr>
        <w:pStyle w:val="Chapterheading"/>
        <w:rPr>
          <w:lang w:val="en-NZ"/>
        </w:rPr>
      </w:pPr>
    </w:p>
    <w:p w:rsidR="002B19D6" w:rsidRPr="00AE1C04" w:rsidRDefault="001D497B" w:rsidP="001D497B">
      <w:pPr>
        <w:pStyle w:val="Chapterheading"/>
        <w:rPr>
          <w:lang w:val="en-NZ"/>
        </w:rPr>
      </w:pPr>
      <w:bookmarkStart w:id="24" w:name="_Toc418756713"/>
      <w:r>
        <w:rPr>
          <w:caps w:val="0"/>
          <w:lang w:val="en-NZ"/>
        </w:rPr>
        <w:t>Defining when payments are to a related person</w:t>
      </w:r>
      <w:bookmarkEnd w:id="24"/>
    </w:p>
    <w:p w:rsidR="002B19D6" w:rsidRPr="00AE1C04" w:rsidRDefault="002B19D6" w:rsidP="00DB2E88"/>
    <w:p w:rsidR="002B19D6" w:rsidRPr="004510BF" w:rsidRDefault="002B19D6" w:rsidP="00DB2E88"/>
    <w:p w:rsidR="002B19D6" w:rsidRDefault="009C00E9" w:rsidP="00F94F53">
      <w:pPr>
        <w:pStyle w:val="Chapter4"/>
        <w:tabs>
          <w:tab w:val="clear" w:pos="1702"/>
        </w:tabs>
        <w:ind w:left="851"/>
      </w:pPr>
      <w:r>
        <w:t>New Zealand borrowers that meet the requirements of section RF 12</w:t>
      </w:r>
      <w:r w:rsidR="008F6CE7">
        <w:t>(1)</w:t>
      </w:r>
      <w:r>
        <w:t xml:space="preserve">(a) of the Income Tax Act 2007 can pay </w:t>
      </w:r>
      <w:r w:rsidR="00EE3AF4">
        <w:t xml:space="preserve">AIL </w:t>
      </w:r>
      <w:r>
        <w:t>on a payment of interest that is NR</w:t>
      </w:r>
      <w:r w:rsidR="009B6D39">
        <w:t>P</w:t>
      </w:r>
      <w:r>
        <w:t xml:space="preserve">I.  When </w:t>
      </w:r>
      <w:r w:rsidR="00EE3AF4">
        <w:t xml:space="preserve">AIL </w:t>
      </w:r>
      <w:r>
        <w:t>is paid this NR</w:t>
      </w:r>
      <w:r w:rsidR="009B6D39">
        <w:t>P</w:t>
      </w:r>
      <w:r>
        <w:t>I qualifies for a zero-rate of NRWT.</w:t>
      </w:r>
    </w:p>
    <w:p w:rsidR="009C00E9" w:rsidRDefault="009C00E9" w:rsidP="00DB2E88"/>
    <w:p w:rsidR="009C00E9" w:rsidRDefault="009C00E9" w:rsidP="00F94F53">
      <w:pPr>
        <w:pStyle w:val="Chapter4"/>
        <w:tabs>
          <w:tab w:val="clear" w:pos="1702"/>
        </w:tabs>
        <w:ind w:left="851"/>
      </w:pPr>
      <w:r>
        <w:t>The requirements of section RF 12</w:t>
      </w:r>
      <w:r w:rsidR="008F6CE7">
        <w:t>(1)</w:t>
      </w:r>
      <w:r>
        <w:t xml:space="preserve">(a) include that the </w:t>
      </w:r>
      <w:r w:rsidR="00EE3AF4">
        <w:t xml:space="preserve">borrower </w:t>
      </w:r>
      <w:r>
        <w:t>is not associated</w:t>
      </w:r>
      <w:r>
        <w:rPr>
          <w:rStyle w:val="FootnoteReference"/>
        </w:rPr>
        <w:footnoteReference w:id="9"/>
      </w:r>
      <w:r>
        <w:t xml:space="preserve"> with the lender.  The reason for this restriction is that related-party lending can be a substitute for equity from a parent and be used to increase interest deductions thereby reducing the taxable profit that would arise if the parent invested </w:t>
      </w:r>
      <w:r w:rsidR="00F42308">
        <w:t>with</w:t>
      </w:r>
      <w:r>
        <w:t xml:space="preserve"> equity.  </w:t>
      </w:r>
      <w:r w:rsidR="00A9743F">
        <w:t xml:space="preserve">AIL at 2% </w:t>
      </w:r>
      <w:r>
        <w:t>on related</w:t>
      </w:r>
      <w:r w:rsidR="00426002">
        <w:t xml:space="preserve"> </w:t>
      </w:r>
      <w:r>
        <w:t>party interest would be inappropriately low when that interest deduction reduced the New Zealand borrower’s taxable income</w:t>
      </w:r>
      <w:r w:rsidR="00D1229C">
        <w:t>,</w:t>
      </w:r>
      <w:r>
        <w:t xml:space="preserve"> which is </w:t>
      </w:r>
      <w:r w:rsidR="008F6CE7">
        <w:t xml:space="preserve">generally </w:t>
      </w:r>
      <w:r>
        <w:t>subject to a 28% or higher income tax rate.</w:t>
      </w:r>
    </w:p>
    <w:p w:rsidR="009C00E9" w:rsidRDefault="009C00E9" w:rsidP="00DB2E88"/>
    <w:p w:rsidR="009C00E9" w:rsidRDefault="008F6CE7" w:rsidP="00F94F53">
      <w:pPr>
        <w:pStyle w:val="Chapter4"/>
        <w:tabs>
          <w:tab w:val="clear" w:pos="1702"/>
        </w:tabs>
        <w:ind w:left="851"/>
      </w:pPr>
      <w:r>
        <w:t>We</w:t>
      </w:r>
      <w:r w:rsidR="009C00E9">
        <w:t xml:space="preserve"> consider the current restrictions on </w:t>
      </w:r>
      <w:r w:rsidR="005913BB">
        <w:t xml:space="preserve">related </w:t>
      </w:r>
      <w:r w:rsidR="009C00E9">
        <w:t>parties accessing the AIL rules are not sufficiently robust</w:t>
      </w:r>
      <w:r w:rsidR="00174FF5">
        <w:t>,</w:t>
      </w:r>
      <w:r w:rsidR="009C00E9">
        <w:t xml:space="preserve"> which allows associated p</w:t>
      </w:r>
      <w:r w:rsidR="005913BB">
        <w:t>erson</w:t>
      </w:r>
      <w:r w:rsidR="009C00E9">
        <w:t xml:space="preserve">s to structure into the AIL rules when the policy intention is </w:t>
      </w:r>
      <w:r>
        <w:t xml:space="preserve">that </w:t>
      </w:r>
      <w:r w:rsidR="009C00E9">
        <w:t xml:space="preserve">the </w:t>
      </w:r>
      <w:r w:rsidR="00AA3572">
        <w:t>in</w:t>
      </w:r>
      <w:r w:rsidR="00A9743F">
        <w:t>terest payments should</w:t>
      </w:r>
      <w:r w:rsidR="00AA3572">
        <w:t xml:space="preserve"> be subject to NRWT.</w:t>
      </w:r>
    </w:p>
    <w:p w:rsidR="001849F9" w:rsidRDefault="001849F9" w:rsidP="00DB2E88"/>
    <w:p w:rsidR="001849F9" w:rsidRPr="00AE1C04" w:rsidRDefault="00174FF5" w:rsidP="00F94F53">
      <w:pPr>
        <w:pStyle w:val="Chapter4"/>
        <w:tabs>
          <w:tab w:val="clear" w:pos="1702"/>
        </w:tabs>
        <w:ind w:left="851"/>
      </w:pPr>
      <w:r>
        <w:t xml:space="preserve">This chapter </w:t>
      </w:r>
      <w:r w:rsidR="00135076">
        <w:t xml:space="preserve">explores </w:t>
      </w:r>
      <w:r>
        <w:t xml:space="preserve">changes </w:t>
      </w:r>
      <w:r w:rsidR="001849F9">
        <w:t>to ensure NR</w:t>
      </w:r>
      <w:r w:rsidR="009B6D39">
        <w:t>P</w:t>
      </w:r>
      <w:r w:rsidR="001849F9">
        <w:t xml:space="preserve">I </w:t>
      </w:r>
      <w:r w:rsidR="00355003">
        <w:t xml:space="preserve">(including NRFAI as discussed in the previous chapter) </w:t>
      </w:r>
      <w:r w:rsidR="006947F8">
        <w:t xml:space="preserve">paid directly or indirectly </w:t>
      </w:r>
      <w:r w:rsidR="001849F9">
        <w:t>to an associated</w:t>
      </w:r>
      <w:r w:rsidR="006947F8">
        <w:t xml:space="preserve"> non-resident</w:t>
      </w:r>
      <w:r w:rsidR="001849F9">
        <w:t xml:space="preserve"> </w:t>
      </w:r>
      <w:r w:rsidR="00A9743F">
        <w:t>cannot access the AIL rules.  T</w:t>
      </w:r>
      <w:r w:rsidR="001849F9">
        <w:t xml:space="preserve">hese </w:t>
      </w:r>
      <w:r w:rsidR="00135076">
        <w:t xml:space="preserve">suggestions </w:t>
      </w:r>
      <w:r w:rsidR="001849F9">
        <w:t xml:space="preserve">would also be used to determine whether NRFAI </w:t>
      </w:r>
      <w:r w:rsidR="00355003">
        <w:t>was generated by</w:t>
      </w:r>
      <w:r w:rsidR="001849F9">
        <w:t xml:space="preserve"> that arrangement.</w:t>
      </w:r>
    </w:p>
    <w:p w:rsidR="002B19D6" w:rsidRDefault="002B19D6" w:rsidP="00DB2E88"/>
    <w:p w:rsidR="001D497B" w:rsidRPr="00AE1C04" w:rsidRDefault="001D497B" w:rsidP="00DB2E88"/>
    <w:p w:rsidR="002B19D6" w:rsidRPr="001D497B" w:rsidRDefault="00AA3572" w:rsidP="001D497B">
      <w:pPr>
        <w:pStyle w:val="Heading1"/>
      </w:pPr>
      <w:bookmarkStart w:id="25" w:name="_Toc418756714"/>
      <w:r w:rsidRPr="001D497B">
        <w:t>Back-to-back loans</w:t>
      </w:r>
      <w:bookmarkEnd w:id="25"/>
    </w:p>
    <w:p w:rsidR="002B19D6" w:rsidRPr="00AE1C04" w:rsidRDefault="002B19D6" w:rsidP="002B19D6">
      <w:pPr>
        <w:pStyle w:val="Chapter1"/>
        <w:numPr>
          <w:ilvl w:val="0"/>
          <w:numId w:val="0"/>
        </w:numPr>
      </w:pPr>
    </w:p>
    <w:p w:rsidR="002B19D6" w:rsidRDefault="00AA3572" w:rsidP="00F94F53">
      <w:pPr>
        <w:pStyle w:val="Chapter4"/>
        <w:tabs>
          <w:tab w:val="clear" w:pos="1702"/>
        </w:tabs>
        <w:ind w:left="851"/>
      </w:pPr>
      <w:r>
        <w:t xml:space="preserve">Unlike </w:t>
      </w:r>
      <w:r w:rsidR="00A9743F">
        <w:t xml:space="preserve">some </w:t>
      </w:r>
      <w:r>
        <w:t>other areas of New Zealand’s tax legislation</w:t>
      </w:r>
      <w:r w:rsidR="007A5E4F">
        <w:t>,</w:t>
      </w:r>
      <w:r w:rsidRPr="007A5E4F">
        <w:rPr>
          <w:rStyle w:val="FootnoteReference"/>
          <w:sz w:val="24"/>
          <w:szCs w:val="24"/>
        </w:rPr>
        <w:footnoteReference w:id="10"/>
      </w:r>
      <w:r>
        <w:t xml:space="preserve"> the AIL rules do not look through to the ultimate </w:t>
      </w:r>
      <w:r w:rsidR="006236D2">
        <w:t xml:space="preserve">lender to </w:t>
      </w:r>
      <w:r>
        <w:t>a New Zealand</w:t>
      </w:r>
      <w:r w:rsidR="00EE3AF4">
        <w:t xml:space="preserve"> borrower</w:t>
      </w:r>
      <w:r>
        <w:t xml:space="preserve">.  This allows a New Zealand borrower to interpose </w:t>
      </w:r>
      <w:r w:rsidR="00DF1E03">
        <w:t>one or more</w:t>
      </w:r>
      <w:r w:rsidR="00DF3784">
        <w:t xml:space="preserve"> third part</w:t>
      </w:r>
      <w:r w:rsidR="00DF1E03">
        <w:t>ies</w:t>
      </w:r>
      <w:r>
        <w:t xml:space="preserve"> into what would otherwise be a loan from an associated p</w:t>
      </w:r>
      <w:r w:rsidR="005913BB">
        <w:t>erson</w:t>
      </w:r>
      <w:r>
        <w:t xml:space="preserve">.  </w:t>
      </w:r>
      <w:r w:rsidR="00DF3784">
        <w:t xml:space="preserve">An example of such an </w:t>
      </w:r>
      <w:r>
        <w:t>arrangement is a back-to-back loan.</w:t>
      </w:r>
    </w:p>
    <w:p w:rsidR="00AA3572" w:rsidRDefault="00AA3572" w:rsidP="00DB2E88"/>
    <w:p w:rsidR="00AA3572" w:rsidRDefault="00AA3572" w:rsidP="00F94F53">
      <w:pPr>
        <w:pStyle w:val="Chapter4"/>
        <w:tabs>
          <w:tab w:val="clear" w:pos="1702"/>
        </w:tabs>
        <w:ind w:left="851"/>
      </w:pPr>
      <w:r>
        <w:t xml:space="preserve">Under the current legislation, </w:t>
      </w:r>
      <w:r w:rsidR="00C97D61">
        <w:t xml:space="preserve">subject to the potential application of the general anti-avoidance provision, </w:t>
      </w:r>
      <w:r>
        <w:t xml:space="preserve">a New Zealand borrower can claim </w:t>
      </w:r>
      <w:r w:rsidR="007B465F">
        <w:t xml:space="preserve">it has </w:t>
      </w:r>
      <w:r>
        <w:t xml:space="preserve">borrowed from a non-associated third party and therefore access the AIL rules even when that third party has </w:t>
      </w:r>
      <w:r w:rsidR="007B465F">
        <w:t>itself</w:t>
      </w:r>
      <w:r w:rsidR="00153A90">
        <w:t xml:space="preserve"> </w:t>
      </w:r>
      <w:r>
        <w:t xml:space="preserve">borrowed from </w:t>
      </w:r>
      <w:r w:rsidR="00153A90">
        <w:t>a company that is associated with the New Zealand borrower.</w:t>
      </w:r>
    </w:p>
    <w:p w:rsidR="00153A90" w:rsidRDefault="00153A90" w:rsidP="00DB2E88"/>
    <w:p w:rsidR="00153A90" w:rsidRDefault="00153A90" w:rsidP="00F94F53">
      <w:pPr>
        <w:pStyle w:val="Chapter4"/>
        <w:tabs>
          <w:tab w:val="clear" w:pos="1702"/>
        </w:tabs>
        <w:ind w:left="851"/>
      </w:pPr>
      <w:r>
        <w:t>In practice, due to the fungibility of money, it will often be difficult for Inland Revenue to identify specific funding flows through a third party.</w:t>
      </w:r>
    </w:p>
    <w:p w:rsidR="00153A90" w:rsidRDefault="00153A90" w:rsidP="00DB2E88"/>
    <w:p w:rsidR="001D497B" w:rsidRDefault="001D497B">
      <w:pPr>
        <w:jc w:val="left"/>
        <w:rPr>
          <w:lang w:val="en-NZ"/>
        </w:rPr>
      </w:pPr>
      <w:r>
        <w:br w:type="page"/>
      </w:r>
    </w:p>
    <w:p w:rsidR="00153A90" w:rsidRPr="001D497B" w:rsidRDefault="00153A90" w:rsidP="001D497B">
      <w:pPr>
        <w:pStyle w:val="Chapter4"/>
        <w:tabs>
          <w:tab w:val="clear" w:pos="1702"/>
        </w:tabs>
        <w:ind w:left="851"/>
      </w:pPr>
      <w:r w:rsidRPr="001D497B">
        <w:lastRenderedPageBreak/>
        <w:t xml:space="preserve">However, </w:t>
      </w:r>
      <w:r w:rsidR="00EE3AF4" w:rsidRPr="001D497B">
        <w:t xml:space="preserve">we </w:t>
      </w:r>
      <w:r w:rsidRPr="001D497B">
        <w:t xml:space="preserve">do not intend that all </w:t>
      </w:r>
      <w:r w:rsidR="00355003" w:rsidRPr="001D497B">
        <w:t>interest</w:t>
      </w:r>
      <w:r w:rsidRPr="001D497B">
        <w:t xml:space="preserve"> </w:t>
      </w:r>
      <w:r w:rsidR="007B465F" w:rsidRPr="001D497B">
        <w:t>paid</w:t>
      </w:r>
      <w:r w:rsidR="008F4865" w:rsidRPr="001D497B">
        <w:t xml:space="preserve"> </w:t>
      </w:r>
      <w:r w:rsidRPr="001D497B">
        <w:t xml:space="preserve">by a New Zealand </w:t>
      </w:r>
      <w:r w:rsidR="00355003" w:rsidRPr="001D497B">
        <w:t>borrower</w:t>
      </w:r>
      <w:r w:rsidRPr="001D497B">
        <w:t xml:space="preserve"> should be unable to access the AIL rules just because an associated</w:t>
      </w:r>
      <w:r w:rsidR="008F4865" w:rsidRPr="001D497B">
        <w:t xml:space="preserve"> </w:t>
      </w:r>
      <w:r w:rsidRPr="001D497B">
        <w:t>p</w:t>
      </w:r>
      <w:r w:rsidR="006947F8" w:rsidRPr="001D497B">
        <w:t>erson</w:t>
      </w:r>
      <w:r w:rsidRPr="001D497B">
        <w:t xml:space="preserve"> has deposited </w:t>
      </w:r>
      <w:r w:rsidR="007B465F" w:rsidRPr="001D497B">
        <w:t xml:space="preserve">with </w:t>
      </w:r>
      <w:r w:rsidRPr="001D497B">
        <w:t>or lent money to the person lending money to the New Zealand borrower.</w:t>
      </w:r>
    </w:p>
    <w:p w:rsidR="00F76582" w:rsidRDefault="00F76582" w:rsidP="00DB2E88"/>
    <w:p w:rsidR="00153A90" w:rsidRDefault="00153A90" w:rsidP="00F94F53">
      <w:pPr>
        <w:pStyle w:val="Chapter4"/>
        <w:tabs>
          <w:tab w:val="clear" w:pos="1702"/>
        </w:tabs>
        <w:ind w:left="851"/>
      </w:pPr>
      <w:r>
        <w:t>The two main reasons for this are:</w:t>
      </w:r>
    </w:p>
    <w:p w:rsidR="002D4986" w:rsidRDefault="002D4986" w:rsidP="00DB2E88"/>
    <w:p w:rsidR="00153A90" w:rsidRDefault="00326661" w:rsidP="00AA70EB">
      <w:pPr>
        <w:pStyle w:val="Bullets"/>
      </w:pPr>
      <w:r>
        <w:t>t</w:t>
      </w:r>
      <w:r w:rsidR="00153A90">
        <w:t xml:space="preserve">he New Zealand operations of a worldwide group may only be a minor part of the entire operation.  It would often be impractical for the New Zealand </w:t>
      </w:r>
      <w:r w:rsidR="002D3893">
        <w:t xml:space="preserve">group </w:t>
      </w:r>
      <w:r>
        <w:t>entity</w:t>
      </w:r>
      <w:r w:rsidR="00153A90">
        <w:t xml:space="preserve"> to keep track of all worldwide financing decision</w:t>
      </w:r>
      <w:r w:rsidR="006947F8">
        <w:t>s</w:t>
      </w:r>
      <w:r w:rsidR="00153A90">
        <w:t xml:space="preserve"> of the</w:t>
      </w:r>
      <w:r w:rsidR="004C11A9">
        <w:t>ir</w:t>
      </w:r>
      <w:r w:rsidR="00153A90">
        <w:t xml:space="preserve"> group to ensure no other part of the group had lent money to a person who</w:t>
      </w:r>
      <w:r w:rsidR="007B6CCF">
        <w:t>m</w:t>
      </w:r>
      <w:r w:rsidR="00153A90">
        <w:t xml:space="preserve"> </w:t>
      </w:r>
      <w:r w:rsidR="002D3893">
        <w:t>the New Zealand entity</w:t>
      </w:r>
      <w:r w:rsidR="00153A90">
        <w:t xml:space="preserve"> had borrowed from; and</w:t>
      </w:r>
    </w:p>
    <w:p w:rsidR="007B465F" w:rsidRDefault="002D3893" w:rsidP="00AA70EB">
      <w:pPr>
        <w:pStyle w:val="Bullets"/>
        <w:spacing w:after="0"/>
      </w:pPr>
      <w:r>
        <w:t>w</w:t>
      </w:r>
      <w:r w:rsidR="00153A90">
        <w:t xml:space="preserve">here a New Zealand </w:t>
      </w:r>
      <w:r w:rsidR="003D0921">
        <w:t>company</w:t>
      </w:r>
      <w:r w:rsidR="00153A90">
        <w:t xml:space="preserve"> borrows from the same entity that another part of their worldwide group has deposited/lent money to </w:t>
      </w:r>
      <w:r w:rsidR="003D0921">
        <w:t>without the New Zealand company</w:t>
      </w:r>
      <w:r w:rsidR="00DF1E03">
        <w:t>’</w:t>
      </w:r>
      <w:r w:rsidR="00153A90">
        <w:t>s knowledge</w:t>
      </w:r>
      <w:r w:rsidR="007B6CCF">
        <w:t>,</w:t>
      </w:r>
      <w:r w:rsidR="004C11A9">
        <w:t xml:space="preserve"> it is </w:t>
      </w:r>
      <w:r w:rsidR="00E62C50">
        <w:t xml:space="preserve">more </w:t>
      </w:r>
      <w:r w:rsidR="004C11A9">
        <w:t>difficult to argue</w:t>
      </w:r>
      <w:r w:rsidR="00D1229C">
        <w:t xml:space="preserve"> that</w:t>
      </w:r>
      <w:r w:rsidR="004C11A9">
        <w:t xml:space="preserve"> this funding is a replacement for equity funding that would have otherwise been prov</w:t>
      </w:r>
      <w:r w:rsidR="003D0921">
        <w:t>ided to the New Zealand company</w:t>
      </w:r>
      <w:r w:rsidR="004C11A9">
        <w:t>.</w:t>
      </w:r>
    </w:p>
    <w:p w:rsidR="003D0921" w:rsidRDefault="003D0921" w:rsidP="003D0921"/>
    <w:p w:rsidR="001D497B" w:rsidRDefault="001D497B" w:rsidP="003D0921"/>
    <w:p w:rsidR="003D0921" w:rsidRPr="001D497B" w:rsidRDefault="003D0921" w:rsidP="001D497B">
      <w:pPr>
        <w:pStyle w:val="Heading1"/>
      </w:pPr>
      <w:bookmarkStart w:id="26" w:name="_Toc418756715"/>
      <w:r w:rsidRPr="001D497B">
        <w:t>Other multi-party arrangements</w:t>
      </w:r>
      <w:bookmarkEnd w:id="26"/>
    </w:p>
    <w:p w:rsidR="00153A90" w:rsidRDefault="00153A90" w:rsidP="003D0921"/>
    <w:p w:rsidR="003D0921" w:rsidRDefault="003D0921" w:rsidP="00F94F53">
      <w:pPr>
        <w:pStyle w:val="Chapter4"/>
        <w:tabs>
          <w:tab w:val="clear" w:pos="1702"/>
        </w:tabs>
        <w:ind w:left="851"/>
      </w:pPr>
      <w:r>
        <w:t>Arrangements have also been entered into which are not back</w:t>
      </w:r>
      <w:r w:rsidR="00DD199A">
        <w:t>-</w:t>
      </w:r>
      <w:r>
        <w:t>to</w:t>
      </w:r>
      <w:r w:rsidR="00DD199A">
        <w:t>-</w:t>
      </w:r>
      <w:r>
        <w:t>back loans in the conventional sense but which also involve the indirect provision of funding by a non-resident lender to a resident associated borrower without the imposition of NRWT</w:t>
      </w:r>
      <w:r w:rsidR="00E62C50">
        <w:t xml:space="preserve">, while maintaining an income tax deduction calculated under the </w:t>
      </w:r>
      <w:r w:rsidR="00F42308">
        <w:t>financial arrangement</w:t>
      </w:r>
      <w:r w:rsidR="00E62C50">
        <w:t xml:space="preserve"> rules</w:t>
      </w:r>
      <w:r>
        <w:t>.  A typical structure involves:</w:t>
      </w:r>
    </w:p>
    <w:p w:rsidR="00E62C50" w:rsidRDefault="00E62C50" w:rsidP="00E62C50">
      <w:pPr>
        <w:pStyle w:val="Chapter4"/>
        <w:numPr>
          <w:ilvl w:val="0"/>
          <w:numId w:val="0"/>
        </w:numPr>
        <w:ind w:left="851"/>
      </w:pPr>
    </w:p>
    <w:p w:rsidR="003D0921" w:rsidRDefault="00E62C50" w:rsidP="00AA70EB">
      <w:pPr>
        <w:pStyle w:val="Bullets"/>
      </w:pPr>
      <w:r>
        <w:t>a</w:t>
      </w:r>
      <w:r w:rsidR="003D0921">
        <w:t xml:space="preserve"> loan from a N</w:t>
      </w:r>
      <w:r w:rsidR="00D1229C">
        <w:t xml:space="preserve">ew </w:t>
      </w:r>
      <w:r w:rsidR="003D0921">
        <w:t>Z</w:t>
      </w:r>
      <w:r w:rsidR="00D1229C">
        <w:t>ealand-</w:t>
      </w:r>
      <w:r w:rsidR="003D0921">
        <w:t>resident bank to a N</w:t>
      </w:r>
      <w:r w:rsidR="00D1229C">
        <w:t xml:space="preserve">ew </w:t>
      </w:r>
      <w:r w:rsidR="003D0921">
        <w:t>Z</w:t>
      </w:r>
      <w:r w:rsidR="00D1229C">
        <w:t>ealand</w:t>
      </w:r>
      <w:r w:rsidR="003D0921">
        <w:t xml:space="preserve"> borrower.  The loan is interest only</w:t>
      </w:r>
      <w:r w:rsidR="00DF3784">
        <w:t xml:space="preserve"> with a bullet repayment of principal, and has a five year term</w:t>
      </w:r>
      <w:r w:rsidR="003D0921">
        <w:t>;</w:t>
      </w:r>
      <w:r>
        <w:t xml:space="preserve"> and</w:t>
      </w:r>
    </w:p>
    <w:p w:rsidR="003D0921" w:rsidRDefault="000E5DBC" w:rsidP="00AA70EB">
      <w:pPr>
        <w:pStyle w:val="Bullets"/>
        <w:spacing w:after="0"/>
      </w:pPr>
      <w:r>
        <w:t xml:space="preserve">shortly thereafter, </w:t>
      </w:r>
      <w:r w:rsidR="00E62C50">
        <w:t>t</w:t>
      </w:r>
      <w:r w:rsidR="003D0921">
        <w:t xml:space="preserve">he assignment by the bank of the right to receive the loan repayment on maturity to the </w:t>
      </w:r>
      <w:r w:rsidR="00880EA4">
        <w:t xml:space="preserve">non-resident </w:t>
      </w:r>
      <w:r w:rsidR="003D0921">
        <w:t>parent of the N</w:t>
      </w:r>
      <w:r w:rsidR="00D1229C">
        <w:t xml:space="preserve">ew </w:t>
      </w:r>
      <w:r w:rsidR="003D0921">
        <w:t>Z</w:t>
      </w:r>
      <w:r w:rsidR="00D1229C">
        <w:t>ealand</w:t>
      </w:r>
      <w:r w:rsidR="003D0921">
        <w:t xml:space="preserve"> borrower.</w:t>
      </w:r>
      <w:r w:rsidR="00DF3784">
        <w:t xml:space="preserve">  This assignment is contemplated at t</w:t>
      </w:r>
      <w:r>
        <w:t>he time the loan is made</w:t>
      </w:r>
      <w:r w:rsidR="00DF3784">
        <w:t>.</w:t>
      </w:r>
    </w:p>
    <w:p w:rsidR="003D0921" w:rsidRDefault="003D0921" w:rsidP="00DB2E88"/>
    <w:p w:rsidR="003D0921" w:rsidRDefault="003D0921" w:rsidP="00F94F53">
      <w:pPr>
        <w:pStyle w:val="Chapter4"/>
        <w:tabs>
          <w:tab w:val="clear" w:pos="1702"/>
        </w:tabs>
        <w:ind w:left="851"/>
      </w:pPr>
      <w:r>
        <w:t>In substanc</w:t>
      </w:r>
      <w:r w:rsidR="00880EA4">
        <w:t xml:space="preserve">e, this is a loan </w:t>
      </w:r>
      <w:r w:rsidR="00F42308">
        <w:t>to the N</w:t>
      </w:r>
      <w:r w:rsidR="00D1229C">
        <w:t xml:space="preserve">ew </w:t>
      </w:r>
      <w:r w:rsidR="00F42308">
        <w:t>Z</w:t>
      </w:r>
      <w:r w:rsidR="00D1229C">
        <w:t>ealand</w:t>
      </w:r>
      <w:r w:rsidR="00F42308">
        <w:t xml:space="preserve"> borrower </w:t>
      </w:r>
      <w:r w:rsidR="00880EA4">
        <w:t>from:</w:t>
      </w:r>
    </w:p>
    <w:p w:rsidR="00E62C50" w:rsidRDefault="00E62C50" w:rsidP="00DB2E88"/>
    <w:p w:rsidR="00880EA4" w:rsidRDefault="00E62C50" w:rsidP="00AA70EB">
      <w:pPr>
        <w:pStyle w:val="Bullets"/>
      </w:pPr>
      <w:r>
        <w:t>t</w:t>
      </w:r>
      <w:r w:rsidR="00880EA4">
        <w:t>he bank, for an amount equal to the amount of the loan less the amount received from the non-resident parent</w:t>
      </w:r>
      <w:r w:rsidR="004207ED">
        <w:t xml:space="preserve"> for the assignment</w:t>
      </w:r>
      <w:r w:rsidR="00880EA4">
        <w:t xml:space="preserve">.  This loan is </w:t>
      </w:r>
      <w:r w:rsidR="004207ED">
        <w:t>repaid on a principal and interest basis (like a table mortgage) by way of the interest payments</w:t>
      </w:r>
      <w:r w:rsidR="00880EA4">
        <w:t>;</w:t>
      </w:r>
      <w:r>
        <w:t xml:space="preserve"> and</w:t>
      </w:r>
    </w:p>
    <w:p w:rsidR="004207ED" w:rsidRDefault="00E62C50" w:rsidP="00AA70EB">
      <w:pPr>
        <w:pStyle w:val="Bullets"/>
        <w:spacing w:after="0"/>
      </w:pPr>
      <w:r>
        <w:t>t</w:t>
      </w:r>
      <w:r w:rsidR="004207ED">
        <w:t>he non-resident parent, for an amount equal to the assignment price.  This loan is in the nature of a zero coupon bond issued at a discount, where both “principal” and “interest” are repaid on maturity of the loan.</w:t>
      </w:r>
    </w:p>
    <w:p w:rsidR="004207ED" w:rsidRDefault="004207ED" w:rsidP="00DB2E88"/>
    <w:p w:rsidR="00AA70EB" w:rsidRDefault="00AA70EB" w:rsidP="00DB2E88"/>
    <w:p w:rsidR="00AA70EB" w:rsidRDefault="00AA70EB">
      <w:pPr>
        <w:jc w:val="left"/>
        <w:rPr>
          <w:rFonts w:ascii="Times New Roman Bold" w:hAnsi="Times New Roman Bold"/>
          <w:b/>
          <w:kern w:val="28"/>
          <w:szCs w:val="24"/>
        </w:rPr>
      </w:pPr>
      <w:r>
        <w:br w:type="page"/>
      </w:r>
    </w:p>
    <w:p w:rsidR="004207ED" w:rsidRPr="004207ED" w:rsidRDefault="00135076" w:rsidP="002D4986">
      <w:pPr>
        <w:pStyle w:val="Heading1"/>
      </w:pPr>
      <w:bookmarkStart w:id="27" w:name="_Toc418756716"/>
      <w:r>
        <w:lastRenderedPageBreak/>
        <w:t>Addressing the problem</w:t>
      </w:r>
      <w:bookmarkEnd w:id="27"/>
    </w:p>
    <w:p w:rsidR="003D0921" w:rsidRDefault="003D0921" w:rsidP="00DB2E88"/>
    <w:p w:rsidR="00153A90" w:rsidRDefault="004207ED" w:rsidP="00F94F53">
      <w:pPr>
        <w:pStyle w:val="Chapter4"/>
        <w:tabs>
          <w:tab w:val="clear" w:pos="1702"/>
        </w:tabs>
        <w:ind w:left="851"/>
      </w:pPr>
      <w:r>
        <w:t>To deal with both back</w:t>
      </w:r>
      <w:r w:rsidR="00E62C50">
        <w:t>-</w:t>
      </w:r>
      <w:r>
        <w:t>to</w:t>
      </w:r>
      <w:r w:rsidR="00E62C50">
        <w:t>-</w:t>
      </w:r>
      <w:r>
        <w:t xml:space="preserve">back loans and other multi-party arrangements, </w:t>
      </w:r>
      <w:r w:rsidR="00135076">
        <w:t>officials suggest that</w:t>
      </w:r>
      <w:r>
        <w:t xml:space="preserve"> payments by a N</w:t>
      </w:r>
      <w:r w:rsidR="00833A03">
        <w:t xml:space="preserve">ew </w:t>
      </w:r>
      <w:r>
        <w:t>Z</w:t>
      </w:r>
      <w:r w:rsidR="00833A03">
        <w:t>ealand</w:t>
      </w:r>
      <w:r>
        <w:t xml:space="preserve"> resident to another person </w:t>
      </w:r>
      <w:r w:rsidR="00135076">
        <w:t xml:space="preserve">be deemed </w:t>
      </w:r>
      <w:r>
        <w:t>to be in whole or in part NR</w:t>
      </w:r>
      <w:r w:rsidR="009B6D39">
        <w:t>P</w:t>
      </w:r>
      <w:r>
        <w:t xml:space="preserve">I paid to an associated person </w:t>
      </w:r>
      <w:r w:rsidR="003B5398">
        <w:t>when the following requirements a</w:t>
      </w:r>
      <w:r w:rsidR="004C11A9">
        <w:t>re present:</w:t>
      </w:r>
    </w:p>
    <w:p w:rsidR="00AA70EB" w:rsidRDefault="00AA70EB" w:rsidP="00AA70EB">
      <w:pPr>
        <w:pStyle w:val="Chapter4"/>
        <w:numPr>
          <w:ilvl w:val="0"/>
          <w:numId w:val="0"/>
        </w:numPr>
        <w:ind w:left="851"/>
      </w:pPr>
    </w:p>
    <w:p w:rsidR="004C11A9" w:rsidRDefault="00E62C50" w:rsidP="00AA70EB">
      <w:pPr>
        <w:pStyle w:val="Bullets"/>
      </w:pPr>
      <w:r>
        <w:t>a</w:t>
      </w:r>
      <w:r w:rsidR="004C11A9" w:rsidRPr="004C11A9">
        <w:t xml:space="preserve"> </w:t>
      </w:r>
      <w:r w:rsidR="000E5DBC">
        <w:t>New Zealand resident (</w:t>
      </w:r>
      <w:r w:rsidR="004C11A9" w:rsidRPr="004C11A9">
        <w:t xml:space="preserve">the borrower) </w:t>
      </w:r>
      <w:r w:rsidR="003B5398">
        <w:t>is provided with funds by a l</w:t>
      </w:r>
      <w:r w:rsidR="004207ED">
        <w:t>ender</w:t>
      </w:r>
      <w:r w:rsidR="003B5398">
        <w:t xml:space="preserve"> (the direct lender) under a financial arrangement</w:t>
      </w:r>
      <w:r w:rsidR="004C11A9" w:rsidRPr="004C11A9">
        <w:t>; and</w:t>
      </w:r>
    </w:p>
    <w:p w:rsidR="004C11A9" w:rsidRDefault="00E62C50" w:rsidP="00AA70EB">
      <w:pPr>
        <w:pStyle w:val="Bullets"/>
      </w:pPr>
      <w:r>
        <w:t>a</w:t>
      </w:r>
      <w:r w:rsidR="004C11A9" w:rsidRPr="004C11A9">
        <w:t xml:space="preserve"> non-resident associate of the bo</w:t>
      </w:r>
      <w:r w:rsidR="003B5398">
        <w:t>rrower (the indirect lender)</w:t>
      </w:r>
      <w:r w:rsidR="004C11A9" w:rsidRPr="004C11A9">
        <w:t xml:space="preserve"> provides funds, directly or indirectly, </w:t>
      </w:r>
      <w:r w:rsidR="00833A03">
        <w:t xml:space="preserve">to </w:t>
      </w:r>
      <w:r w:rsidR="004C11A9" w:rsidRPr="004C11A9">
        <w:t xml:space="preserve">the </w:t>
      </w:r>
      <w:r>
        <w:t xml:space="preserve">direct </w:t>
      </w:r>
      <w:r w:rsidR="004C11A9" w:rsidRPr="004C11A9">
        <w:t>lender</w:t>
      </w:r>
      <w:r w:rsidR="007B6CCF" w:rsidRPr="007B6CCF">
        <w:t xml:space="preserve"> </w:t>
      </w:r>
      <w:r w:rsidR="007B6CCF">
        <w:t>in order for those funds to be passed on to the borrower</w:t>
      </w:r>
      <w:r w:rsidR="004C11A9" w:rsidRPr="004C11A9">
        <w:t>; and</w:t>
      </w:r>
    </w:p>
    <w:p w:rsidR="004C11A9" w:rsidRDefault="00E62C50" w:rsidP="00AA70EB">
      <w:pPr>
        <w:pStyle w:val="Bullets"/>
        <w:spacing w:after="0"/>
      </w:pPr>
      <w:r>
        <w:t>a</w:t>
      </w:r>
      <w:r w:rsidR="004C11A9">
        <w:t>n arrangemen</w:t>
      </w:r>
      <w:r w:rsidR="00DF3784">
        <w:t>t was entered into between a</w:t>
      </w:r>
      <w:r w:rsidR="003B5398">
        <w:t xml:space="preserve">ny two of the </w:t>
      </w:r>
      <w:r w:rsidR="000C2608">
        <w:t>borrower,</w:t>
      </w:r>
      <w:r w:rsidR="004C11A9">
        <w:t xml:space="preserve"> the </w:t>
      </w:r>
      <w:r>
        <w:t xml:space="preserve">direct </w:t>
      </w:r>
      <w:r w:rsidR="003B5398">
        <w:t>lender and the indirect lender</w:t>
      </w:r>
      <w:r w:rsidR="004C11A9">
        <w:t xml:space="preserve"> or anyone associated with </w:t>
      </w:r>
      <w:r w:rsidR="003B5398">
        <w:t>any</w:t>
      </w:r>
      <w:r w:rsidR="00EE3AF4">
        <w:t xml:space="preserve"> of </w:t>
      </w:r>
      <w:r w:rsidR="00DF3784">
        <w:t>them</w:t>
      </w:r>
      <w:r w:rsidR="00D1229C">
        <w:t>,</w:t>
      </w:r>
      <w:r w:rsidR="00DF3784">
        <w:t xml:space="preserve"> </w:t>
      </w:r>
      <w:r w:rsidR="003B5398">
        <w:t xml:space="preserve">by virtue of which </w:t>
      </w:r>
      <w:r w:rsidR="00FB4E4F">
        <w:t>either</w:t>
      </w:r>
      <w:r w:rsidR="003B5398">
        <w:t xml:space="preserve"> provision of funds</w:t>
      </w:r>
      <w:r w:rsidR="007B465F">
        <w:t xml:space="preserve">, or the terms of </w:t>
      </w:r>
      <w:r w:rsidR="00FB4E4F">
        <w:t xml:space="preserve">either </w:t>
      </w:r>
      <w:r w:rsidR="007B465F">
        <w:t>provision of funds,</w:t>
      </w:r>
      <w:r w:rsidR="003B5398">
        <w:t xml:space="preserve"> is dependent on or related to the </w:t>
      </w:r>
      <w:r w:rsidR="00FB4E4F">
        <w:t>other</w:t>
      </w:r>
      <w:r w:rsidR="003B5398">
        <w:t xml:space="preserve"> provision of funds.</w:t>
      </w:r>
    </w:p>
    <w:p w:rsidR="003B5398" w:rsidRDefault="003B5398" w:rsidP="00DB2E88"/>
    <w:p w:rsidR="00365AFC" w:rsidRDefault="001A73F2" w:rsidP="00F94F53">
      <w:pPr>
        <w:pStyle w:val="Chapter4"/>
        <w:tabs>
          <w:tab w:val="clear" w:pos="1702"/>
        </w:tabs>
        <w:ind w:left="851"/>
      </w:pPr>
      <w:r>
        <w:t>F</w:t>
      </w:r>
      <w:r w:rsidR="000E5DBC">
        <w:t>or purposes of determining the</w:t>
      </w:r>
      <w:r>
        <w:t xml:space="preserve"> borrower’s liability to withhold NRWT, it would be treated as borrowing </w:t>
      </w:r>
      <w:r w:rsidR="00FB4E4F">
        <w:t xml:space="preserve">from the indirect lender </w:t>
      </w:r>
      <w:r>
        <w:t xml:space="preserve">the amount provided by the </w:t>
      </w:r>
      <w:r w:rsidR="00E62C50">
        <w:t>indirect</w:t>
      </w:r>
      <w:r>
        <w:t xml:space="preserve"> lender</w:t>
      </w:r>
      <w:r w:rsidR="00810B85">
        <w:t xml:space="preserve"> (except to the extent not provided d</w:t>
      </w:r>
      <w:r w:rsidR="000E5DBC">
        <w:t xml:space="preserve">irectly or indirectly to the </w:t>
      </w:r>
      <w:r w:rsidR="00810B85">
        <w:t>borrower)</w:t>
      </w:r>
      <w:r>
        <w:t xml:space="preserve">, and as paying to the </w:t>
      </w:r>
      <w:r w:rsidR="00E62C50">
        <w:t>indirect</w:t>
      </w:r>
      <w:r>
        <w:t xml:space="preserve"> lender the total amount paid to the </w:t>
      </w:r>
      <w:r w:rsidR="00E62C50">
        <w:t>indirect lender</w:t>
      </w:r>
      <w:r>
        <w:t xml:space="preserve"> </w:t>
      </w:r>
      <w:r w:rsidR="00F42308">
        <w:t>under</w:t>
      </w:r>
      <w:r>
        <w:t xml:space="preserve"> the arrangement</w:t>
      </w:r>
      <w:r w:rsidR="00810B85">
        <w:t xml:space="preserve"> (except to the extent not provided d</w:t>
      </w:r>
      <w:r w:rsidR="000E5DBC">
        <w:t xml:space="preserve">irectly or indirectly by the </w:t>
      </w:r>
      <w:r w:rsidR="00810B85">
        <w:t>borrower)</w:t>
      </w:r>
      <w:r>
        <w:t xml:space="preserve">.  Any excess of the amount paid </w:t>
      </w:r>
      <w:r w:rsidR="000C2608">
        <w:t xml:space="preserve">to the </w:t>
      </w:r>
      <w:r w:rsidR="00E62C50">
        <w:t>indirect</w:t>
      </w:r>
      <w:r w:rsidR="000C2608">
        <w:t xml:space="preserve"> lender </w:t>
      </w:r>
      <w:r>
        <w:t xml:space="preserve">over the amount provided </w:t>
      </w:r>
      <w:r w:rsidR="00E62C50">
        <w:t xml:space="preserve">by them </w:t>
      </w:r>
      <w:r>
        <w:t>would be NR</w:t>
      </w:r>
      <w:r w:rsidR="009B6D39">
        <w:t>P</w:t>
      </w:r>
      <w:r>
        <w:t>I liable to NRWT</w:t>
      </w:r>
      <w:r w:rsidR="00810B85">
        <w:t>, which the N</w:t>
      </w:r>
      <w:r w:rsidR="00D1229C">
        <w:t xml:space="preserve">ew </w:t>
      </w:r>
      <w:r w:rsidR="00810B85">
        <w:t>Z</w:t>
      </w:r>
      <w:r w:rsidR="00D1229C">
        <w:t>ealand</w:t>
      </w:r>
      <w:r w:rsidR="00810B85">
        <w:t xml:space="preserve"> borrower would have to pay</w:t>
      </w:r>
      <w:r>
        <w:t xml:space="preserve">.  </w:t>
      </w:r>
      <w:r w:rsidR="00145614">
        <w:t>The deferral test described in C</w:t>
      </w:r>
      <w:r>
        <w:t>hapter 3 would be applied to determine whether the borrower would have to pay NRWT on the basis of NRFAI or interest payments.</w:t>
      </w:r>
    </w:p>
    <w:p w:rsidR="004B5189" w:rsidRDefault="004B5189" w:rsidP="00DB2E88"/>
    <w:p w:rsidR="004B5189" w:rsidRPr="00AE1C04" w:rsidRDefault="00135076" w:rsidP="00F94F53">
      <w:pPr>
        <w:pStyle w:val="Chapter4"/>
        <w:tabs>
          <w:tab w:val="clear" w:pos="1702"/>
        </w:tabs>
        <w:ind w:left="851"/>
      </w:pPr>
      <w:r>
        <w:t>Our suggestion is that this would</w:t>
      </w:r>
      <w:r w:rsidR="004B5189">
        <w:t xml:space="preserve"> also cover funding chains where there are multiple non-associated parties.</w:t>
      </w:r>
    </w:p>
    <w:p w:rsidR="00D17FE3" w:rsidRDefault="00D17FE3" w:rsidP="00FA6F5F">
      <w:pPr>
        <w:pStyle w:val="Chapter3"/>
        <w:numPr>
          <w:ilvl w:val="0"/>
          <w:numId w:val="0"/>
        </w:numPr>
        <w:ind w:left="851"/>
      </w:pPr>
      <w:r>
        <w:br w:type="page"/>
      </w:r>
    </w:p>
    <w:p w:rsidR="00D17FE3" w:rsidRPr="00A05C06" w:rsidRDefault="00A05C06" w:rsidP="00A05C06">
      <w:pPr>
        <w:pStyle w:val="Chapter3"/>
        <w:numPr>
          <w:ilvl w:val="0"/>
          <w:numId w:val="0"/>
        </w:numPr>
        <w:ind w:left="284"/>
        <w:rPr>
          <w:b/>
          <w:sz w:val="20"/>
        </w:rPr>
      </w:pPr>
      <w:r>
        <w:rPr>
          <w:noProof/>
          <w:lang w:eastAsia="en-NZ"/>
        </w:rPr>
        <w:lastRenderedPageBreak/>
        <mc:AlternateContent>
          <mc:Choice Requires="wps">
            <w:drawing>
              <wp:anchor distT="0" distB="0" distL="114300" distR="114300" simplePos="0" relativeHeight="251797504" behindDoc="0" locked="0" layoutInCell="1" allowOverlap="1" wp14:anchorId="1E8C7875" wp14:editId="0DF5DFD3">
                <wp:simplePos x="0" y="0"/>
                <wp:positionH relativeFrom="column">
                  <wp:posOffset>12395</wp:posOffset>
                </wp:positionH>
                <wp:positionV relativeFrom="paragraph">
                  <wp:posOffset>-114448</wp:posOffset>
                </wp:positionV>
                <wp:extent cx="5666740" cy="6115792"/>
                <wp:effectExtent l="0" t="0" r="10160" b="1841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6740" cy="611579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pt;margin-top:-9pt;width:446.2pt;height:481.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" filled="f" strokecolor="windowText">
                <v:path arrowok="t"/>
              </v:rect>
            </w:pict>
          </mc:Fallback>
        </mc:AlternateContent>
      </w:r>
      <w:r w:rsidR="00D17FE3" w:rsidRPr="00A05C06">
        <w:rPr>
          <w:b/>
          <w:sz w:val="20"/>
        </w:rPr>
        <w:t xml:space="preserve">Example </w:t>
      </w:r>
      <w:r w:rsidR="00C33CF3" w:rsidRPr="00A05C06">
        <w:rPr>
          <w:b/>
          <w:sz w:val="20"/>
        </w:rPr>
        <w:t>6</w:t>
      </w:r>
    </w:p>
    <w:p w:rsidR="00D17FE3" w:rsidRPr="00A05C06" w:rsidRDefault="00D17FE3" w:rsidP="00A05C06">
      <w:pPr>
        <w:pStyle w:val="Chapter3"/>
        <w:numPr>
          <w:ilvl w:val="0"/>
          <w:numId w:val="0"/>
        </w:numPr>
        <w:ind w:left="284"/>
        <w:rPr>
          <w:sz w:val="20"/>
        </w:rPr>
      </w:pPr>
    </w:p>
    <w:p w:rsidR="00D17FE3" w:rsidRPr="00A05C06" w:rsidRDefault="00D17FE3" w:rsidP="00A05C06">
      <w:pPr>
        <w:pStyle w:val="Chapter3"/>
        <w:numPr>
          <w:ilvl w:val="0"/>
          <w:numId w:val="0"/>
        </w:numPr>
        <w:ind w:left="284"/>
        <w:rPr>
          <w:sz w:val="20"/>
        </w:rPr>
      </w:pPr>
      <w:r w:rsidRPr="00A05C06">
        <w:rPr>
          <w:sz w:val="20"/>
        </w:rPr>
        <w:t xml:space="preserve">NZ Sub Ltd has a March balance date and is wholly owned by Aus Parent Ltd.  On 1 April 2018 NZ Sub Ltd issues a five year 5% annual coupon bond to </w:t>
      </w:r>
      <w:r w:rsidR="00547BB4" w:rsidRPr="00A05C06">
        <w:rPr>
          <w:sz w:val="20"/>
        </w:rPr>
        <w:t>NZ Third Party</w:t>
      </w:r>
      <w:r w:rsidRPr="00A05C06">
        <w:rPr>
          <w:sz w:val="20"/>
        </w:rPr>
        <w:t xml:space="preserve"> Ltd.  </w:t>
      </w:r>
      <w:r w:rsidR="00547BB4" w:rsidRPr="00A05C06">
        <w:rPr>
          <w:sz w:val="20"/>
        </w:rPr>
        <w:t xml:space="preserve">NZ Sub Ltd and NZ Third Party Ltd are not associated.  </w:t>
      </w:r>
      <w:r w:rsidRPr="00A05C06">
        <w:rPr>
          <w:sz w:val="20"/>
        </w:rPr>
        <w:t xml:space="preserve">This bond </w:t>
      </w:r>
      <w:r w:rsidR="00195923" w:rsidRPr="00A05C06">
        <w:rPr>
          <w:sz w:val="20"/>
        </w:rPr>
        <w:t xml:space="preserve">has </w:t>
      </w:r>
      <w:r w:rsidRPr="00A05C06">
        <w:rPr>
          <w:sz w:val="20"/>
        </w:rPr>
        <w:t>a face value of $100</w:t>
      </w:r>
      <w:r w:rsidR="00195923" w:rsidRPr="00A05C06">
        <w:rPr>
          <w:sz w:val="20"/>
        </w:rPr>
        <w:t xml:space="preserve"> and is issued for $100</w:t>
      </w:r>
      <w:r w:rsidRPr="00A05C06">
        <w:rPr>
          <w:sz w:val="20"/>
        </w:rPr>
        <w:t>.</w:t>
      </w:r>
    </w:p>
    <w:p w:rsidR="00547BB4" w:rsidRPr="00A05C06" w:rsidRDefault="00547BB4" w:rsidP="00A05C06">
      <w:pPr>
        <w:pStyle w:val="Chapter3"/>
        <w:numPr>
          <w:ilvl w:val="0"/>
          <w:numId w:val="0"/>
        </w:numPr>
        <w:ind w:left="284"/>
        <w:rPr>
          <w:sz w:val="20"/>
        </w:rPr>
      </w:pPr>
    </w:p>
    <w:p w:rsidR="00547BB4" w:rsidRPr="00A05C06" w:rsidRDefault="00547BB4" w:rsidP="00A05C06">
      <w:pPr>
        <w:pStyle w:val="Chapter3"/>
        <w:numPr>
          <w:ilvl w:val="0"/>
          <w:numId w:val="0"/>
        </w:numPr>
        <w:ind w:left="284"/>
        <w:rPr>
          <w:sz w:val="20"/>
        </w:rPr>
      </w:pPr>
      <w:r w:rsidRPr="00A05C06">
        <w:rPr>
          <w:sz w:val="20"/>
        </w:rPr>
        <w:t xml:space="preserve">On 1 April 2018 NZ Third Party Ltd agrees to sell the </w:t>
      </w:r>
      <w:r w:rsidR="00195923" w:rsidRPr="00A05C06">
        <w:rPr>
          <w:sz w:val="20"/>
        </w:rPr>
        <w:t xml:space="preserve">principal component of the </w:t>
      </w:r>
      <w:r w:rsidRPr="00A05C06">
        <w:rPr>
          <w:sz w:val="20"/>
        </w:rPr>
        <w:t>bond to Aus Parent Ltd on 31 March 2023.  Aus Parent Ltd pays NZ Third Party Ltd $80 on 1 April 2018 and will receive $100 from NZ Sub Ltd when the bond matures on 31 March 2023.  NZ Third Party Ltd will continue to receive the $5 annual coupon payments.</w:t>
      </w:r>
    </w:p>
    <w:p w:rsidR="00D17FE3" w:rsidRPr="00A05C06" w:rsidRDefault="00D17FE3" w:rsidP="00A05C06">
      <w:pPr>
        <w:pStyle w:val="Chapter3"/>
        <w:numPr>
          <w:ilvl w:val="0"/>
          <w:numId w:val="0"/>
        </w:numPr>
        <w:ind w:left="284"/>
        <w:rPr>
          <w:sz w:val="20"/>
        </w:rPr>
      </w:pPr>
    </w:p>
    <w:p w:rsidR="00547BB4" w:rsidRPr="00A05C06" w:rsidRDefault="00547BB4" w:rsidP="00A05C06">
      <w:pPr>
        <w:pStyle w:val="Chapter3"/>
        <w:numPr>
          <w:ilvl w:val="0"/>
          <w:numId w:val="0"/>
        </w:numPr>
        <w:ind w:left="284"/>
        <w:rPr>
          <w:sz w:val="20"/>
        </w:rPr>
      </w:pPr>
      <w:r w:rsidRPr="00A05C06">
        <w:rPr>
          <w:sz w:val="20"/>
        </w:rPr>
        <w:t xml:space="preserve">Under the </w:t>
      </w:r>
      <w:r w:rsidR="00FA6F5F" w:rsidRPr="00A05C06">
        <w:rPr>
          <w:sz w:val="20"/>
        </w:rPr>
        <w:t xml:space="preserve">current </w:t>
      </w:r>
      <w:r w:rsidRPr="00A05C06">
        <w:rPr>
          <w:sz w:val="20"/>
        </w:rPr>
        <w:t xml:space="preserve">definition there is no money lent from Aus Parent Ltd to NZ Third Party Ltd or NZ Sub Ltd therefore no NRWT is payable.  Under the proposed rules </w:t>
      </w:r>
      <w:r w:rsidR="00195923" w:rsidRPr="00A05C06">
        <w:rPr>
          <w:sz w:val="20"/>
        </w:rPr>
        <w:t>Aus Parent Ltd will be treated as providing $80 to NZ Sub Ltd and NZ Sub Ltd will be treated as paying Aus Par</w:t>
      </w:r>
      <w:r w:rsidR="00D1229C">
        <w:rPr>
          <w:sz w:val="20"/>
        </w:rPr>
        <w:t>ent Ltd $100 at the end of the five-</w:t>
      </w:r>
      <w:r w:rsidR="00195923" w:rsidRPr="00A05C06">
        <w:rPr>
          <w:sz w:val="20"/>
        </w:rPr>
        <w:t>year period.  The $20 excess will be treated as interest</w:t>
      </w:r>
      <w:r w:rsidRPr="00A05C06">
        <w:rPr>
          <w:sz w:val="20"/>
        </w:rPr>
        <w:t>.</w:t>
      </w:r>
    </w:p>
    <w:p w:rsidR="00547BB4" w:rsidRPr="00A05C06" w:rsidRDefault="00547BB4" w:rsidP="00A05C06">
      <w:pPr>
        <w:pStyle w:val="Chapter3"/>
        <w:numPr>
          <w:ilvl w:val="0"/>
          <w:numId w:val="0"/>
        </w:numPr>
        <w:ind w:left="284"/>
        <w:rPr>
          <w:sz w:val="20"/>
        </w:rPr>
      </w:pPr>
    </w:p>
    <w:p w:rsidR="00547BB4" w:rsidRDefault="00547BB4" w:rsidP="00A05C06">
      <w:pPr>
        <w:pStyle w:val="Chapter3"/>
        <w:numPr>
          <w:ilvl w:val="0"/>
          <w:numId w:val="0"/>
        </w:numPr>
        <w:ind w:left="284"/>
        <w:rPr>
          <w:sz w:val="20"/>
        </w:rPr>
      </w:pPr>
      <w:r w:rsidRPr="00A05C06">
        <w:rPr>
          <w:sz w:val="20"/>
        </w:rPr>
        <w:t xml:space="preserve">This transaction </w:t>
      </w:r>
      <w:r w:rsidR="004B5189" w:rsidRPr="00A05C06">
        <w:rPr>
          <w:sz w:val="20"/>
        </w:rPr>
        <w:t>will be treated as made up of</w:t>
      </w:r>
      <w:r w:rsidRPr="00A05C06">
        <w:rPr>
          <w:sz w:val="20"/>
        </w:rPr>
        <w:t xml:space="preserve"> two separate loans:</w:t>
      </w:r>
    </w:p>
    <w:p w:rsidR="00A05C06" w:rsidRPr="00A05C06" w:rsidRDefault="00A05C06" w:rsidP="00A05C06">
      <w:pPr>
        <w:pStyle w:val="Chapter3"/>
        <w:numPr>
          <w:ilvl w:val="0"/>
          <w:numId w:val="0"/>
        </w:numPr>
        <w:ind w:left="284"/>
        <w:rPr>
          <w:sz w:val="20"/>
        </w:rPr>
      </w:pPr>
    </w:p>
    <w:p w:rsidR="00547BB4" w:rsidRPr="00A05C06" w:rsidRDefault="00C33CF3" w:rsidP="00A05C06">
      <w:pPr>
        <w:pStyle w:val="Chapter3"/>
        <w:numPr>
          <w:ilvl w:val="0"/>
          <w:numId w:val="29"/>
        </w:numPr>
        <w:ind w:left="567" w:hanging="283"/>
        <w:rPr>
          <w:sz w:val="20"/>
        </w:rPr>
      </w:pPr>
      <w:r w:rsidRPr="00A05C06">
        <w:rPr>
          <w:sz w:val="20"/>
        </w:rPr>
        <w:t xml:space="preserve">A $20 loan from NZ Third Party Ltd repaid by </w:t>
      </w:r>
      <w:r w:rsidR="00FA6F5F" w:rsidRPr="00A05C06">
        <w:rPr>
          <w:sz w:val="20"/>
        </w:rPr>
        <w:t>five</w:t>
      </w:r>
      <w:r w:rsidRPr="00A05C06">
        <w:rPr>
          <w:sz w:val="20"/>
        </w:rPr>
        <w:t xml:space="preserve"> annual payments of $5.</w:t>
      </w:r>
    </w:p>
    <w:p w:rsidR="00C33CF3" w:rsidRPr="00A05C06" w:rsidRDefault="00C33CF3" w:rsidP="00A05C06">
      <w:pPr>
        <w:pStyle w:val="Chapter3"/>
        <w:numPr>
          <w:ilvl w:val="0"/>
          <w:numId w:val="29"/>
        </w:numPr>
        <w:ind w:left="567" w:hanging="283"/>
        <w:rPr>
          <w:sz w:val="20"/>
        </w:rPr>
      </w:pPr>
      <w:r w:rsidRPr="00A05C06">
        <w:rPr>
          <w:sz w:val="20"/>
        </w:rPr>
        <w:t>A</w:t>
      </w:r>
      <w:r w:rsidR="00292734">
        <w:rPr>
          <w:sz w:val="20"/>
        </w:rPr>
        <w:t>n</w:t>
      </w:r>
      <w:r w:rsidRPr="00A05C06">
        <w:rPr>
          <w:sz w:val="20"/>
        </w:rPr>
        <w:t xml:space="preserve"> $80 loan from Aus Parent Ltd repaid by a single $100 payment in </w:t>
      </w:r>
      <w:r w:rsidR="00FA6F5F" w:rsidRPr="00A05C06">
        <w:rPr>
          <w:sz w:val="20"/>
        </w:rPr>
        <w:t>five</w:t>
      </w:r>
      <w:r w:rsidRPr="00A05C06">
        <w:rPr>
          <w:sz w:val="20"/>
        </w:rPr>
        <w:t xml:space="preserve"> years’ time.</w:t>
      </w:r>
    </w:p>
    <w:p w:rsidR="00A05C06" w:rsidRDefault="00A05C06" w:rsidP="00A05C06">
      <w:pPr>
        <w:pStyle w:val="Chapter3"/>
        <w:numPr>
          <w:ilvl w:val="0"/>
          <w:numId w:val="0"/>
        </w:numPr>
        <w:ind w:left="284"/>
        <w:rPr>
          <w:sz w:val="20"/>
        </w:rPr>
      </w:pPr>
    </w:p>
    <w:p w:rsidR="00C33CF3" w:rsidRPr="00A05C06" w:rsidRDefault="00C33CF3" w:rsidP="00A05C06">
      <w:pPr>
        <w:pStyle w:val="Chapter3"/>
        <w:numPr>
          <w:ilvl w:val="0"/>
          <w:numId w:val="0"/>
        </w:numPr>
        <w:ind w:left="284"/>
        <w:rPr>
          <w:sz w:val="20"/>
        </w:rPr>
      </w:pPr>
      <w:r w:rsidRPr="00A05C06">
        <w:rPr>
          <w:sz w:val="20"/>
        </w:rPr>
        <w:t xml:space="preserve">As NZ Third Party Ltd is not a non-resident, only the second of these </w:t>
      </w:r>
      <w:r w:rsidR="0022762E" w:rsidRPr="00A05C06">
        <w:rPr>
          <w:sz w:val="20"/>
        </w:rPr>
        <w:t xml:space="preserve">will </w:t>
      </w:r>
      <w:r w:rsidRPr="00A05C06">
        <w:rPr>
          <w:sz w:val="20"/>
        </w:rPr>
        <w:t>be subject to NRWT.</w:t>
      </w:r>
    </w:p>
    <w:p w:rsidR="00547BB4" w:rsidRPr="00A05C06" w:rsidRDefault="00547BB4" w:rsidP="00A05C06">
      <w:pPr>
        <w:pStyle w:val="Chapter3"/>
        <w:numPr>
          <w:ilvl w:val="0"/>
          <w:numId w:val="0"/>
        </w:numPr>
        <w:ind w:left="284"/>
        <w:rPr>
          <w:sz w:val="20"/>
        </w:rPr>
      </w:pPr>
    </w:p>
    <w:p w:rsidR="00D17FE3" w:rsidRPr="00A05C06" w:rsidRDefault="00D17FE3" w:rsidP="00A05C06">
      <w:pPr>
        <w:pStyle w:val="Chapter3"/>
        <w:numPr>
          <w:ilvl w:val="0"/>
          <w:numId w:val="0"/>
        </w:numPr>
        <w:ind w:left="284"/>
        <w:rPr>
          <w:sz w:val="20"/>
        </w:rPr>
      </w:pPr>
      <w:r w:rsidRPr="00A05C06">
        <w:rPr>
          <w:sz w:val="20"/>
        </w:rPr>
        <w:t xml:space="preserve">In the year to 31 March 2019, </w:t>
      </w:r>
      <w:r w:rsidR="0022762E" w:rsidRPr="00A05C06">
        <w:rPr>
          <w:sz w:val="20"/>
        </w:rPr>
        <w:t>no</w:t>
      </w:r>
      <w:r w:rsidRPr="00A05C06">
        <w:rPr>
          <w:sz w:val="20"/>
        </w:rPr>
        <w:t xml:space="preserve"> interest </w:t>
      </w:r>
      <w:r w:rsidR="0022762E" w:rsidRPr="00A05C06">
        <w:rPr>
          <w:sz w:val="20"/>
        </w:rPr>
        <w:t xml:space="preserve">arises </w:t>
      </w:r>
      <w:r w:rsidRPr="00A05C06">
        <w:rPr>
          <w:sz w:val="20"/>
        </w:rPr>
        <w:t xml:space="preserve">under the </w:t>
      </w:r>
      <w:r w:rsidR="0022762E" w:rsidRPr="00A05C06">
        <w:rPr>
          <w:sz w:val="20"/>
        </w:rPr>
        <w:t xml:space="preserve">traditional interest definition </w:t>
      </w:r>
      <w:r w:rsidR="00D1229C">
        <w:rPr>
          <w:sz w:val="20"/>
        </w:rPr>
        <w:t>for the portion that is related-</w:t>
      </w:r>
      <w:r w:rsidR="0022762E" w:rsidRPr="00A05C06">
        <w:rPr>
          <w:sz w:val="20"/>
        </w:rPr>
        <w:t>party funding</w:t>
      </w:r>
      <w:r w:rsidRPr="00A05C06">
        <w:rPr>
          <w:sz w:val="20"/>
        </w:rPr>
        <w:t>, whereas the amount of financial arrangement income applying YTM is $</w:t>
      </w:r>
      <w:r w:rsidR="0022762E" w:rsidRPr="00A05C06">
        <w:rPr>
          <w:sz w:val="20"/>
        </w:rPr>
        <w:t>3.65</w:t>
      </w:r>
      <w:r w:rsidRPr="00A05C06">
        <w:rPr>
          <w:sz w:val="20"/>
        </w:rPr>
        <w:t>.  As the difference between NR</w:t>
      </w:r>
      <w:r w:rsidR="009B6D39" w:rsidRPr="00A05C06">
        <w:rPr>
          <w:sz w:val="20"/>
        </w:rPr>
        <w:t>P</w:t>
      </w:r>
      <w:r w:rsidRPr="00A05C06">
        <w:rPr>
          <w:sz w:val="20"/>
        </w:rPr>
        <w:t>I from interest payments and NR</w:t>
      </w:r>
      <w:r w:rsidR="009B6D39" w:rsidRPr="00A05C06">
        <w:rPr>
          <w:sz w:val="20"/>
        </w:rPr>
        <w:t>P</w:t>
      </w:r>
      <w:r w:rsidRPr="00A05C06">
        <w:rPr>
          <w:sz w:val="20"/>
        </w:rPr>
        <w:t>I from NRFAI using YTM is more than 10%, and NZ Sub Ltd and Aus Parent Ltd are associated, the bond gives rise to NRFAI.</w:t>
      </w:r>
    </w:p>
    <w:p w:rsidR="00D17FE3" w:rsidRPr="00A05C06" w:rsidRDefault="00D17FE3" w:rsidP="00A05C06">
      <w:pPr>
        <w:pStyle w:val="Chapter3"/>
        <w:numPr>
          <w:ilvl w:val="0"/>
          <w:numId w:val="0"/>
        </w:numPr>
        <w:ind w:left="284"/>
        <w:rPr>
          <w:sz w:val="20"/>
        </w:rPr>
      </w:pPr>
    </w:p>
    <w:p w:rsidR="00D17FE3" w:rsidRDefault="00D17FE3" w:rsidP="00A05C06">
      <w:pPr>
        <w:pStyle w:val="Chapter3"/>
        <w:numPr>
          <w:ilvl w:val="0"/>
          <w:numId w:val="0"/>
        </w:numPr>
        <w:ind w:left="284"/>
        <w:rPr>
          <w:sz w:val="20"/>
        </w:rPr>
      </w:pPr>
      <w:r w:rsidRPr="00A05C06">
        <w:rPr>
          <w:sz w:val="20"/>
        </w:rPr>
        <w:t>NZ Sub Ltd’s March NRWT returns include the following calculations:</w:t>
      </w:r>
    </w:p>
    <w:p w:rsidR="00DB2E88" w:rsidRDefault="00DB2E88" w:rsidP="00A05C06">
      <w:pPr>
        <w:pStyle w:val="Chapter3"/>
        <w:numPr>
          <w:ilvl w:val="0"/>
          <w:numId w:val="0"/>
        </w:numPr>
        <w:ind w:left="284"/>
        <w:rPr>
          <w:sz w:val="20"/>
        </w:rPr>
      </w:pPr>
    </w:p>
    <w:tbl>
      <w:tblPr>
        <w:tblStyle w:val="TableGrid"/>
        <w:tblpPr w:leftFromText="180" w:rightFromText="180" w:vertAnchor="text" w:horzAnchor="page" w:tblpX="4078" w:tblpY="39"/>
        <w:tblW w:w="0" w:type="auto"/>
        <w:tblLayout w:type="fixed"/>
        <w:tblCellMar>
          <w:top w:w="57" w:type="dxa"/>
          <w:left w:w="57" w:type="dxa"/>
          <w:bottom w:w="57" w:type="dxa"/>
          <w:right w:w="57" w:type="dxa"/>
        </w:tblCellMar>
        <w:tblLook w:val="04A0" w:firstRow="1" w:lastRow="0" w:firstColumn="1" w:lastColumn="0" w:noHBand="0" w:noVBand="1"/>
      </w:tblPr>
      <w:tblGrid>
        <w:gridCol w:w="1617"/>
        <w:gridCol w:w="1401"/>
        <w:gridCol w:w="1575"/>
      </w:tblGrid>
      <w:tr w:rsidR="00DB2E88" w:rsidRPr="00A05C06" w:rsidTr="00DB2E88">
        <w:tc>
          <w:tcPr>
            <w:tcW w:w="1617" w:type="dxa"/>
          </w:tcPr>
          <w:p w:rsidR="00DB2E88" w:rsidRPr="00A05C06" w:rsidRDefault="00DB2E88" w:rsidP="00DB2E88">
            <w:pPr>
              <w:ind w:right="-17"/>
              <w:rPr>
                <w:b/>
                <w:sz w:val="18"/>
                <w:szCs w:val="18"/>
              </w:rPr>
            </w:pPr>
            <w:r w:rsidRPr="00A05C06">
              <w:rPr>
                <w:b/>
                <w:sz w:val="18"/>
                <w:szCs w:val="18"/>
              </w:rPr>
              <w:t>NRWT return</w:t>
            </w:r>
          </w:p>
        </w:tc>
        <w:tc>
          <w:tcPr>
            <w:tcW w:w="1401" w:type="dxa"/>
          </w:tcPr>
          <w:p w:rsidR="00DB2E88" w:rsidRPr="00A05C06" w:rsidRDefault="00DB2E88" w:rsidP="00DB2E88">
            <w:pPr>
              <w:ind w:left="26" w:right="-17"/>
              <w:jc w:val="left"/>
              <w:rPr>
                <w:b/>
                <w:sz w:val="18"/>
                <w:szCs w:val="18"/>
              </w:rPr>
            </w:pPr>
            <w:r w:rsidRPr="00A05C06">
              <w:rPr>
                <w:b/>
                <w:sz w:val="18"/>
                <w:szCs w:val="18"/>
              </w:rPr>
              <w:t>NRFAI</w:t>
            </w:r>
          </w:p>
        </w:tc>
        <w:tc>
          <w:tcPr>
            <w:tcW w:w="1575" w:type="dxa"/>
          </w:tcPr>
          <w:p w:rsidR="00DB2E88" w:rsidRPr="00A05C06" w:rsidRDefault="00DB2E88" w:rsidP="00DB2E88">
            <w:pPr>
              <w:ind w:right="-17"/>
              <w:jc w:val="left"/>
              <w:rPr>
                <w:b/>
                <w:sz w:val="18"/>
                <w:szCs w:val="18"/>
              </w:rPr>
            </w:pPr>
            <w:r>
              <w:rPr>
                <w:b/>
                <w:sz w:val="18"/>
                <w:szCs w:val="18"/>
              </w:rPr>
              <w:t xml:space="preserve">NRWT on </w:t>
            </w:r>
            <w:r w:rsidRPr="00A05C06">
              <w:rPr>
                <w:b/>
                <w:sz w:val="18"/>
                <w:szCs w:val="18"/>
              </w:rPr>
              <w:t>NRFAI</w:t>
            </w:r>
          </w:p>
        </w:tc>
      </w:tr>
      <w:tr w:rsidR="00DB2E88" w:rsidRPr="00A05C06" w:rsidTr="00DB2E88">
        <w:tc>
          <w:tcPr>
            <w:tcW w:w="1617" w:type="dxa"/>
          </w:tcPr>
          <w:p w:rsidR="00DB2E88" w:rsidRPr="00A05C06" w:rsidRDefault="00DB2E88" w:rsidP="00DB2E88">
            <w:pPr>
              <w:ind w:right="-17"/>
              <w:rPr>
                <w:sz w:val="18"/>
                <w:szCs w:val="18"/>
              </w:rPr>
            </w:pPr>
            <w:r w:rsidRPr="00A05C06">
              <w:rPr>
                <w:sz w:val="18"/>
                <w:szCs w:val="18"/>
              </w:rPr>
              <w:t>March 2019</w:t>
            </w:r>
          </w:p>
        </w:tc>
        <w:tc>
          <w:tcPr>
            <w:tcW w:w="1401" w:type="dxa"/>
            <w:vAlign w:val="bottom"/>
          </w:tcPr>
          <w:p w:rsidR="00DB2E88" w:rsidRPr="00A05C06" w:rsidRDefault="00DB2E88" w:rsidP="00DB2E88">
            <w:pPr>
              <w:ind w:left="26" w:right="-17"/>
              <w:rPr>
                <w:sz w:val="18"/>
                <w:szCs w:val="18"/>
              </w:rPr>
            </w:pPr>
            <w:r w:rsidRPr="00A05C06">
              <w:rPr>
                <w:sz w:val="18"/>
                <w:szCs w:val="18"/>
              </w:rPr>
              <w:t xml:space="preserve"> $3.65 </w:t>
            </w:r>
          </w:p>
        </w:tc>
        <w:tc>
          <w:tcPr>
            <w:tcW w:w="1575" w:type="dxa"/>
          </w:tcPr>
          <w:p w:rsidR="00DB2E88" w:rsidRPr="00A05C06" w:rsidRDefault="00DB2E88" w:rsidP="00DB2E88">
            <w:pPr>
              <w:ind w:right="-17"/>
              <w:rPr>
                <w:sz w:val="18"/>
                <w:szCs w:val="18"/>
              </w:rPr>
            </w:pPr>
            <w:r w:rsidRPr="00A05C06">
              <w:rPr>
                <w:sz w:val="18"/>
                <w:szCs w:val="18"/>
              </w:rPr>
              <w:t>$0.37</w:t>
            </w:r>
          </w:p>
        </w:tc>
      </w:tr>
      <w:tr w:rsidR="00DB2E88" w:rsidRPr="00A05C06" w:rsidTr="00DB2E88">
        <w:tc>
          <w:tcPr>
            <w:tcW w:w="1617" w:type="dxa"/>
          </w:tcPr>
          <w:p w:rsidR="00DB2E88" w:rsidRPr="00A05C06" w:rsidRDefault="00DB2E88" w:rsidP="00DB2E88">
            <w:pPr>
              <w:ind w:right="-17"/>
              <w:rPr>
                <w:sz w:val="18"/>
                <w:szCs w:val="18"/>
              </w:rPr>
            </w:pPr>
            <w:r w:rsidRPr="00A05C06">
              <w:rPr>
                <w:sz w:val="18"/>
                <w:szCs w:val="18"/>
              </w:rPr>
              <w:t>March 2020</w:t>
            </w:r>
          </w:p>
        </w:tc>
        <w:tc>
          <w:tcPr>
            <w:tcW w:w="1401" w:type="dxa"/>
            <w:vAlign w:val="bottom"/>
          </w:tcPr>
          <w:p w:rsidR="00DB2E88" w:rsidRPr="00A05C06" w:rsidRDefault="00DB2E88" w:rsidP="00DB2E88">
            <w:pPr>
              <w:ind w:left="26" w:right="-17"/>
              <w:rPr>
                <w:sz w:val="18"/>
                <w:szCs w:val="18"/>
              </w:rPr>
            </w:pPr>
            <w:r w:rsidRPr="00A05C06">
              <w:rPr>
                <w:sz w:val="18"/>
                <w:szCs w:val="18"/>
              </w:rPr>
              <w:t xml:space="preserve"> $3.82 </w:t>
            </w:r>
          </w:p>
        </w:tc>
        <w:tc>
          <w:tcPr>
            <w:tcW w:w="1575" w:type="dxa"/>
          </w:tcPr>
          <w:p w:rsidR="00DB2E88" w:rsidRPr="00A05C06" w:rsidRDefault="00DB2E88" w:rsidP="00DB2E88">
            <w:pPr>
              <w:ind w:right="-17"/>
              <w:rPr>
                <w:sz w:val="18"/>
                <w:szCs w:val="18"/>
              </w:rPr>
            </w:pPr>
            <w:r w:rsidRPr="00A05C06">
              <w:rPr>
                <w:sz w:val="18"/>
                <w:szCs w:val="18"/>
              </w:rPr>
              <w:t>$0.38</w:t>
            </w:r>
          </w:p>
        </w:tc>
      </w:tr>
      <w:tr w:rsidR="00DB2E88" w:rsidRPr="00A05C06" w:rsidTr="00DB2E88">
        <w:tc>
          <w:tcPr>
            <w:tcW w:w="1617" w:type="dxa"/>
          </w:tcPr>
          <w:p w:rsidR="00DB2E88" w:rsidRPr="00A05C06" w:rsidRDefault="00DB2E88" w:rsidP="00DB2E88">
            <w:pPr>
              <w:ind w:right="-17"/>
              <w:rPr>
                <w:sz w:val="18"/>
                <w:szCs w:val="18"/>
              </w:rPr>
            </w:pPr>
            <w:r w:rsidRPr="00A05C06">
              <w:rPr>
                <w:sz w:val="18"/>
                <w:szCs w:val="18"/>
              </w:rPr>
              <w:t>March 2021</w:t>
            </w:r>
          </w:p>
        </w:tc>
        <w:tc>
          <w:tcPr>
            <w:tcW w:w="1401" w:type="dxa"/>
            <w:vAlign w:val="bottom"/>
          </w:tcPr>
          <w:p w:rsidR="00DB2E88" w:rsidRPr="00A05C06" w:rsidRDefault="00DB2E88" w:rsidP="00DB2E88">
            <w:pPr>
              <w:ind w:left="26" w:right="-17"/>
              <w:rPr>
                <w:sz w:val="18"/>
                <w:szCs w:val="18"/>
              </w:rPr>
            </w:pPr>
            <w:r w:rsidRPr="00A05C06">
              <w:rPr>
                <w:sz w:val="18"/>
                <w:szCs w:val="18"/>
              </w:rPr>
              <w:t xml:space="preserve"> $3.99 </w:t>
            </w:r>
          </w:p>
        </w:tc>
        <w:tc>
          <w:tcPr>
            <w:tcW w:w="1575" w:type="dxa"/>
          </w:tcPr>
          <w:p w:rsidR="00DB2E88" w:rsidRPr="00A05C06" w:rsidRDefault="00DB2E88" w:rsidP="00DB2E88">
            <w:pPr>
              <w:ind w:right="-17"/>
              <w:rPr>
                <w:sz w:val="18"/>
                <w:szCs w:val="18"/>
              </w:rPr>
            </w:pPr>
            <w:r w:rsidRPr="00A05C06">
              <w:rPr>
                <w:sz w:val="18"/>
                <w:szCs w:val="18"/>
              </w:rPr>
              <w:t>$0.40</w:t>
            </w:r>
          </w:p>
        </w:tc>
      </w:tr>
      <w:tr w:rsidR="00DB2E88" w:rsidRPr="00A05C06" w:rsidTr="00DB2E88">
        <w:tc>
          <w:tcPr>
            <w:tcW w:w="1617" w:type="dxa"/>
          </w:tcPr>
          <w:p w:rsidR="00DB2E88" w:rsidRPr="00A05C06" w:rsidRDefault="00DB2E88" w:rsidP="00DB2E88">
            <w:pPr>
              <w:ind w:right="-17"/>
              <w:rPr>
                <w:sz w:val="18"/>
                <w:szCs w:val="18"/>
              </w:rPr>
            </w:pPr>
            <w:r w:rsidRPr="00A05C06">
              <w:rPr>
                <w:sz w:val="18"/>
                <w:szCs w:val="18"/>
              </w:rPr>
              <w:t>March 2022</w:t>
            </w:r>
          </w:p>
        </w:tc>
        <w:tc>
          <w:tcPr>
            <w:tcW w:w="1401" w:type="dxa"/>
            <w:vAlign w:val="bottom"/>
          </w:tcPr>
          <w:p w:rsidR="00DB2E88" w:rsidRPr="00A05C06" w:rsidRDefault="00DB2E88" w:rsidP="00DB2E88">
            <w:pPr>
              <w:ind w:left="26" w:right="-17"/>
              <w:rPr>
                <w:sz w:val="18"/>
                <w:szCs w:val="18"/>
              </w:rPr>
            </w:pPr>
            <w:r w:rsidRPr="00A05C06">
              <w:rPr>
                <w:sz w:val="18"/>
                <w:szCs w:val="18"/>
              </w:rPr>
              <w:t xml:space="preserve"> $4.17 </w:t>
            </w:r>
          </w:p>
        </w:tc>
        <w:tc>
          <w:tcPr>
            <w:tcW w:w="1575" w:type="dxa"/>
          </w:tcPr>
          <w:p w:rsidR="00DB2E88" w:rsidRPr="00A05C06" w:rsidRDefault="00DB2E88" w:rsidP="00DB2E88">
            <w:pPr>
              <w:ind w:right="-17"/>
              <w:rPr>
                <w:sz w:val="18"/>
                <w:szCs w:val="18"/>
              </w:rPr>
            </w:pPr>
            <w:r w:rsidRPr="00A05C06">
              <w:rPr>
                <w:sz w:val="18"/>
                <w:szCs w:val="18"/>
              </w:rPr>
              <w:t>$0.42</w:t>
            </w:r>
          </w:p>
        </w:tc>
      </w:tr>
      <w:tr w:rsidR="00DB2E88" w:rsidRPr="00A05C06" w:rsidTr="00DB2E88">
        <w:tc>
          <w:tcPr>
            <w:tcW w:w="1617" w:type="dxa"/>
          </w:tcPr>
          <w:p w:rsidR="00DB2E88" w:rsidRPr="00A05C06" w:rsidRDefault="00DB2E88" w:rsidP="00DB2E88">
            <w:pPr>
              <w:ind w:right="-17"/>
              <w:rPr>
                <w:sz w:val="18"/>
                <w:szCs w:val="18"/>
              </w:rPr>
            </w:pPr>
            <w:r w:rsidRPr="00A05C06">
              <w:rPr>
                <w:sz w:val="18"/>
                <w:szCs w:val="18"/>
              </w:rPr>
              <w:t>March 2023</w:t>
            </w:r>
          </w:p>
        </w:tc>
        <w:tc>
          <w:tcPr>
            <w:tcW w:w="1401" w:type="dxa"/>
            <w:vAlign w:val="bottom"/>
          </w:tcPr>
          <w:p w:rsidR="00DB2E88" w:rsidRPr="00A05C06" w:rsidRDefault="00DB2E88" w:rsidP="00DB2E88">
            <w:pPr>
              <w:ind w:left="26" w:right="-17"/>
              <w:rPr>
                <w:sz w:val="18"/>
                <w:szCs w:val="18"/>
              </w:rPr>
            </w:pPr>
            <w:r w:rsidRPr="00A05C06">
              <w:rPr>
                <w:sz w:val="18"/>
                <w:szCs w:val="18"/>
              </w:rPr>
              <w:t xml:space="preserve"> $4.36 </w:t>
            </w:r>
          </w:p>
        </w:tc>
        <w:tc>
          <w:tcPr>
            <w:tcW w:w="1575" w:type="dxa"/>
          </w:tcPr>
          <w:p w:rsidR="00DB2E88" w:rsidRPr="00A05C06" w:rsidRDefault="00DB2E88" w:rsidP="00DB2E88">
            <w:pPr>
              <w:ind w:right="-17"/>
              <w:rPr>
                <w:sz w:val="18"/>
                <w:szCs w:val="18"/>
              </w:rPr>
            </w:pPr>
            <w:r w:rsidRPr="00A05C06">
              <w:rPr>
                <w:sz w:val="18"/>
                <w:szCs w:val="18"/>
              </w:rPr>
              <w:t>$0.44</w:t>
            </w:r>
          </w:p>
        </w:tc>
      </w:tr>
    </w:tbl>
    <w:p w:rsidR="00DB2E88" w:rsidRPr="00A05C06" w:rsidRDefault="00DB2E88" w:rsidP="00A05C06">
      <w:pPr>
        <w:pStyle w:val="Chapter3"/>
        <w:numPr>
          <w:ilvl w:val="0"/>
          <w:numId w:val="0"/>
        </w:numPr>
        <w:ind w:left="284"/>
        <w:rPr>
          <w:sz w:val="20"/>
        </w:rPr>
      </w:pPr>
    </w:p>
    <w:p w:rsidR="0022762E" w:rsidRDefault="0022762E" w:rsidP="00A05C06">
      <w:pPr>
        <w:ind w:left="284"/>
        <w:jc w:val="left"/>
      </w:pPr>
      <w:r>
        <w:br w:type="page"/>
      </w:r>
    </w:p>
    <w:p w:rsidR="0022762E" w:rsidRPr="00A05C06" w:rsidRDefault="00A05C06" w:rsidP="00A05C06">
      <w:pPr>
        <w:pStyle w:val="Chapter3"/>
        <w:numPr>
          <w:ilvl w:val="0"/>
          <w:numId w:val="0"/>
        </w:numPr>
        <w:ind w:left="284"/>
        <w:rPr>
          <w:b/>
          <w:sz w:val="20"/>
        </w:rPr>
      </w:pPr>
      <w:r w:rsidRPr="00A05C06">
        <w:rPr>
          <w:noProof/>
          <w:sz w:val="20"/>
          <w:lang w:eastAsia="en-NZ"/>
        </w:rPr>
        <w:lastRenderedPageBreak/>
        <mc:AlternateContent>
          <mc:Choice Requires="wps">
            <w:drawing>
              <wp:anchor distT="0" distB="0" distL="114300" distR="114300" simplePos="0" relativeHeight="251799552" behindDoc="0" locked="0" layoutInCell="1" allowOverlap="1" wp14:anchorId="2C984CED" wp14:editId="69CBE2D2">
                <wp:simplePos x="0" y="0"/>
                <wp:positionH relativeFrom="column">
                  <wp:posOffset>520</wp:posOffset>
                </wp:positionH>
                <wp:positionV relativeFrom="paragraph">
                  <wp:posOffset>-138199</wp:posOffset>
                </wp:positionV>
                <wp:extent cx="5666740" cy="6751122"/>
                <wp:effectExtent l="0" t="0" r="10160" b="120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6740" cy="675112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05pt;margin-top:-10.9pt;width:446.2pt;height:53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" filled="f" strokecolor="windowText">
                <v:path arrowok="t"/>
              </v:rect>
            </w:pict>
          </mc:Fallback>
        </mc:AlternateContent>
      </w:r>
      <w:r w:rsidR="0022762E" w:rsidRPr="00A05C06">
        <w:rPr>
          <w:b/>
          <w:sz w:val="20"/>
        </w:rPr>
        <w:t>Example 7</w:t>
      </w:r>
    </w:p>
    <w:p w:rsidR="0022762E" w:rsidRPr="00A05C06" w:rsidRDefault="0022762E" w:rsidP="00A05C06">
      <w:pPr>
        <w:pStyle w:val="Chapter3"/>
        <w:numPr>
          <w:ilvl w:val="0"/>
          <w:numId w:val="0"/>
        </w:numPr>
        <w:ind w:left="284"/>
        <w:rPr>
          <w:sz w:val="20"/>
        </w:rPr>
      </w:pPr>
    </w:p>
    <w:p w:rsidR="0022762E" w:rsidRPr="00A05C06" w:rsidRDefault="0022762E" w:rsidP="00A05C06">
      <w:pPr>
        <w:pStyle w:val="Chapter3"/>
        <w:numPr>
          <w:ilvl w:val="0"/>
          <w:numId w:val="0"/>
        </w:numPr>
        <w:ind w:left="284"/>
        <w:rPr>
          <w:sz w:val="20"/>
        </w:rPr>
      </w:pPr>
      <w:r w:rsidRPr="00A05C06">
        <w:rPr>
          <w:sz w:val="20"/>
        </w:rPr>
        <w:t>NZ Sub Ltd has a March balance date and is wholly owned by Aus Parent Ltd.  On 1 April 2018 NZ Sub Ltd issues a five</w:t>
      </w:r>
      <w:r w:rsidR="00D1229C">
        <w:rPr>
          <w:sz w:val="20"/>
        </w:rPr>
        <w:t>-</w:t>
      </w:r>
      <w:r w:rsidRPr="00A05C06">
        <w:rPr>
          <w:sz w:val="20"/>
        </w:rPr>
        <w:t>year 5% annual coupon bond to Aus Third Party Ltd.  NZ Sub Ltd and Aus Third Party Ltd are not associated.  This bond has an issue price of $100 and a fac</w:t>
      </w:r>
      <w:r w:rsidR="006F6514" w:rsidRPr="00A05C06">
        <w:rPr>
          <w:sz w:val="20"/>
        </w:rPr>
        <w:t>e value of $100</w:t>
      </w:r>
      <w:r w:rsidRPr="00A05C06">
        <w:rPr>
          <w:sz w:val="20"/>
        </w:rPr>
        <w:t>.</w:t>
      </w:r>
    </w:p>
    <w:p w:rsidR="0022762E" w:rsidRPr="00A05C06" w:rsidRDefault="0022762E" w:rsidP="00A05C06">
      <w:pPr>
        <w:pStyle w:val="Chapter3"/>
        <w:numPr>
          <w:ilvl w:val="0"/>
          <w:numId w:val="0"/>
        </w:numPr>
        <w:ind w:left="284"/>
        <w:rPr>
          <w:sz w:val="20"/>
        </w:rPr>
      </w:pPr>
    </w:p>
    <w:p w:rsidR="0022762E" w:rsidRPr="00A05C06" w:rsidRDefault="00F76582" w:rsidP="00A05C06">
      <w:pPr>
        <w:pStyle w:val="Chapter3"/>
        <w:numPr>
          <w:ilvl w:val="0"/>
          <w:numId w:val="0"/>
        </w:numPr>
        <w:ind w:left="284"/>
        <w:rPr>
          <w:sz w:val="20"/>
        </w:rPr>
      </w:pPr>
      <w:r w:rsidRPr="00A05C06">
        <w:rPr>
          <w:sz w:val="20"/>
        </w:rPr>
        <w:t>Also o</w:t>
      </w:r>
      <w:r w:rsidR="0022762E" w:rsidRPr="00A05C06">
        <w:rPr>
          <w:sz w:val="20"/>
        </w:rPr>
        <w:t>n 1 April 2018 Aus Third Party Ltd agrees to sell the bond to Aus Parent Ltd on 31 March 2023.  Aus Parent Ltd pays Aus Third Party Ltd $80 on 1 April 2018 and will receive $100 from NZ Sub Ltd when the bo</w:t>
      </w:r>
      <w:r w:rsidR="006F6514" w:rsidRPr="00A05C06">
        <w:rPr>
          <w:sz w:val="20"/>
        </w:rPr>
        <w:t>nd matures on 31 March 2023.  Aus</w:t>
      </w:r>
      <w:r w:rsidR="0022762E" w:rsidRPr="00A05C06">
        <w:rPr>
          <w:sz w:val="20"/>
        </w:rPr>
        <w:t xml:space="preserve"> Third Party Ltd will continue to receive the $5 annual coupon payments.</w:t>
      </w:r>
    </w:p>
    <w:p w:rsidR="0022762E" w:rsidRPr="00A05C06" w:rsidRDefault="0022762E" w:rsidP="00A05C06">
      <w:pPr>
        <w:pStyle w:val="Chapter3"/>
        <w:numPr>
          <w:ilvl w:val="0"/>
          <w:numId w:val="0"/>
        </w:numPr>
        <w:ind w:left="284"/>
        <w:rPr>
          <w:sz w:val="20"/>
        </w:rPr>
      </w:pPr>
    </w:p>
    <w:p w:rsidR="001A3D93" w:rsidRPr="00A05C06" w:rsidRDefault="0022762E" w:rsidP="00A05C06">
      <w:pPr>
        <w:pStyle w:val="Chapter3"/>
        <w:numPr>
          <w:ilvl w:val="0"/>
          <w:numId w:val="0"/>
        </w:numPr>
        <w:ind w:left="284"/>
        <w:rPr>
          <w:sz w:val="20"/>
        </w:rPr>
      </w:pPr>
      <w:r w:rsidRPr="00A05C06">
        <w:rPr>
          <w:sz w:val="20"/>
        </w:rPr>
        <w:t>Under the traditional definition there is no money lent from Aus Parent Ltd to NZ Sub Ltd therefore no NRWT is payable.  There is money lent from Aus Third Party Ltd to NZ Sub Ltd and NZ Sub Ltd has elected to pay AIL.</w:t>
      </w:r>
    </w:p>
    <w:p w:rsidR="001A3D93" w:rsidRPr="00A05C06" w:rsidRDefault="001A3D93" w:rsidP="00A05C06">
      <w:pPr>
        <w:pStyle w:val="Chapter3"/>
        <w:numPr>
          <w:ilvl w:val="0"/>
          <w:numId w:val="0"/>
        </w:numPr>
        <w:ind w:left="284"/>
        <w:rPr>
          <w:sz w:val="20"/>
        </w:rPr>
      </w:pPr>
    </w:p>
    <w:p w:rsidR="0022762E" w:rsidRDefault="0022762E" w:rsidP="00A05C06">
      <w:pPr>
        <w:pStyle w:val="Chapter3"/>
        <w:numPr>
          <w:ilvl w:val="0"/>
          <w:numId w:val="0"/>
        </w:numPr>
        <w:ind w:left="284"/>
        <w:rPr>
          <w:sz w:val="20"/>
        </w:rPr>
      </w:pPr>
      <w:r w:rsidRPr="00A05C06">
        <w:rPr>
          <w:sz w:val="20"/>
        </w:rPr>
        <w:t>Under the proposed rules</w:t>
      </w:r>
      <w:r w:rsidR="00F84B85" w:rsidRPr="00A05C06">
        <w:rPr>
          <w:sz w:val="20"/>
        </w:rPr>
        <w:t>, as for the previous example, the transaction will be treated as a loan from Aus Parent Ltd to NZ Sub Ltd.</w:t>
      </w:r>
    </w:p>
    <w:p w:rsidR="00A05C06" w:rsidRPr="00A05C06" w:rsidRDefault="00A05C06" w:rsidP="00A05C06">
      <w:pPr>
        <w:pStyle w:val="Chapter3"/>
        <w:numPr>
          <w:ilvl w:val="0"/>
          <w:numId w:val="0"/>
        </w:numPr>
        <w:ind w:left="284"/>
        <w:rPr>
          <w:sz w:val="20"/>
        </w:rPr>
      </w:pPr>
    </w:p>
    <w:p w:rsidR="0022762E" w:rsidRDefault="0022762E" w:rsidP="00A05C06">
      <w:pPr>
        <w:pStyle w:val="Chapter3"/>
        <w:numPr>
          <w:ilvl w:val="0"/>
          <w:numId w:val="0"/>
        </w:numPr>
        <w:ind w:left="284"/>
        <w:rPr>
          <w:sz w:val="20"/>
        </w:rPr>
      </w:pPr>
      <w:r w:rsidRPr="00A05C06">
        <w:rPr>
          <w:sz w:val="20"/>
        </w:rPr>
        <w:t xml:space="preserve">This transaction </w:t>
      </w:r>
      <w:r w:rsidR="00F84B85" w:rsidRPr="00A05C06">
        <w:rPr>
          <w:sz w:val="20"/>
        </w:rPr>
        <w:t xml:space="preserve">will be treated as </w:t>
      </w:r>
      <w:r w:rsidRPr="00A05C06">
        <w:rPr>
          <w:sz w:val="20"/>
        </w:rPr>
        <w:t>made up of two separate loans:</w:t>
      </w:r>
    </w:p>
    <w:p w:rsidR="00A05C06" w:rsidRPr="00A05C06" w:rsidRDefault="00A05C06" w:rsidP="00A05C06">
      <w:pPr>
        <w:pStyle w:val="Chapter3"/>
        <w:numPr>
          <w:ilvl w:val="0"/>
          <w:numId w:val="0"/>
        </w:numPr>
        <w:ind w:left="284"/>
        <w:rPr>
          <w:sz w:val="20"/>
        </w:rPr>
      </w:pPr>
    </w:p>
    <w:p w:rsidR="0022762E" w:rsidRPr="00A05C06" w:rsidRDefault="0022762E" w:rsidP="00A05C06">
      <w:pPr>
        <w:pStyle w:val="Chapter3"/>
        <w:numPr>
          <w:ilvl w:val="0"/>
          <w:numId w:val="29"/>
        </w:numPr>
        <w:ind w:left="567" w:hanging="283"/>
        <w:rPr>
          <w:sz w:val="20"/>
        </w:rPr>
      </w:pPr>
      <w:r w:rsidRPr="00A05C06">
        <w:rPr>
          <w:sz w:val="20"/>
        </w:rPr>
        <w:t xml:space="preserve">A $20 loan from Aus Third Party Ltd repaid by </w:t>
      </w:r>
      <w:r w:rsidR="00D1229C">
        <w:rPr>
          <w:sz w:val="20"/>
        </w:rPr>
        <w:t>five</w:t>
      </w:r>
      <w:r w:rsidRPr="00A05C06">
        <w:rPr>
          <w:sz w:val="20"/>
        </w:rPr>
        <w:t xml:space="preserve"> annual payments of $5.</w:t>
      </w:r>
    </w:p>
    <w:p w:rsidR="0022762E" w:rsidRPr="00A05C06" w:rsidRDefault="0022762E" w:rsidP="00A05C06">
      <w:pPr>
        <w:pStyle w:val="Chapter3"/>
        <w:numPr>
          <w:ilvl w:val="0"/>
          <w:numId w:val="29"/>
        </w:numPr>
        <w:ind w:left="567" w:hanging="283"/>
        <w:rPr>
          <w:sz w:val="20"/>
        </w:rPr>
      </w:pPr>
      <w:r w:rsidRPr="00A05C06">
        <w:rPr>
          <w:sz w:val="20"/>
        </w:rPr>
        <w:t>A</w:t>
      </w:r>
      <w:r w:rsidR="005D36E6" w:rsidRPr="00A05C06">
        <w:rPr>
          <w:sz w:val="20"/>
        </w:rPr>
        <w:t>n</w:t>
      </w:r>
      <w:r w:rsidRPr="00A05C06">
        <w:rPr>
          <w:sz w:val="20"/>
        </w:rPr>
        <w:t xml:space="preserve"> $80 loan from Aus Parent Ltd repa</w:t>
      </w:r>
      <w:r w:rsidR="00D1229C">
        <w:rPr>
          <w:sz w:val="20"/>
        </w:rPr>
        <w:t>id by a single $100 payment in five</w:t>
      </w:r>
      <w:r w:rsidRPr="00A05C06">
        <w:rPr>
          <w:sz w:val="20"/>
        </w:rPr>
        <w:t xml:space="preserve"> years’ time.</w:t>
      </w:r>
    </w:p>
    <w:p w:rsidR="00A05C06" w:rsidRDefault="00A05C06" w:rsidP="00A05C06">
      <w:pPr>
        <w:pStyle w:val="Chapter3"/>
        <w:numPr>
          <w:ilvl w:val="0"/>
          <w:numId w:val="0"/>
        </w:numPr>
        <w:ind w:left="284"/>
        <w:rPr>
          <w:sz w:val="20"/>
        </w:rPr>
      </w:pPr>
    </w:p>
    <w:p w:rsidR="0022762E" w:rsidRPr="00A05C06" w:rsidRDefault="0022762E" w:rsidP="00A05C06">
      <w:pPr>
        <w:pStyle w:val="Chapter3"/>
        <w:numPr>
          <w:ilvl w:val="0"/>
          <w:numId w:val="0"/>
        </w:numPr>
        <w:ind w:left="284"/>
        <w:rPr>
          <w:sz w:val="20"/>
        </w:rPr>
      </w:pPr>
      <w:r w:rsidRPr="00A05C06">
        <w:rPr>
          <w:sz w:val="20"/>
        </w:rPr>
        <w:t xml:space="preserve">As Aus Third Party Ltd is a </w:t>
      </w:r>
      <w:r w:rsidR="00F84B85" w:rsidRPr="00A05C06">
        <w:rPr>
          <w:sz w:val="20"/>
        </w:rPr>
        <w:t xml:space="preserve">non-associated </w:t>
      </w:r>
      <w:r w:rsidRPr="00A05C06">
        <w:rPr>
          <w:sz w:val="20"/>
        </w:rPr>
        <w:t xml:space="preserve">non-resident </w:t>
      </w:r>
      <w:r w:rsidR="00F84B85" w:rsidRPr="00A05C06">
        <w:rPr>
          <w:sz w:val="20"/>
        </w:rPr>
        <w:t xml:space="preserve">the interest portion of the payments to it </w:t>
      </w:r>
      <w:r w:rsidRPr="00A05C06">
        <w:rPr>
          <w:sz w:val="20"/>
        </w:rPr>
        <w:t>can have AIL paid on it while the in-substance loan from Aus Parent Ltd will be liable for NRWT.</w:t>
      </w:r>
    </w:p>
    <w:p w:rsidR="0022762E" w:rsidRPr="00A05C06" w:rsidRDefault="0022762E" w:rsidP="00A05C06">
      <w:pPr>
        <w:pStyle w:val="Chapter3"/>
        <w:numPr>
          <w:ilvl w:val="0"/>
          <w:numId w:val="0"/>
        </w:numPr>
        <w:ind w:left="284"/>
        <w:rPr>
          <w:sz w:val="20"/>
        </w:rPr>
      </w:pPr>
    </w:p>
    <w:p w:rsidR="0022762E" w:rsidRPr="00A05C06" w:rsidRDefault="0022762E" w:rsidP="00A05C06">
      <w:pPr>
        <w:pStyle w:val="Chapter3"/>
        <w:numPr>
          <w:ilvl w:val="0"/>
          <w:numId w:val="0"/>
        </w:numPr>
        <w:ind w:left="284"/>
        <w:rPr>
          <w:sz w:val="20"/>
        </w:rPr>
      </w:pPr>
      <w:r w:rsidRPr="00A05C06">
        <w:rPr>
          <w:sz w:val="20"/>
        </w:rPr>
        <w:t xml:space="preserve">In the year to 31 March 2019, </w:t>
      </w:r>
      <w:r w:rsidR="001F3F51" w:rsidRPr="00A05C06">
        <w:rPr>
          <w:sz w:val="20"/>
        </w:rPr>
        <w:t xml:space="preserve">no </w:t>
      </w:r>
      <w:r w:rsidRPr="00A05C06">
        <w:rPr>
          <w:sz w:val="20"/>
        </w:rPr>
        <w:t>interest arises under the traditional interest definition</w:t>
      </w:r>
      <w:r w:rsidR="001F3F51" w:rsidRPr="00A05C06">
        <w:rPr>
          <w:sz w:val="20"/>
        </w:rPr>
        <w:t xml:space="preserve"> for the portion that is related party funding</w:t>
      </w:r>
      <w:r w:rsidRPr="00A05C06">
        <w:rPr>
          <w:sz w:val="20"/>
        </w:rPr>
        <w:t>, whereas the amount of financial arrangement income applying YTM is $3.65.  As the difference between NR</w:t>
      </w:r>
      <w:r w:rsidR="009B6D39" w:rsidRPr="00A05C06">
        <w:rPr>
          <w:sz w:val="20"/>
        </w:rPr>
        <w:t>P</w:t>
      </w:r>
      <w:r w:rsidRPr="00A05C06">
        <w:rPr>
          <w:sz w:val="20"/>
        </w:rPr>
        <w:t>I from interest payments and NR</w:t>
      </w:r>
      <w:r w:rsidR="009B6D39" w:rsidRPr="00A05C06">
        <w:rPr>
          <w:sz w:val="20"/>
        </w:rPr>
        <w:t>P</w:t>
      </w:r>
      <w:r w:rsidRPr="00A05C06">
        <w:rPr>
          <w:sz w:val="20"/>
        </w:rPr>
        <w:t xml:space="preserve">I from NRFAI using YTM is more than 10%, and NZ Sub Ltd and Aus Parent Ltd are associated, the bond gives rise to NRFAI.  NZ Sub Ltd is </w:t>
      </w:r>
      <w:r w:rsidR="0001128D" w:rsidRPr="00A05C06">
        <w:rPr>
          <w:sz w:val="20"/>
        </w:rPr>
        <w:t>entitled to pay AIL on the payments</w:t>
      </w:r>
      <w:r w:rsidRPr="00A05C06">
        <w:rPr>
          <w:sz w:val="20"/>
        </w:rPr>
        <w:t xml:space="preserve"> to </w:t>
      </w:r>
      <w:r w:rsidR="0001128D" w:rsidRPr="00A05C06">
        <w:rPr>
          <w:sz w:val="20"/>
        </w:rPr>
        <w:t>Aus</w:t>
      </w:r>
      <w:r w:rsidRPr="00A05C06">
        <w:rPr>
          <w:sz w:val="20"/>
        </w:rPr>
        <w:t xml:space="preserve"> Third Party Ltd.</w:t>
      </w:r>
    </w:p>
    <w:p w:rsidR="00FE0AD0" w:rsidRPr="00A05C06" w:rsidRDefault="00FE0AD0" w:rsidP="00A05C06">
      <w:pPr>
        <w:pStyle w:val="Chapter3"/>
        <w:numPr>
          <w:ilvl w:val="0"/>
          <w:numId w:val="0"/>
        </w:numPr>
        <w:ind w:left="284"/>
        <w:rPr>
          <w:sz w:val="20"/>
        </w:rPr>
      </w:pPr>
    </w:p>
    <w:p w:rsidR="0022762E" w:rsidRDefault="0022762E" w:rsidP="00A05C06">
      <w:pPr>
        <w:pStyle w:val="Chapter3"/>
        <w:numPr>
          <w:ilvl w:val="0"/>
          <w:numId w:val="0"/>
        </w:numPr>
        <w:ind w:left="284"/>
        <w:rPr>
          <w:sz w:val="20"/>
        </w:rPr>
      </w:pPr>
      <w:r w:rsidRPr="00A05C06">
        <w:rPr>
          <w:sz w:val="20"/>
        </w:rPr>
        <w:t>NZ Sub Ltd’s</w:t>
      </w:r>
      <w:r w:rsidR="00F84B85" w:rsidRPr="00A05C06">
        <w:rPr>
          <w:sz w:val="20"/>
        </w:rPr>
        <w:t xml:space="preserve"> NRWT and AIL payments can be calculated as follows</w:t>
      </w:r>
      <w:r w:rsidRPr="00A05C06">
        <w:rPr>
          <w:sz w:val="20"/>
        </w:rPr>
        <w:t>:</w:t>
      </w:r>
    </w:p>
    <w:p w:rsidR="00A05C06" w:rsidRPr="00A05C06" w:rsidRDefault="00A05C06" w:rsidP="00A05C06">
      <w:pPr>
        <w:pStyle w:val="Chapter3"/>
        <w:numPr>
          <w:ilvl w:val="0"/>
          <w:numId w:val="0"/>
        </w:numPr>
        <w:ind w:left="284"/>
        <w:rPr>
          <w:sz w:val="20"/>
        </w:rPr>
      </w:pPr>
    </w:p>
    <w:tbl>
      <w:tblPr>
        <w:tblStyle w:val="TableGrid"/>
        <w:tblW w:w="8046" w:type="dxa"/>
        <w:jc w:val="center"/>
        <w:tblInd w:w="1015" w:type="dxa"/>
        <w:tblLayout w:type="fixed"/>
        <w:tblCellMar>
          <w:top w:w="57" w:type="dxa"/>
          <w:left w:w="57" w:type="dxa"/>
          <w:bottom w:w="57" w:type="dxa"/>
          <w:right w:w="57" w:type="dxa"/>
        </w:tblCellMar>
        <w:tblLook w:val="04A0" w:firstRow="1" w:lastRow="0" w:firstColumn="1" w:lastColumn="0" w:noHBand="0" w:noVBand="1"/>
      </w:tblPr>
      <w:tblGrid>
        <w:gridCol w:w="1534"/>
        <w:gridCol w:w="984"/>
        <w:gridCol w:w="1417"/>
        <w:gridCol w:w="1417"/>
        <w:gridCol w:w="1347"/>
        <w:gridCol w:w="1347"/>
      </w:tblGrid>
      <w:tr w:rsidR="00FE0AD0" w:rsidRPr="00A05C06" w:rsidTr="000D7EE3">
        <w:trPr>
          <w:jc w:val="center"/>
        </w:trPr>
        <w:tc>
          <w:tcPr>
            <w:tcW w:w="1534" w:type="dxa"/>
          </w:tcPr>
          <w:p w:rsidR="00FE0AD0" w:rsidRPr="00A05C06" w:rsidRDefault="00A05C06" w:rsidP="00A05C06">
            <w:pPr>
              <w:ind w:right="-17"/>
              <w:jc w:val="left"/>
              <w:rPr>
                <w:b/>
                <w:sz w:val="18"/>
                <w:szCs w:val="18"/>
              </w:rPr>
            </w:pPr>
            <w:r>
              <w:rPr>
                <w:b/>
                <w:sz w:val="18"/>
                <w:szCs w:val="18"/>
              </w:rPr>
              <w:t>NRWT r</w:t>
            </w:r>
            <w:r w:rsidR="00FE0AD0" w:rsidRPr="00A05C06">
              <w:rPr>
                <w:b/>
                <w:sz w:val="18"/>
                <w:szCs w:val="18"/>
              </w:rPr>
              <w:t>eturn</w:t>
            </w:r>
          </w:p>
        </w:tc>
        <w:tc>
          <w:tcPr>
            <w:tcW w:w="984" w:type="dxa"/>
          </w:tcPr>
          <w:p w:rsidR="00FE0AD0" w:rsidRPr="00A05C06" w:rsidRDefault="00A05C06" w:rsidP="00A05C06">
            <w:pPr>
              <w:ind w:right="-17"/>
              <w:jc w:val="left"/>
              <w:rPr>
                <w:b/>
                <w:sz w:val="18"/>
                <w:szCs w:val="18"/>
              </w:rPr>
            </w:pPr>
            <w:r>
              <w:rPr>
                <w:b/>
                <w:sz w:val="18"/>
                <w:szCs w:val="18"/>
              </w:rPr>
              <w:t>Cash i</w:t>
            </w:r>
            <w:r w:rsidR="00FE0AD0" w:rsidRPr="00A05C06">
              <w:rPr>
                <w:b/>
                <w:sz w:val="18"/>
                <w:szCs w:val="18"/>
              </w:rPr>
              <w:t>nterest</w:t>
            </w:r>
          </w:p>
        </w:tc>
        <w:tc>
          <w:tcPr>
            <w:tcW w:w="1417" w:type="dxa"/>
          </w:tcPr>
          <w:p w:rsidR="00FE0AD0" w:rsidRPr="00A05C06" w:rsidRDefault="00FE0AD0" w:rsidP="00A05C06">
            <w:pPr>
              <w:ind w:left="34" w:right="-17"/>
              <w:jc w:val="left"/>
              <w:rPr>
                <w:b/>
                <w:sz w:val="18"/>
                <w:szCs w:val="18"/>
              </w:rPr>
            </w:pPr>
            <w:r w:rsidRPr="00A05C06">
              <w:rPr>
                <w:b/>
                <w:sz w:val="18"/>
                <w:szCs w:val="18"/>
              </w:rPr>
              <w:t>YTM on third party funding</w:t>
            </w:r>
          </w:p>
        </w:tc>
        <w:tc>
          <w:tcPr>
            <w:tcW w:w="1417" w:type="dxa"/>
          </w:tcPr>
          <w:p w:rsidR="00FE0AD0" w:rsidRPr="00A05C06" w:rsidRDefault="00FE0AD0" w:rsidP="00A05C06">
            <w:pPr>
              <w:ind w:left="34" w:right="-17"/>
              <w:jc w:val="left"/>
              <w:rPr>
                <w:b/>
                <w:sz w:val="18"/>
                <w:szCs w:val="18"/>
              </w:rPr>
            </w:pPr>
            <w:r w:rsidRPr="00A05C06">
              <w:rPr>
                <w:b/>
                <w:sz w:val="18"/>
                <w:szCs w:val="18"/>
              </w:rPr>
              <w:t>AIL on third party funding</w:t>
            </w:r>
          </w:p>
        </w:tc>
        <w:tc>
          <w:tcPr>
            <w:tcW w:w="1347" w:type="dxa"/>
          </w:tcPr>
          <w:p w:rsidR="00FE0AD0" w:rsidRPr="00A05C06" w:rsidRDefault="00FE0AD0" w:rsidP="00A05C06">
            <w:pPr>
              <w:ind w:left="35" w:right="-17"/>
              <w:jc w:val="left"/>
              <w:rPr>
                <w:b/>
                <w:sz w:val="18"/>
                <w:szCs w:val="18"/>
              </w:rPr>
            </w:pPr>
            <w:r w:rsidRPr="00A05C06">
              <w:rPr>
                <w:b/>
                <w:sz w:val="18"/>
                <w:szCs w:val="18"/>
              </w:rPr>
              <w:t>NRFAI</w:t>
            </w:r>
          </w:p>
        </w:tc>
        <w:tc>
          <w:tcPr>
            <w:tcW w:w="1347" w:type="dxa"/>
          </w:tcPr>
          <w:p w:rsidR="00FE0AD0" w:rsidRPr="00A05C06" w:rsidRDefault="00FE0AD0" w:rsidP="00A05C06">
            <w:pPr>
              <w:ind w:left="35" w:right="-17"/>
              <w:jc w:val="left"/>
              <w:rPr>
                <w:b/>
                <w:sz w:val="18"/>
                <w:szCs w:val="18"/>
              </w:rPr>
            </w:pPr>
            <w:r w:rsidRPr="00A05C06">
              <w:rPr>
                <w:b/>
                <w:sz w:val="18"/>
                <w:szCs w:val="18"/>
              </w:rPr>
              <w:t>NRWT on NRFAI</w:t>
            </w:r>
          </w:p>
        </w:tc>
      </w:tr>
      <w:tr w:rsidR="00FE0AD0" w:rsidRPr="00A05C06" w:rsidTr="000D7EE3">
        <w:trPr>
          <w:jc w:val="center"/>
        </w:trPr>
        <w:tc>
          <w:tcPr>
            <w:tcW w:w="1534" w:type="dxa"/>
          </w:tcPr>
          <w:p w:rsidR="00FE0AD0" w:rsidRPr="00A05C06" w:rsidRDefault="00FE0AD0" w:rsidP="00A05C06">
            <w:pPr>
              <w:ind w:right="-17"/>
              <w:rPr>
                <w:sz w:val="18"/>
                <w:szCs w:val="18"/>
              </w:rPr>
            </w:pPr>
            <w:r w:rsidRPr="00A05C06">
              <w:rPr>
                <w:sz w:val="18"/>
                <w:szCs w:val="18"/>
              </w:rPr>
              <w:t>March 2019</w:t>
            </w:r>
          </w:p>
        </w:tc>
        <w:tc>
          <w:tcPr>
            <w:tcW w:w="984" w:type="dxa"/>
          </w:tcPr>
          <w:p w:rsidR="00FE0AD0" w:rsidRPr="00A05C06" w:rsidRDefault="00FE0AD0" w:rsidP="00A05C06">
            <w:pPr>
              <w:ind w:right="-17"/>
              <w:rPr>
                <w:sz w:val="18"/>
                <w:szCs w:val="18"/>
              </w:rPr>
            </w:pPr>
            <w:r w:rsidRPr="00A05C06">
              <w:rPr>
                <w:sz w:val="18"/>
                <w:szCs w:val="18"/>
              </w:rPr>
              <w:t>$5</w:t>
            </w:r>
          </w:p>
        </w:tc>
        <w:tc>
          <w:tcPr>
            <w:tcW w:w="1417" w:type="dxa"/>
            <w:vAlign w:val="bottom"/>
          </w:tcPr>
          <w:p w:rsidR="00FE0AD0" w:rsidRPr="00A05C06" w:rsidRDefault="00FE0AD0" w:rsidP="00A05C06">
            <w:pPr>
              <w:ind w:left="34" w:right="-17"/>
              <w:rPr>
                <w:sz w:val="18"/>
                <w:szCs w:val="18"/>
              </w:rPr>
            </w:pPr>
            <w:r w:rsidRPr="00A05C06">
              <w:rPr>
                <w:sz w:val="18"/>
                <w:szCs w:val="18"/>
              </w:rPr>
              <w:t xml:space="preserve">$1.59 </w:t>
            </w:r>
          </w:p>
        </w:tc>
        <w:tc>
          <w:tcPr>
            <w:tcW w:w="1417" w:type="dxa"/>
          </w:tcPr>
          <w:p w:rsidR="00FE0AD0" w:rsidRPr="00A05C06" w:rsidRDefault="00FE0AD0" w:rsidP="00A05C06">
            <w:pPr>
              <w:ind w:left="34" w:right="-17"/>
              <w:rPr>
                <w:sz w:val="18"/>
                <w:szCs w:val="18"/>
              </w:rPr>
            </w:pPr>
            <w:r w:rsidRPr="00A05C06">
              <w:rPr>
                <w:sz w:val="18"/>
                <w:szCs w:val="18"/>
              </w:rPr>
              <w:t>$0.0318</w:t>
            </w:r>
          </w:p>
        </w:tc>
        <w:tc>
          <w:tcPr>
            <w:tcW w:w="1347" w:type="dxa"/>
            <w:vAlign w:val="bottom"/>
          </w:tcPr>
          <w:p w:rsidR="00FE0AD0" w:rsidRPr="00A05C06" w:rsidRDefault="00FE0AD0" w:rsidP="00A05C06">
            <w:pPr>
              <w:ind w:left="35" w:right="-17"/>
              <w:rPr>
                <w:sz w:val="18"/>
                <w:szCs w:val="18"/>
              </w:rPr>
            </w:pPr>
            <w:r w:rsidRPr="00A05C06">
              <w:rPr>
                <w:sz w:val="18"/>
                <w:szCs w:val="18"/>
              </w:rPr>
              <w:t xml:space="preserve"> $3.65 </w:t>
            </w:r>
          </w:p>
        </w:tc>
        <w:tc>
          <w:tcPr>
            <w:tcW w:w="1347" w:type="dxa"/>
          </w:tcPr>
          <w:p w:rsidR="00FE0AD0" w:rsidRPr="00A05C06" w:rsidRDefault="00FE0AD0" w:rsidP="00A05C06">
            <w:pPr>
              <w:ind w:left="35" w:right="-17"/>
              <w:rPr>
                <w:sz w:val="18"/>
                <w:szCs w:val="18"/>
              </w:rPr>
            </w:pPr>
            <w:r w:rsidRPr="00A05C06">
              <w:rPr>
                <w:sz w:val="18"/>
                <w:szCs w:val="18"/>
              </w:rPr>
              <w:t>$0.37</w:t>
            </w:r>
          </w:p>
        </w:tc>
      </w:tr>
      <w:tr w:rsidR="00FE0AD0" w:rsidRPr="00A05C06" w:rsidTr="000D7EE3">
        <w:trPr>
          <w:jc w:val="center"/>
        </w:trPr>
        <w:tc>
          <w:tcPr>
            <w:tcW w:w="1534" w:type="dxa"/>
          </w:tcPr>
          <w:p w:rsidR="00FE0AD0" w:rsidRPr="00A05C06" w:rsidRDefault="00FE0AD0" w:rsidP="00A05C06">
            <w:pPr>
              <w:ind w:right="-17"/>
              <w:rPr>
                <w:sz w:val="18"/>
                <w:szCs w:val="18"/>
              </w:rPr>
            </w:pPr>
            <w:r w:rsidRPr="00A05C06">
              <w:rPr>
                <w:sz w:val="18"/>
                <w:szCs w:val="18"/>
              </w:rPr>
              <w:t>March 2020</w:t>
            </w:r>
          </w:p>
        </w:tc>
        <w:tc>
          <w:tcPr>
            <w:tcW w:w="984" w:type="dxa"/>
          </w:tcPr>
          <w:p w:rsidR="00FE0AD0" w:rsidRPr="00A05C06" w:rsidRDefault="00FE0AD0" w:rsidP="00A05C06">
            <w:pPr>
              <w:ind w:right="-17"/>
              <w:rPr>
                <w:sz w:val="18"/>
                <w:szCs w:val="18"/>
              </w:rPr>
            </w:pPr>
            <w:r w:rsidRPr="00A05C06">
              <w:rPr>
                <w:sz w:val="18"/>
                <w:szCs w:val="18"/>
              </w:rPr>
              <w:t>$5</w:t>
            </w:r>
          </w:p>
        </w:tc>
        <w:tc>
          <w:tcPr>
            <w:tcW w:w="1417" w:type="dxa"/>
            <w:vAlign w:val="bottom"/>
          </w:tcPr>
          <w:p w:rsidR="00FE0AD0" w:rsidRPr="00A05C06" w:rsidRDefault="00FE0AD0" w:rsidP="00A05C06">
            <w:pPr>
              <w:ind w:left="34" w:right="-17"/>
              <w:rPr>
                <w:sz w:val="18"/>
                <w:szCs w:val="18"/>
              </w:rPr>
            </w:pPr>
            <w:r w:rsidRPr="00A05C06">
              <w:rPr>
                <w:sz w:val="18"/>
                <w:szCs w:val="18"/>
              </w:rPr>
              <w:t xml:space="preserve">$1.32 </w:t>
            </w:r>
          </w:p>
        </w:tc>
        <w:tc>
          <w:tcPr>
            <w:tcW w:w="1417" w:type="dxa"/>
          </w:tcPr>
          <w:p w:rsidR="00FE0AD0" w:rsidRPr="00A05C06" w:rsidRDefault="00FE0AD0" w:rsidP="00A05C06">
            <w:pPr>
              <w:ind w:left="34" w:right="-17"/>
              <w:rPr>
                <w:sz w:val="18"/>
                <w:szCs w:val="18"/>
              </w:rPr>
            </w:pPr>
            <w:r w:rsidRPr="00A05C06">
              <w:rPr>
                <w:sz w:val="18"/>
                <w:szCs w:val="18"/>
              </w:rPr>
              <w:t>$0.0264</w:t>
            </w:r>
          </w:p>
        </w:tc>
        <w:tc>
          <w:tcPr>
            <w:tcW w:w="1347" w:type="dxa"/>
            <w:vAlign w:val="bottom"/>
          </w:tcPr>
          <w:p w:rsidR="00FE0AD0" w:rsidRPr="00A05C06" w:rsidRDefault="00FE0AD0" w:rsidP="00A05C06">
            <w:pPr>
              <w:ind w:left="35" w:right="-17"/>
              <w:rPr>
                <w:sz w:val="18"/>
                <w:szCs w:val="18"/>
              </w:rPr>
            </w:pPr>
            <w:r w:rsidRPr="00A05C06">
              <w:rPr>
                <w:sz w:val="18"/>
                <w:szCs w:val="18"/>
              </w:rPr>
              <w:t xml:space="preserve"> $3.82 </w:t>
            </w:r>
          </w:p>
        </w:tc>
        <w:tc>
          <w:tcPr>
            <w:tcW w:w="1347" w:type="dxa"/>
          </w:tcPr>
          <w:p w:rsidR="00FE0AD0" w:rsidRPr="00A05C06" w:rsidRDefault="00FE0AD0" w:rsidP="00A05C06">
            <w:pPr>
              <w:ind w:left="35" w:right="-17"/>
              <w:rPr>
                <w:sz w:val="18"/>
                <w:szCs w:val="18"/>
              </w:rPr>
            </w:pPr>
            <w:r w:rsidRPr="00A05C06">
              <w:rPr>
                <w:sz w:val="18"/>
                <w:szCs w:val="18"/>
              </w:rPr>
              <w:t>$0.38</w:t>
            </w:r>
          </w:p>
        </w:tc>
      </w:tr>
      <w:tr w:rsidR="00FE0AD0" w:rsidRPr="00A05C06" w:rsidTr="000D7EE3">
        <w:trPr>
          <w:jc w:val="center"/>
        </w:trPr>
        <w:tc>
          <w:tcPr>
            <w:tcW w:w="1534" w:type="dxa"/>
          </w:tcPr>
          <w:p w:rsidR="00FE0AD0" w:rsidRPr="00A05C06" w:rsidRDefault="00FE0AD0" w:rsidP="00A05C06">
            <w:pPr>
              <w:ind w:right="-17"/>
              <w:rPr>
                <w:sz w:val="18"/>
                <w:szCs w:val="18"/>
              </w:rPr>
            </w:pPr>
            <w:r w:rsidRPr="00A05C06">
              <w:rPr>
                <w:sz w:val="18"/>
                <w:szCs w:val="18"/>
              </w:rPr>
              <w:t>March 2021</w:t>
            </w:r>
          </w:p>
        </w:tc>
        <w:tc>
          <w:tcPr>
            <w:tcW w:w="984" w:type="dxa"/>
          </w:tcPr>
          <w:p w:rsidR="00FE0AD0" w:rsidRPr="00A05C06" w:rsidRDefault="00FE0AD0" w:rsidP="00A05C06">
            <w:pPr>
              <w:ind w:right="-17"/>
              <w:rPr>
                <w:sz w:val="18"/>
                <w:szCs w:val="18"/>
              </w:rPr>
            </w:pPr>
            <w:r w:rsidRPr="00A05C06">
              <w:rPr>
                <w:sz w:val="18"/>
                <w:szCs w:val="18"/>
              </w:rPr>
              <w:t>$5</w:t>
            </w:r>
          </w:p>
        </w:tc>
        <w:tc>
          <w:tcPr>
            <w:tcW w:w="1417" w:type="dxa"/>
            <w:vAlign w:val="bottom"/>
          </w:tcPr>
          <w:p w:rsidR="00FE0AD0" w:rsidRPr="00A05C06" w:rsidRDefault="00FE0AD0" w:rsidP="00A05C06">
            <w:pPr>
              <w:ind w:left="34" w:right="-17"/>
              <w:rPr>
                <w:sz w:val="18"/>
                <w:szCs w:val="18"/>
              </w:rPr>
            </w:pPr>
            <w:r w:rsidRPr="00A05C06">
              <w:rPr>
                <w:sz w:val="18"/>
                <w:szCs w:val="18"/>
              </w:rPr>
              <w:t xml:space="preserve">$1.02 </w:t>
            </w:r>
          </w:p>
        </w:tc>
        <w:tc>
          <w:tcPr>
            <w:tcW w:w="1417" w:type="dxa"/>
          </w:tcPr>
          <w:p w:rsidR="00FE0AD0" w:rsidRPr="00A05C06" w:rsidRDefault="00FE0AD0" w:rsidP="00A05C06">
            <w:pPr>
              <w:ind w:left="34" w:right="-17"/>
              <w:rPr>
                <w:sz w:val="18"/>
                <w:szCs w:val="18"/>
              </w:rPr>
            </w:pPr>
            <w:r w:rsidRPr="00A05C06">
              <w:rPr>
                <w:sz w:val="18"/>
                <w:szCs w:val="18"/>
              </w:rPr>
              <w:t>$0.0204</w:t>
            </w:r>
          </w:p>
        </w:tc>
        <w:tc>
          <w:tcPr>
            <w:tcW w:w="1347" w:type="dxa"/>
            <w:vAlign w:val="bottom"/>
          </w:tcPr>
          <w:p w:rsidR="00FE0AD0" w:rsidRPr="00A05C06" w:rsidRDefault="00FE0AD0" w:rsidP="00A05C06">
            <w:pPr>
              <w:ind w:left="35" w:right="-17"/>
              <w:rPr>
                <w:sz w:val="18"/>
                <w:szCs w:val="18"/>
              </w:rPr>
            </w:pPr>
            <w:r w:rsidRPr="00A05C06">
              <w:rPr>
                <w:sz w:val="18"/>
                <w:szCs w:val="18"/>
              </w:rPr>
              <w:t xml:space="preserve"> $3.99 </w:t>
            </w:r>
          </w:p>
        </w:tc>
        <w:tc>
          <w:tcPr>
            <w:tcW w:w="1347" w:type="dxa"/>
          </w:tcPr>
          <w:p w:rsidR="00FE0AD0" w:rsidRPr="00A05C06" w:rsidRDefault="00FE0AD0" w:rsidP="00A05C06">
            <w:pPr>
              <w:ind w:left="35" w:right="-17"/>
              <w:rPr>
                <w:sz w:val="18"/>
                <w:szCs w:val="18"/>
              </w:rPr>
            </w:pPr>
            <w:r w:rsidRPr="00A05C06">
              <w:rPr>
                <w:sz w:val="18"/>
                <w:szCs w:val="18"/>
              </w:rPr>
              <w:t>$0.40</w:t>
            </w:r>
          </w:p>
        </w:tc>
      </w:tr>
      <w:tr w:rsidR="00FE0AD0" w:rsidRPr="00A05C06" w:rsidTr="000D7EE3">
        <w:trPr>
          <w:jc w:val="center"/>
        </w:trPr>
        <w:tc>
          <w:tcPr>
            <w:tcW w:w="1534" w:type="dxa"/>
          </w:tcPr>
          <w:p w:rsidR="00FE0AD0" w:rsidRPr="00A05C06" w:rsidRDefault="00FE0AD0" w:rsidP="00A05C06">
            <w:pPr>
              <w:ind w:right="-17"/>
              <w:rPr>
                <w:sz w:val="18"/>
                <w:szCs w:val="18"/>
              </w:rPr>
            </w:pPr>
            <w:r w:rsidRPr="00A05C06">
              <w:rPr>
                <w:sz w:val="18"/>
                <w:szCs w:val="18"/>
              </w:rPr>
              <w:t>March 2022</w:t>
            </w:r>
          </w:p>
        </w:tc>
        <w:tc>
          <w:tcPr>
            <w:tcW w:w="984" w:type="dxa"/>
          </w:tcPr>
          <w:p w:rsidR="00FE0AD0" w:rsidRPr="00A05C06" w:rsidRDefault="00FE0AD0" w:rsidP="00A05C06">
            <w:pPr>
              <w:ind w:right="-17"/>
              <w:rPr>
                <w:sz w:val="18"/>
                <w:szCs w:val="18"/>
              </w:rPr>
            </w:pPr>
            <w:r w:rsidRPr="00A05C06">
              <w:rPr>
                <w:sz w:val="18"/>
                <w:szCs w:val="18"/>
              </w:rPr>
              <w:t>$5</w:t>
            </w:r>
          </w:p>
        </w:tc>
        <w:tc>
          <w:tcPr>
            <w:tcW w:w="1417" w:type="dxa"/>
            <w:vAlign w:val="bottom"/>
          </w:tcPr>
          <w:p w:rsidR="00FE0AD0" w:rsidRPr="00A05C06" w:rsidRDefault="00FE0AD0" w:rsidP="00A05C06">
            <w:pPr>
              <w:ind w:left="34" w:right="-17"/>
              <w:rPr>
                <w:sz w:val="18"/>
                <w:szCs w:val="18"/>
              </w:rPr>
            </w:pPr>
            <w:r w:rsidRPr="00A05C06">
              <w:rPr>
                <w:sz w:val="18"/>
                <w:szCs w:val="18"/>
              </w:rPr>
              <w:t xml:space="preserve">$0.71 </w:t>
            </w:r>
          </w:p>
        </w:tc>
        <w:tc>
          <w:tcPr>
            <w:tcW w:w="1417" w:type="dxa"/>
          </w:tcPr>
          <w:p w:rsidR="00FE0AD0" w:rsidRPr="00A05C06" w:rsidRDefault="00FE0AD0" w:rsidP="00A05C06">
            <w:pPr>
              <w:ind w:left="34" w:right="-17"/>
              <w:rPr>
                <w:sz w:val="18"/>
                <w:szCs w:val="18"/>
              </w:rPr>
            </w:pPr>
            <w:r w:rsidRPr="00A05C06">
              <w:rPr>
                <w:sz w:val="18"/>
                <w:szCs w:val="18"/>
              </w:rPr>
              <w:t>$0.0142</w:t>
            </w:r>
          </w:p>
        </w:tc>
        <w:tc>
          <w:tcPr>
            <w:tcW w:w="1347" w:type="dxa"/>
            <w:vAlign w:val="bottom"/>
          </w:tcPr>
          <w:p w:rsidR="00FE0AD0" w:rsidRPr="00A05C06" w:rsidRDefault="00FE0AD0" w:rsidP="00A05C06">
            <w:pPr>
              <w:ind w:left="35" w:right="-17"/>
              <w:rPr>
                <w:sz w:val="18"/>
                <w:szCs w:val="18"/>
              </w:rPr>
            </w:pPr>
            <w:r w:rsidRPr="00A05C06">
              <w:rPr>
                <w:sz w:val="18"/>
                <w:szCs w:val="18"/>
              </w:rPr>
              <w:t xml:space="preserve"> $4.17 </w:t>
            </w:r>
          </w:p>
        </w:tc>
        <w:tc>
          <w:tcPr>
            <w:tcW w:w="1347" w:type="dxa"/>
          </w:tcPr>
          <w:p w:rsidR="00FE0AD0" w:rsidRPr="00A05C06" w:rsidRDefault="00FE0AD0" w:rsidP="00A05C06">
            <w:pPr>
              <w:ind w:left="35" w:right="-17"/>
              <w:rPr>
                <w:sz w:val="18"/>
                <w:szCs w:val="18"/>
              </w:rPr>
            </w:pPr>
            <w:r w:rsidRPr="00A05C06">
              <w:rPr>
                <w:sz w:val="18"/>
                <w:szCs w:val="18"/>
              </w:rPr>
              <w:t>$0.42</w:t>
            </w:r>
          </w:p>
        </w:tc>
      </w:tr>
      <w:tr w:rsidR="00FE0AD0" w:rsidRPr="00A05C06" w:rsidTr="000D7EE3">
        <w:trPr>
          <w:jc w:val="center"/>
        </w:trPr>
        <w:tc>
          <w:tcPr>
            <w:tcW w:w="1534" w:type="dxa"/>
          </w:tcPr>
          <w:p w:rsidR="00FE0AD0" w:rsidRPr="00A05C06" w:rsidRDefault="00FE0AD0" w:rsidP="00A05C06">
            <w:pPr>
              <w:ind w:right="-17"/>
              <w:rPr>
                <w:sz w:val="18"/>
                <w:szCs w:val="18"/>
              </w:rPr>
            </w:pPr>
            <w:r w:rsidRPr="00A05C06">
              <w:rPr>
                <w:sz w:val="18"/>
                <w:szCs w:val="18"/>
              </w:rPr>
              <w:t>March 2023</w:t>
            </w:r>
          </w:p>
        </w:tc>
        <w:tc>
          <w:tcPr>
            <w:tcW w:w="984" w:type="dxa"/>
          </w:tcPr>
          <w:p w:rsidR="00FE0AD0" w:rsidRPr="00A05C06" w:rsidRDefault="00FE0AD0" w:rsidP="00A05C06">
            <w:pPr>
              <w:ind w:right="-17"/>
              <w:rPr>
                <w:sz w:val="18"/>
                <w:szCs w:val="18"/>
              </w:rPr>
            </w:pPr>
            <w:r w:rsidRPr="00A05C06">
              <w:rPr>
                <w:sz w:val="18"/>
                <w:szCs w:val="18"/>
              </w:rPr>
              <w:t>$5</w:t>
            </w:r>
          </w:p>
        </w:tc>
        <w:tc>
          <w:tcPr>
            <w:tcW w:w="1417" w:type="dxa"/>
            <w:vAlign w:val="bottom"/>
          </w:tcPr>
          <w:p w:rsidR="00FE0AD0" w:rsidRPr="00A05C06" w:rsidRDefault="00FE0AD0" w:rsidP="00A05C06">
            <w:pPr>
              <w:ind w:left="34" w:right="-17"/>
              <w:rPr>
                <w:sz w:val="18"/>
                <w:szCs w:val="18"/>
              </w:rPr>
            </w:pPr>
            <w:r w:rsidRPr="00A05C06">
              <w:rPr>
                <w:sz w:val="18"/>
                <w:szCs w:val="18"/>
              </w:rPr>
              <w:t xml:space="preserve">$0.37 </w:t>
            </w:r>
          </w:p>
        </w:tc>
        <w:tc>
          <w:tcPr>
            <w:tcW w:w="1417" w:type="dxa"/>
          </w:tcPr>
          <w:p w:rsidR="00FE0AD0" w:rsidRPr="00A05C06" w:rsidRDefault="00FE0AD0" w:rsidP="00A05C06">
            <w:pPr>
              <w:ind w:left="34" w:right="-17"/>
              <w:rPr>
                <w:sz w:val="18"/>
                <w:szCs w:val="18"/>
              </w:rPr>
            </w:pPr>
            <w:r w:rsidRPr="00A05C06">
              <w:rPr>
                <w:sz w:val="18"/>
                <w:szCs w:val="18"/>
              </w:rPr>
              <w:t>$0.0074</w:t>
            </w:r>
          </w:p>
        </w:tc>
        <w:tc>
          <w:tcPr>
            <w:tcW w:w="1347" w:type="dxa"/>
            <w:vAlign w:val="bottom"/>
          </w:tcPr>
          <w:p w:rsidR="00FE0AD0" w:rsidRPr="00A05C06" w:rsidRDefault="00FE0AD0" w:rsidP="00A05C06">
            <w:pPr>
              <w:ind w:left="35" w:right="-17"/>
              <w:rPr>
                <w:sz w:val="18"/>
                <w:szCs w:val="18"/>
              </w:rPr>
            </w:pPr>
            <w:r w:rsidRPr="00A05C06">
              <w:rPr>
                <w:sz w:val="18"/>
                <w:szCs w:val="18"/>
              </w:rPr>
              <w:t xml:space="preserve"> $4.36 </w:t>
            </w:r>
          </w:p>
        </w:tc>
        <w:tc>
          <w:tcPr>
            <w:tcW w:w="1347" w:type="dxa"/>
          </w:tcPr>
          <w:p w:rsidR="00FE0AD0" w:rsidRPr="00A05C06" w:rsidRDefault="00FE0AD0" w:rsidP="00A05C06">
            <w:pPr>
              <w:ind w:left="35" w:right="-17"/>
              <w:rPr>
                <w:sz w:val="18"/>
                <w:szCs w:val="18"/>
              </w:rPr>
            </w:pPr>
            <w:r w:rsidRPr="00A05C06">
              <w:rPr>
                <w:sz w:val="18"/>
                <w:szCs w:val="18"/>
              </w:rPr>
              <w:t>$0.44</w:t>
            </w:r>
          </w:p>
        </w:tc>
      </w:tr>
    </w:tbl>
    <w:p w:rsidR="00FE0AD0" w:rsidRPr="00DB2E88" w:rsidRDefault="00FE0AD0" w:rsidP="00DB2E88">
      <w:pPr>
        <w:rPr>
          <w:sz w:val="20"/>
          <w:lang w:val="en-NZ"/>
        </w:rPr>
      </w:pPr>
    </w:p>
    <w:p w:rsidR="00FE0AD0" w:rsidRPr="00DB2E88" w:rsidRDefault="00FE0AD0" w:rsidP="00DB2E88">
      <w:pPr>
        <w:rPr>
          <w:sz w:val="20"/>
          <w:lang w:val="en-NZ"/>
        </w:rPr>
      </w:pPr>
    </w:p>
    <w:p w:rsidR="00FE0AD0" w:rsidRPr="00DB2E88" w:rsidRDefault="00FE0AD0" w:rsidP="00DB2E88">
      <w:pPr>
        <w:rPr>
          <w:sz w:val="20"/>
          <w:lang w:val="en-NZ"/>
        </w:rPr>
      </w:pPr>
    </w:p>
    <w:p w:rsidR="00FE0AD0" w:rsidRPr="00DB2E88" w:rsidRDefault="00FE0AD0" w:rsidP="00DB2E88">
      <w:pPr>
        <w:rPr>
          <w:sz w:val="20"/>
        </w:rPr>
      </w:pPr>
    </w:p>
    <w:p w:rsidR="008A0000" w:rsidRPr="00DB2E88" w:rsidRDefault="008A0000" w:rsidP="00DB2E88">
      <w:pPr>
        <w:rPr>
          <w:sz w:val="20"/>
        </w:rPr>
      </w:pPr>
    </w:p>
    <w:p w:rsidR="00FE0AD0" w:rsidRDefault="00FE0AD0" w:rsidP="00A05C06">
      <w:pPr>
        <w:ind w:left="284"/>
        <w:jc w:val="left"/>
        <w:rPr>
          <w:lang w:val="en-NZ"/>
        </w:rPr>
      </w:pPr>
      <w:r w:rsidRPr="00A05C06">
        <w:rPr>
          <w:sz w:val="20"/>
        </w:rPr>
        <w:br w:type="page"/>
      </w:r>
    </w:p>
    <w:p w:rsidR="002B19D6" w:rsidRPr="001849F9" w:rsidRDefault="007411C0" w:rsidP="005A1824">
      <w:pPr>
        <w:pStyle w:val="Heading1"/>
        <w:rPr>
          <w:lang w:val="en-NZ"/>
        </w:rPr>
      </w:pPr>
      <w:bookmarkStart w:id="28" w:name="_Toc418756717"/>
      <w:r>
        <w:rPr>
          <w:lang w:val="en-NZ"/>
        </w:rPr>
        <w:lastRenderedPageBreak/>
        <w:t>Acting</w:t>
      </w:r>
      <w:r w:rsidR="00B20483">
        <w:rPr>
          <w:lang w:val="en-NZ"/>
        </w:rPr>
        <w:t xml:space="preserve"> </w:t>
      </w:r>
      <w:r w:rsidR="00245DF8">
        <w:rPr>
          <w:lang w:val="en-NZ"/>
        </w:rPr>
        <w:t>together</w:t>
      </w:r>
      <w:bookmarkEnd w:id="28"/>
    </w:p>
    <w:p w:rsidR="002B19D6" w:rsidRPr="00AE1C04" w:rsidRDefault="002B19D6" w:rsidP="00DB2E88"/>
    <w:p w:rsidR="002B19D6" w:rsidRDefault="001849F9" w:rsidP="00F94F53">
      <w:pPr>
        <w:pStyle w:val="Chapter4"/>
        <w:tabs>
          <w:tab w:val="clear" w:pos="1702"/>
        </w:tabs>
        <w:ind w:left="851"/>
      </w:pPr>
      <w:r>
        <w:t xml:space="preserve">The current association tests for accessing the AIL rules rely on the associated persons </w:t>
      </w:r>
      <w:r w:rsidR="002D3893">
        <w:t>definition</w:t>
      </w:r>
      <w:r>
        <w:t xml:space="preserve"> in subpart YB of the Income Tax Act 2007.</w:t>
      </w:r>
      <w:r w:rsidR="00E13DBC">
        <w:t xml:space="preserve">  One of the tests in the associated persons </w:t>
      </w:r>
      <w:r w:rsidR="002D3893">
        <w:t>definition</w:t>
      </w:r>
      <w:r w:rsidR="00E13DBC">
        <w:t xml:space="preserve"> </w:t>
      </w:r>
      <w:r w:rsidR="00EE3AF4">
        <w:t xml:space="preserve">states </w:t>
      </w:r>
      <w:r w:rsidR="00E13DBC">
        <w:t>that two companies are associated if a group of persons exists whose total voting interests in each company are 50% or more.</w:t>
      </w:r>
    </w:p>
    <w:p w:rsidR="00E13DBC" w:rsidRDefault="00E13DBC" w:rsidP="00DB2E88"/>
    <w:p w:rsidR="00E13DBC" w:rsidRDefault="00E13DBC" w:rsidP="00F94F53">
      <w:pPr>
        <w:pStyle w:val="Chapter4"/>
        <w:tabs>
          <w:tab w:val="clear" w:pos="1702"/>
        </w:tabs>
        <w:ind w:left="851"/>
      </w:pPr>
      <w:r>
        <w:t xml:space="preserve">This means that where </w:t>
      </w:r>
      <w:r w:rsidR="00BA3D7F">
        <w:t>two</w:t>
      </w:r>
      <w:r w:rsidR="006F6514">
        <w:t xml:space="preserve"> or more companie</w:t>
      </w:r>
      <w:r>
        <w:t xml:space="preserve">s </w:t>
      </w:r>
      <w:r w:rsidR="00BA3D7F">
        <w:t xml:space="preserve">each </w:t>
      </w:r>
      <w:r>
        <w:t xml:space="preserve">have ownership interests of </w:t>
      </w:r>
      <w:r w:rsidR="00BA3D7F">
        <w:t xml:space="preserve">less than </w:t>
      </w:r>
      <w:r>
        <w:t xml:space="preserve">50% </w:t>
      </w:r>
      <w:r w:rsidR="00F42308">
        <w:t>in</w:t>
      </w:r>
      <w:r>
        <w:t xml:space="preserve"> a New Zealand </w:t>
      </w:r>
      <w:r w:rsidR="00EE3AF4">
        <w:t>borrower</w:t>
      </w:r>
      <w:r w:rsidR="00D1229C">
        <w:t>,</w:t>
      </w:r>
      <w:r w:rsidR="00EE3AF4">
        <w:t xml:space="preserve"> </w:t>
      </w:r>
      <w:r w:rsidR="006F6514">
        <w:t>these companie</w:t>
      </w:r>
      <w:r>
        <w:t xml:space="preserve">s will not be associated with </w:t>
      </w:r>
      <w:r w:rsidR="00EE3AF4">
        <w:t xml:space="preserve">that borrower </w:t>
      </w:r>
      <w:r w:rsidR="006F6514">
        <w:t>unless they</w:t>
      </w:r>
      <w:r>
        <w:t xml:space="preserve"> are themselves associated.</w:t>
      </w:r>
    </w:p>
    <w:p w:rsidR="00E13DBC" w:rsidRDefault="00E13DBC" w:rsidP="00DB2E88"/>
    <w:p w:rsidR="00E13DBC" w:rsidRDefault="00E13DBC" w:rsidP="00F94F53">
      <w:pPr>
        <w:pStyle w:val="Chapter4"/>
        <w:tabs>
          <w:tab w:val="clear" w:pos="1702"/>
        </w:tabs>
        <w:ind w:left="851"/>
      </w:pPr>
      <w:r>
        <w:t xml:space="preserve">There are many instances where this is a desirable outcome </w:t>
      </w:r>
      <w:r w:rsidR="00EE3AF4">
        <w:t xml:space="preserve">– </w:t>
      </w:r>
      <w:r>
        <w:t xml:space="preserve">such as portfolio investments in listed companies.  For this reason </w:t>
      </w:r>
      <w:r w:rsidR="00EE3AF4">
        <w:t xml:space="preserve">we </w:t>
      </w:r>
      <w:r>
        <w:t xml:space="preserve">do not recommend general changes to the associated persons </w:t>
      </w:r>
      <w:r w:rsidR="002D3893">
        <w:t>definition</w:t>
      </w:r>
      <w:r>
        <w:t>.</w:t>
      </w:r>
    </w:p>
    <w:p w:rsidR="00E13DBC" w:rsidRDefault="00E13DBC" w:rsidP="00DB2E88"/>
    <w:p w:rsidR="00E13DBC" w:rsidRDefault="00E13DBC" w:rsidP="00F94F53">
      <w:pPr>
        <w:pStyle w:val="Chapter4"/>
        <w:tabs>
          <w:tab w:val="clear" w:pos="1702"/>
        </w:tabs>
        <w:ind w:left="851"/>
      </w:pPr>
      <w:r>
        <w:t xml:space="preserve">However, </w:t>
      </w:r>
      <w:r w:rsidR="00EE3AF4">
        <w:t>we</w:t>
      </w:r>
      <w:r>
        <w:t xml:space="preserve"> are aware of a number of transactions where </w:t>
      </w:r>
      <w:r w:rsidR="00162A07">
        <w:t>two</w:t>
      </w:r>
      <w:r>
        <w:t xml:space="preserve"> or more non-associated persons (invest</w:t>
      </w:r>
      <w:r w:rsidR="005167F4">
        <w:t xml:space="preserve">ors), </w:t>
      </w:r>
      <w:r w:rsidR="00BA3D7F">
        <w:t>each</w:t>
      </w:r>
      <w:r w:rsidR="005167F4">
        <w:t xml:space="preserve"> </w:t>
      </w:r>
      <w:r>
        <w:t>with less than 5</w:t>
      </w:r>
      <w:r w:rsidR="005167F4">
        <w:t>0% of ownership interests in a</w:t>
      </w:r>
      <w:r>
        <w:t xml:space="preserve"> New Zealand</w:t>
      </w:r>
      <w:r w:rsidR="00EE3AF4">
        <w:t xml:space="preserve"> borrower</w:t>
      </w:r>
      <w:r>
        <w:t xml:space="preserve">, </w:t>
      </w:r>
      <w:r w:rsidR="002D3893">
        <w:t xml:space="preserve">together </w:t>
      </w:r>
      <w:r>
        <w:t>provide debt funding to that</w:t>
      </w:r>
      <w:r w:rsidR="00EE3AF4">
        <w:t xml:space="preserve"> borrower</w:t>
      </w:r>
      <w:r w:rsidR="005167F4">
        <w:t xml:space="preserve"> under an arrangement</w:t>
      </w:r>
      <w:r>
        <w:t xml:space="preserve">.  </w:t>
      </w:r>
      <w:r w:rsidR="002759F4">
        <w:t>Even though these investors may be genuinely not</w:t>
      </w:r>
      <w:r w:rsidR="005167F4">
        <w:t xml:space="preserve"> </w:t>
      </w:r>
      <w:r w:rsidR="002759F4">
        <w:t xml:space="preserve">associated (for example three pension funds with different owners) they </w:t>
      </w:r>
      <w:r w:rsidR="006F6514">
        <w:t xml:space="preserve">may </w:t>
      </w:r>
      <w:r w:rsidR="002759F4">
        <w:t xml:space="preserve">make decisions about the </w:t>
      </w:r>
      <w:r w:rsidR="00EE3AF4">
        <w:t xml:space="preserve">borrower </w:t>
      </w:r>
      <w:r w:rsidR="002759F4">
        <w:t>collectively</w:t>
      </w:r>
      <w:r w:rsidR="005D36E6">
        <w:t>,</w:t>
      </w:r>
      <w:r w:rsidR="002759F4">
        <w:t xml:space="preserve"> and in economic substance operate in a similar manner as if they were a single owner.</w:t>
      </w:r>
    </w:p>
    <w:p w:rsidR="00E13DBC" w:rsidRDefault="00E13DBC" w:rsidP="00DB2E88"/>
    <w:p w:rsidR="00E13DBC" w:rsidRDefault="002759F4" w:rsidP="00F94F53">
      <w:pPr>
        <w:pStyle w:val="Chapter4"/>
        <w:tabs>
          <w:tab w:val="clear" w:pos="1702"/>
        </w:tabs>
        <w:ind w:left="851"/>
      </w:pPr>
      <w:r>
        <w:t>By operating in this manner the investors can make decisions in a similar manner to a single owner such as inserting high levels of debt (subject to thin capitalisation requirements) in proportion to their ownership interests and thereby receive a return on their total (equity + debt) investment with a large portion of this being deductible in New Zealand.</w:t>
      </w:r>
    </w:p>
    <w:p w:rsidR="002759F4" w:rsidRDefault="002759F4" w:rsidP="00DB2E88"/>
    <w:p w:rsidR="002759F4" w:rsidRDefault="002759F4" w:rsidP="00F94F53">
      <w:pPr>
        <w:pStyle w:val="Chapter4"/>
        <w:tabs>
          <w:tab w:val="clear" w:pos="1702"/>
        </w:tabs>
        <w:ind w:left="851"/>
      </w:pPr>
      <w:r>
        <w:t xml:space="preserve">This problem is not unique to the </w:t>
      </w:r>
      <w:r w:rsidR="006F6514">
        <w:t>NRWT/</w:t>
      </w:r>
      <w:r>
        <w:t>AIL rules</w:t>
      </w:r>
      <w:r w:rsidR="005167F4">
        <w:t>.</w:t>
      </w:r>
      <w:r>
        <w:t xml:space="preserve"> </w:t>
      </w:r>
      <w:r w:rsidR="005167F4">
        <w:t xml:space="preserve"> U</w:t>
      </w:r>
      <w:r>
        <w:t>ntil recently</w:t>
      </w:r>
      <w:r w:rsidR="00D1229C">
        <w:t>,</w:t>
      </w:r>
      <w:r>
        <w:t xml:space="preserve"> the same structure could be used </w:t>
      </w:r>
      <w:r w:rsidR="00E40EF4">
        <w:t xml:space="preserve">without engaging the </w:t>
      </w:r>
      <w:r>
        <w:t>thin capitalisation</w:t>
      </w:r>
      <w:r w:rsidR="00E40EF4">
        <w:t xml:space="preserve"> rules</w:t>
      </w:r>
      <w:r>
        <w:t xml:space="preserve">.  </w:t>
      </w:r>
      <w:r w:rsidR="002D3893">
        <w:t>Before</w:t>
      </w:r>
      <w:r w:rsidR="006F6514">
        <w:t xml:space="preserve"> the recent amendments</w:t>
      </w:r>
      <w:r w:rsidR="00D1229C">
        <w:t>,</w:t>
      </w:r>
      <w:r w:rsidR="006F6514">
        <w:t xml:space="preserve"> two</w:t>
      </w:r>
      <w:r>
        <w:t xml:space="preserve"> or more non-associated persons (investors) could put </w:t>
      </w:r>
      <w:r w:rsidR="007B3F4C">
        <w:t xml:space="preserve">high levels of </w:t>
      </w:r>
      <w:r>
        <w:t xml:space="preserve">debt into a New Zealand </w:t>
      </w:r>
      <w:r w:rsidR="00EE3AF4">
        <w:t>borrower</w:t>
      </w:r>
      <w:r w:rsidR="007B3F4C">
        <w:t xml:space="preserve"> in a co-ordinated fashion without subjecting the borrower </w:t>
      </w:r>
      <w:r>
        <w:t xml:space="preserve">to </w:t>
      </w:r>
      <w:r w:rsidR="002D3893">
        <w:t xml:space="preserve">the </w:t>
      </w:r>
      <w:r>
        <w:t xml:space="preserve">thin capitalisation </w:t>
      </w:r>
      <w:r w:rsidR="002D3893">
        <w:t>rules</w:t>
      </w:r>
      <w:r w:rsidR="00D1229C">
        <w:t>,</w:t>
      </w:r>
      <w:r w:rsidR="002D3893">
        <w:t xml:space="preserve"> </w:t>
      </w:r>
      <w:r>
        <w:t xml:space="preserve">as each investor was not associated and </w:t>
      </w:r>
      <w:r w:rsidR="00137693">
        <w:t>did not</w:t>
      </w:r>
      <w:r>
        <w:t xml:space="preserve"> </w:t>
      </w:r>
      <w:r w:rsidR="00EE3AF4">
        <w:t xml:space="preserve">own </w:t>
      </w:r>
      <w:r>
        <w:t>50% or more of</w:t>
      </w:r>
      <w:r w:rsidR="00EE3AF4">
        <w:t xml:space="preserve"> th</w:t>
      </w:r>
      <w:r w:rsidR="00137693">
        <w:t>e</w:t>
      </w:r>
      <w:r w:rsidR="00EE3AF4">
        <w:t xml:space="preserve"> borrower</w:t>
      </w:r>
      <w:r>
        <w:t>.</w:t>
      </w:r>
    </w:p>
    <w:p w:rsidR="002759F4" w:rsidRDefault="002759F4" w:rsidP="00DB2E88"/>
    <w:p w:rsidR="002759F4" w:rsidRDefault="002759F4" w:rsidP="00F94F53">
      <w:pPr>
        <w:pStyle w:val="Chapter4"/>
        <w:tabs>
          <w:tab w:val="clear" w:pos="1702"/>
        </w:tabs>
        <w:ind w:left="851"/>
      </w:pPr>
      <w:r>
        <w:t xml:space="preserve">The </w:t>
      </w:r>
      <w:r w:rsidR="00C960FD">
        <w:t>2014 amendments to</w:t>
      </w:r>
      <w:r w:rsidR="002D3893">
        <w:t xml:space="preserve"> subpart </w:t>
      </w:r>
      <w:r w:rsidR="00C960FD">
        <w:t>FE of the Income Tax Act 2007</w:t>
      </w:r>
      <w:r w:rsidR="002D3893" w:rsidRPr="001D497B">
        <w:rPr>
          <w:rStyle w:val="FootnoteReference"/>
          <w:sz w:val="24"/>
          <w:szCs w:val="24"/>
        </w:rPr>
        <w:footnoteReference w:id="11"/>
      </w:r>
      <w:r w:rsidR="00C960FD">
        <w:t xml:space="preserve"> introduced the definition of a non-resident owning body</w:t>
      </w:r>
      <w:r w:rsidR="00E40EF4">
        <w:t xml:space="preserve">, </w:t>
      </w:r>
      <w:r w:rsidR="001A3D93">
        <w:t>and provided that if a New Zealand company was owned by a non-resident owning body, it would be subject to the thin capitalisation r</w:t>
      </w:r>
      <w:r w:rsidR="00F42308">
        <w:t>ules</w:t>
      </w:r>
      <w:r w:rsidR="001A3D93">
        <w:t>.  A non-resident owning body includes a group of</w:t>
      </w:r>
      <w:r w:rsidR="00E40EF4">
        <w:t xml:space="preserve"> independent owners acting together to fund a N</w:t>
      </w:r>
      <w:r w:rsidR="00F42308">
        <w:t xml:space="preserve">ew </w:t>
      </w:r>
      <w:r w:rsidR="00E40EF4">
        <w:t>Z</w:t>
      </w:r>
      <w:r w:rsidR="00F42308">
        <w:t>ealand</w:t>
      </w:r>
      <w:r w:rsidR="00E40EF4">
        <w:t xml:space="preserve"> resident</w:t>
      </w:r>
      <w:r w:rsidR="001A3D93">
        <w:t>.</w:t>
      </w:r>
      <w:r w:rsidR="007411C0">
        <w:t xml:space="preserve">  A copy of this definition is included in Appendix 2.</w:t>
      </w:r>
    </w:p>
    <w:p w:rsidR="007411C0" w:rsidRDefault="007411C0" w:rsidP="00DB2E88"/>
    <w:p w:rsidR="007411C0" w:rsidRDefault="00EE3AF4" w:rsidP="00F94F53">
      <w:pPr>
        <w:pStyle w:val="Chapter4"/>
        <w:tabs>
          <w:tab w:val="clear" w:pos="1702"/>
        </w:tabs>
        <w:ind w:left="851"/>
      </w:pPr>
      <w:r>
        <w:t xml:space="preserve">We </w:t>
      </w:r>
      <w:r w:rsidR="005D36E6">
        <w:t>suggest introducing</w:t>
      </w:r>
      <w:r w:rsidR="007411C0">
        <w:t xml:space="preserve"> </w:t>
      </w:r>
      <w:r w:rsidR="00E40EF4">
        <w:t>the same concept for purposes of determining whether interest paid by a N</w:t>
      </w:r>
      <w:r w:rsidR="001A3D93">
        <w:t xml:space="preserve">ew </w:t>
      </w:r>
      <w:r w:rsidR="00E40EF4">
        <w:t>Z</w:t>
      </w:r>
      <w:r w:rsidR="001A3D93">
        <w:t>ealand</w:t>
      </w:r>
      <w:r w:rsidR="00E40EF4">
        <w:t xml:space="preserve"> resident is paid to an associated person.  Changes will be made to the concept to the extent necessary </w:t>
      </w:r>
      <w:r w:rsidR="007411C0">
        <w:t>to reflect its different application.</w:t>
      </w:r>
    </w:p>
    <w:p w:rsidR="007411C0" w:rsidRDefault="007411C0" w:rsidP="00DB2E88"/>
    <w:p w:rsidR="000D7EE3" w:rsidRDefault="000D7EE3">
      <w:pPr>
        <w:jc w:val="left"/>
        <w:rPr>
          <w:lang w:val="en-NZ"/>
        </w:rPr>
      </w:pPr>
      <w:r>
        <w:br w:type="page"/>
      </w:r>
    </w:p>
    <w:p w:rsidR="007411C0" w:rsidRDefault="007411C0" w:rsidP="00F94F53">
      <w:pPr>
        <w:pStyle w:val="Chapter4"/>
        <w:tabs>
          <w:tab w:val="clear" w:pos="1702"/>
        </w:tabs>
        <w:ind w:left="851"/>
      </w:pPr>
      <w:r>
        <w:lastRenderedPageBreak/>
        <w:t xml:space="preserve">The main change is </w:t>
      </w:r>
      <w:r w:rsidR="007B3F4C">
        <w:t xml:space="preserve">that </w:t>
      </w:r>
      <w:r>
        <w:t xml:space="preserve">the non-resident owning body definition applies to </w:t>
      </w:r>
      <w:r w:rsidR="007B3F4C">
        <w:t xml:space="preserve">a </w:t>
      </w:r>
      <w:r>
        <w:t>group of non-residents.  Th</w:t>
      </w:r>
      <w:r w:rsidR="007B3F4C">
        <w:t>e non-resident requirement</w:t>
      </w:r>
      <w:r>
        <w:t xml:space="preserve"> is necessary for thin capitalisation but is not sufficient for the purpose of the AIL rules.  Where a group of investors </w:t>
      </w:r>
      <w:r w:rsidR="00D549F0">
        <w:t xml:space="preserve">with a more than 50% share of ownership interests </w:t>
      </w:r>
      <w:r>
        <w:t>act</w:t>
      </w:r>
      <w:r w:rsidR="00CA5E62">
        <w:t xml:space="preserve"> </w:t>
      </w:r>
      <w:r>
        <w:t xml:space="preserve">together to fund a New Zealand </w:t>
      </w:r>
      <w:r w:rsidR="00EE3AF4">
        <w:t xml:space="preserve">borrower </w:t>
      </w:r>
      <w:r>
        <w:t xml:space="preserve">and one or more of those </w:t>
      </w:r>
      <w:r w:rsidR="00EE3AF4">
        <w:t xml:space="preserve">investors </w:t>
      </w:r>
      <w:r>
        <w:t>is a non-resident</w:t>
      </w:r>
      <w:r w:rsidR="00365AFC">
        <w:t>,</w:t>
      </w:r>
      <w:r>
        <w:t xml:space="preserve"> th</w:t>
      </w:r>
      <w:r w:rsidR="00365AFC">
        <w:t>at investor</w:t>
      </w:r>
      <w:r>
        <w:t xml:space="preserve"> should not be able to access the AIL rules even wh</w:t>
      </w:r>
      <w:r w:rsidR="006F6514">
        <w:t>e</w:t>
      </w:r>
      <w:r w:rsidR="00D1229C">
        <w:t>n</w:t>
      </w:r>
      <w:r w:rsidR="006F6514">
        <w:t xml:space="preserve"> one or more of the other</w:t>
      </w:r>
      <w:r>
        <w:t xml:space="preserve"> investors </w:t>
      </w:r>
      <w:r w:rsidR="000C2608">
        <w:t xml:space="preserve">in that group </w:t>
      </w:r>
      <w:r>
        <w:t xml:space="preserve">is a New Zealand resident.  Therefore the restriction </w:t>
      </w:r>
      <w:r w:rsidR="006F6514">
        <w:t>on accessing the AIL rules will</w:t>
      </w:r>
      <w:r>
        <w:t xml:space="preserve"> apply to </w:t>
      </w:r>
      <w:r w:rsidR="00D91E02">
        <w:t>non-res</w:t>
      </w:r>
      <w:r w:rsidR="006F6514">
        <w:t>ident members of a group that i</w:t>
      </w:r>
      <w:r w:rsidR="00D91E02">
        <w:t>s acting</w:t>
      </w:r>
      <w:r w:rsidR="00B20483">
        <w:t xml:space="preserve"> </w:t>
      </w:r>
      <w:r w:rsidR="00CA5E62">
        <w:t>together</w:t>
      </w:r>
      <w:r w:rsidR="00D91E02">
        <w:t xml:space="preserve"> even where </w:t>
      </w:r>
      <w:r w:rsidR="006F6514">
        <w:t>other investors in that group a</w:t>
      </w:r>
      <w:r w:rsidR="00D1229C">
        <w:t>re New Zealand-</w:t>
      </w:r>
      <w:r w:rsidR="00D91E02">
        <w:t>resident.</w:t>
      </w:r>
    </w:p>
    <w:p w:rsidR="005E786B" w:rsidRDefault="005E786B" w:rsidP="00DB2E88"/>
    <w:p w:rsidR="000D7EE3" w:rsidRDefault="000D7EE3" w:rsidP="00DB2E88"/>
    <w:p w:rsidR="00FC1AB2" w:rsidRDefault="00FC1AB2" w:rsidP="002D4986">
      <w:pPr>
        <w:pStyle w:val="Heading1"/>
        <w:rPr>
          <w:lang w:val="en-NZ"/>
        </w:rPr>
      </w:pPr>
      <w:bookmarkStart w:id="29" w:name="_Toc418756718"/>
      <w:r w:rsidRPr="00A466A2">
        <w:rPr>
          <w:lang w:val="en-NZ"/>
        </w:rPr>
        <w:t>Application dates</w:t>
      </w:r>
      <w:bookmarkEnd w:id="29"/>
    </w:p>
    <w:p w:rsidR="00FC1AB2" w:rsidRDefault="00FC1AB2" w:rsidP="00DB2E88"/>
    <w:p w:rsidR="00FC1AB2" w:rsidRDefault="00FC1AB2" w:rsidP="00F94F53">
      <w:pPr>
        <w:pStyle w:val="Chapter4"/>
        <w:tabs>
          <w:tab w:val="clear" w:pos="1702"/>
        </w:tabs>
        <w:ind w:left="851"/>
      </w:pPr>
      <w:r>
        <w:t xml:space="preserve">We </w:t>
      </w:r>
      <w:r w:rsidR="005D36E6">
        <w:t xml:space="preserve">suggest </w:t>
      </w:r>
      <w:r>
        <w:t>that the reforms outlined in this chapter apply to financial arrangements entered into on or after enactment of the legislation.  This is expected to</w:t>
      </w:r>
      <w:r w:rsidR="00D02644">
        <w:t xml:space="preserve"> be in the second half of 2016.</w:t>
      </w:r>
    </w:p>
    <w:p w:rsidR="00FC1AB2" w:rsidRPr="00D02644" w:rsidRDefault="00FC1AB2" w:rsidP="00DB2E88"/>
    <w:p w:rsidR="00FC1AB2" w:rsidRPr="004867C8" w:rsidRDefault="00FC1AB2" w:rsidP="00FC1AB2">
      <w:pPr>
        <w:pStyle w:val="Heading2"/>
        <w:rPr>
          <w:lang w:val="en-NZ"/>
        </w:rPr>
      </w:pPr>
      <w:r>
        <w:rPr>
          <w:lang w:val="en-NZ"/>
        </w:rPr>
        <w:t>Transitional treatment of existing financial arrangements</w:t>
      </w:r>
    </w:p>
    <w:p w:rsidR="00FC1AB2" w:rsidRDefault="00FC1AB2" w:rsidP="00FC1AB2"/>
    <w:p w:rsidR="00FC1AB2" w:rsidRDefault="00FC1AB2" w:rsidP="00F94F53">
      <w:pPr>
        <w:pStyle w:val="Chapter4"/>
        <w:tabs>
          <w:tab w:val="clear" w:pos="1702"/>
        </w:tabs>
        <w:ind w:left="851"/>
      </w:pPr>
      <w:r>
        <w:t>Financial arrangements entered into before the enactment of the legislation will be required to apply the new rules for income year</w:t>
      </w:r>
      <w:r w:rsidR="001A38BA">
        <w:t>s</w:t>
      </w:r>
      <w:r w:rsidR="008B237E">
        <w:t xml:space="preserve"> following enactment</w:t>
      </w:r>
      <w:r>
        <w:t>.</w:t>
      </w:r>
    </w:p>
    <w:p w:rsidR="00FC1AB2" w:rsidRDefault="00FC1AB2" w:rsidP="00DB2E88"/>
    <w:p w:rsidR="00FC1AB2" w:rsidRDefault="00FC1AB2" w:rsidP="00F94F53">
      <w:pPr>
        <w:pStyle w:val="Chapter4"/>
        <w:tabs>
          <w:tab w:val="clear" w:pos="1702"/>
        </w:tabs>
        <w:ind w:left="851"/>
      </w:pPr>
      <w:r>
        <w:t xml:space="preserve">As with the </w:t>
      </w:r>
      <w:r w:rsidR="00135076">
        <w:t>ideas explored</w:t>
      </w:r>
      <w:r w:rsidR="00145614">
        <w:t xml:space="preserve"> in C</w:t>
      </w:r>
      <w:r>
        <w:t>hapter 3, there would be a rule to ensure that prepayments of financing expense</w:t>
      </w:r>
      <w:r w:rsidR="00D1229C">
        <w:t>s</w:t>
      </w:r>
      <w:r>
        <w:t xml:space="preserve"> relating to </w:t>
      </w:r>
      <w:r w:rsidR="008B237E">
        <w:t>income years following enactment</w:t>
      </w:r>
      <w:r>
        <w:t xml:space="preserve"> are subject to NRWT.</w:t>
      </w:r>
    </w:p>
    <w:p w:rsidR="00662F03" w:rsidRPr="00D02644" w:rsidRDefault="00662F03" w:rsidP="00DB2E88">
      <w:pPr>
        <w:rPr>
          <w:lang w:val="en-NZ"/>
        </w:rPr>
      </w:pPr>
    </w:p>
    <w:p w:rsidR="002D5A3C" w:rsidRDefault="002D5A3C" w:rsidP="00DB2E88"/>
    <w:p w:rsidR="002D5A3C" w:rsidRPr="00C43A88" w:rsidRDefault="001D497B" w:rsidP="002D5A3C">
      <w:pPr>
        <w:pBdr>
          <w:top w:val="single" w:sz="4" w:space="10" w:color="auto"/>
          <w:left w:val="single" w:sz="4" w:space="10" w:color="auto"/>
          <w:bottom w:val="single" w:sz="4" w:space="10" w:color="auto"/>
          <w:right w:val="single" w:sz="4" w:space="10" w:color="auto"/>
        </w:pBdr>
        <w:jc w:val="left"/>
        <w:rPr>
          <w:b/>
          <w:bCs/>
          <w:caps/>
        </w:rPr>
      </w:pPr>
      <w:r>
        <w:rPr>
          <w:b/>
          <w:bCs/>
        </w:rPr>
        <w:t>Q</w:t>
      </w:r>
      <w:r w:rsidRPr="00C43A88">
        <w:rPr>
          <w:b/>
          <w:bCs/>
        </w:rPr>
        <w:t>uestions for submitters</w:t>
      </w:r>
    </w:p>
    <w:p w:rsidR="002D5A3C" w:rsidRPr="00FF2B46" w:rsidRDefault="002D5A3C" w:rsidP="002D5A3C">
      <w:pPr>
        <w:pBdr>
          <w:top w:val="single" w:sz="4" w:space="10" w:color="auto"/>
          <w:left w:val="single" w:sz="4" w:space="10" w:color="auto"/>
          <w:bottom w:val="single" w:sz="4" w:space="10" w:color="auto"/>
          <w:right w:val="single" w:sz="4" w:space="10" w:color="auto"/>
        </w:pBdr>
        <w:jc w:val="left"/>
        <w:rPr>
          <w:bCs/>
          <w:caps/>
        </w:rPr>
      </w:pPr>
    </w:p>
    <w:p w:rsidR="002D5A3C" w:rsidRDefault="002D5A3C" w:rsidP="002D5A3C">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4.1</w:t>
      </w:r>
      <w:r>
        <w:tab/>
        <w:t xml:space="preserve">Do you agree with the </w:t>
      </w:r>
      <w:r w:rsidR="00135076">
        <w:t xml:space="preserve">suggestions </w:t>
      </w:r>
      <w:r>
        <w:t>to impose NRWT on back</w:t>
      </w:r>
      <w:r w:rsidR="00137693">
        <w:t>-</w:t>
      </w:r>
      <w:r>
        <w:t>to</w:t>
      </w:r>
      <w:r w:rsidR="00137693">
        <w:t>-</w:t>
      </w:r>
      <w:r>
        <w:t xml:space="preserve">back loans and other </w:t>
      </w:r>
      <w:r w:rsidR="00137693">
        <w:t>multi-party arrangements involving</w:t>
      </w:r>
      <w:r>
        <w:t xml:space="preserve"> associated lenders?</w:t>
      </w:r>
    </w:p>
    <w:p w:rsidR="002D5A3C" w:rsidRDefault="002D5A3C" w:rsidP="002D5A3C">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2D5A3C" w:rsidRDefault="002D5A3C" w:rsidP="002D5A3C">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4.2</w:t>
      </w:r>
      <w:r>
        <w:tab/>
        <w:t xml:space="preserve">What practical issues and difficulties </w:t>
      </w:r>
      <w:r w:rsidR="00783F4D">
        <w:t>d</w:t>
      </w:r>
      <w:r>
        <w:t>o you see with the imposition of NRWT, whether on actual payments or on NRFAI</w:t>
      </w:r>
      <w:r w:rsidR="0034637A">
        <w:t>, in this context</w:t>
      </w:r>
      <w:r>
        <w:t>?</w:t>
      </w:r>
    </w:p>
    <w:p w:rsidR="002D5A3C" w:rsidRDefault="002D5A3C" w:rsidP="002D5A3C">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2D5A3C" w:rsidRDefault="002D5A3C" w:rsidP="002D5A3C">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4.3</w:t>
      </w:r>
      <w:r>
        <w:tab/>
        <w:t>Do you agree that interest paid to a non-resident member of a group of investors acting together (as defined for the thin capitalisation rules) should be subject to NRWT</w:t>
      </w:r>
      <w:r w:rsidR="00137693">
        <w:t>?</w:t>
      </w:r>
    </w:p>
    <w:p w:rsidR="002D5A3C" w:rsidRDefault="002D5A3C" w:rsidP="002D5A3C">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2D5A3C" w:rsidRDefault="002D5A3C" w:rsidP="001D497B">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4.4</w:t>
      </w:r>
      <w:r>
        <w:tab/>
        <w:t xml:space="preserve">Do you agree that the </w:t>
      </w:r>
      <w:r w:rsidR="00135076">
        <w:t xml:space="preserve">changes discussed </w:t>
      </w:r>
      <w:r w:rsidR="00783F4D">
        <w:t xml:space="preserve">in this chapter </w:t>
      </w:r>
      <w:r>
        <w:t xml:space="preserve">should apply on or after the </w:t>
      </w:r>
      <w:r w:rsidR="00137693">
        <w:t xml:space="preserve">year commencing after </w:t>
      </w:r>
      <w:r>
        <w:t xml:space="preserve">enactment of a bill containing </w:t>
      </w:r>
      <w:r w:rsidR="00135076">
        <w:t xml:space="preserve">such </w:t>
      </w:r>
      <w:r>
        <w:t>proposals?</w:t>
      </w:r>
    </w:p>
    <w:p w:rsidR="002D5A3C" w:rsidRDefault="002D5A3C" w:rsidP="002D5A3C">
      <w:pPr>
        <w:jc w:val="left"/>
        <w:rPr>
          <w:b/>
          <w:lang w:val="en-NZ"/>
        </w:rPr>
        <w:sectPr w:rsidR="002D5A3C" w:rsidSect="00D22971">
          <w:footerReference w:type="even" r:id="rId11"/>
          <w:footerReference w:type="default" r:id="rId12"/>
          <w:footerReference w:type="first" r:id="rId13"/>
          <w:type w:val="oddPage"/>
          <w:pgSz w:w="11906" w:h="16838" w:code="9"/>
          <w:pgMar w:top="1134" w:right="1701" w:bottom="1134" w:left="1701" w:header="709" w:footer="425" w:gutter="0"/>
          <w:pgNumType w:start="1"/>
          <w:cols w:space="708"/>
          <w:titlePg/>
          <w:docGrid w:linePitch="360"/>
        </w:sectPr>
      </w:pPr>
      <w:r w:rsidRPr="00AE1C04">
        <w:rPr>
          <w:lang w:val="en-NZ"/>
        </w:rPr>
        <w:br w:type="page"/>
      </w:r>
    </w:p>
    <w:p w:rsidR="00E40EF4" w:rsidRPr="00D26929" w:rsidRDefault="00312170" w:rsidP="001D497B">
      <w:pPr>
        <w:pStyle w:val="Chapterheading"/>
      </w:pPr>
      <w:bookmarkStart w:id="30" w:name="_Toc418756719"/>
      <w:r w:rsidRPr="00AE1C04">
        <w:rPr>
          <w:caps w:val="0"/>
          <w:lang w:val="en-NZ"/>
        </w:rPr>
        <w:lastRenderedPageBreak/>
        <w:t xml:space="preserve">CHAPTER </w:t>
      </w:r>
      <w:r w:rsidR="00AB4474" w:rsidRPr="00AE1C04">
        <w:rPr>
          <w:lang w:val="en-NZ"/>
        </w:rPr>
        <w:t>5</w:t>
      </w:r>
      <w:bookmarkEnd w:id="30"/>
    </w:p>
    <w:p w:rsidR="00E40EF4" w:rsidRPr="00AE1C04" w:rsidRDefault="00E40EF4" w:rsidP="001D497B">
      <w:pPr>
        <w:pStyle w:val="Chapterheading"/>
        <w:rPr>
          <w:lang w:val="en-NZ"/>
        </w:rPr>
      </w:pPr>
    </w:p>
    <w:p w:rsidR="005E786B" w:rsidRPr="002D5A3C" w:rsidRDefault="001D497B" w:rsidP="001D497B">
      <w:pPr>
        <w:pStyle w:val="Chapterheading"/>
        <w:rPr>
          <w:lang w:val="en-NZ"/>
        </w:rPr>
      </w:pPr>
      <w:bookmarkStart w:id="31" w:name="_Toc418756720"/>
      <w:r>
        <w:rPr>
          <w:caps w:val="0"/>
          <w:lang w:val="en-NZ"/>
        </w:rPr>
        <w:t xml:space="preserve">Eligibility for </w:t>
      </w:r>
      <w:r w:rsidR="002B46A5">
        <w:rPr>
          <w:lang w:val="en-NZ"/>
        </w:rPr>
        <w:t>AIL</w:t>
      </w:r>
      <w:bookmarkEnd w:id="31"/>
    </w:p>
    <w:p w:rsidR="00D91E02" w:rsidRDefault="00D91E02" w:rsidP="00D02644"/>
    <w:p w:rsidR="00D02644" w:rsidRPr="00D02644" w:rsidRDefault="00D02644" w:rsidP="00D02644"/>
    <w:p w:rsidR="00D91E02" w:rsidRDefault="00D91E02" w:rsidP="00120C68">
      <w:pPr>
        <w:pStyle w:val="Chapter5"/>
      </w:pPr>
      <w:r>
        <w:t>In order to access the AIL rules a New Zealand borrower must be an approved issuer and mu</w:t>
      </w:r>
      <w:r w:rsidR="0070637D">
        <w:t>st make a payment of NR</w:t>
      </w:r>
      <w:r w:rsidR="009B6D39">
        <w:t>P</w:t>
      </w:r>
      <w:r w:rsidR="0070637D">
        <w:t xml:space="preserve">I </w:t>
      </w:r>
      <w:r w:rsidR="00672E20">
        <w:t xml:space="preserve">to a non-associated person </w:t>
      </w:r>
      <w:r w:rsidR="0070637D">
        <w:t xml:space="preserve">on a registered </w:t>
      </w:r>
      <w:r>
        <w:t>security.</w:t>
      </w:r>
    </w:p>
    <w:p w:rsidR="0070637D" w:rsidRDefault="0070637D" w:rsidP="00FF2B46"/>
    <w:p w:rsidR="0070637D" w:rsidRDefault="0070637D" w:rsidP="00120C68">
      <w:pPr>
        <w:pStyle w:val="Chapter5"/>
      </w:pPr>
      <w:r>
        <w:t>There are currently very few requirements for a person to become an approved is</w:t>
      </w:r>
      <w:r w:rsidR="00EE3AF4">
        <w:t xml:space="preserve">suer </w:t>
      </w:r>
      <w:r>
        <w:t xml:space="preserve">or to register a security.  There is no legislative requirement that an approved issuer cannot register a security that is issued to an associated party.  Instead </w:t>
      </w:r>
      <w:r w:rsidR="00662F03">
        <w:t>interest is</w:t>
      </w:r>
      <w:r>
        <w:t xml:space="preserve"> unable to </w:t>
      </w:r>
      <w:r w:rsidR="00994002">
        <w:t xml:space="preserve">legally </w:t>
      </w:r>
      <w:r>
        <w:t xml:space="preserve">have AIL paid on it when it </w:t>
      </w:r>
      <w:r w:rsidR="00662F03">
        <w:t xml:space="preserve">is paid to </w:t>
      </w:r>
      <w:r>
        <w:t>an associated party</w:t>
      </w:r>
      <w:r w:rsidR="00502B52">
        <w:t>.</w:t>
      </w:r>
    </w:p>
    <w:p w:rsidR="00502B52" w:rsidRDefault="00502B52" w:rsidP="00FF2B46"/>
    <w:p w:rsidR="00502B52" w:rsidRDefault="00502B52" w:rsidP="00120C68">
      <w:pPr>
        <w:pStyle w:val="Chapter5"/>
      </w:pPr>
      <w:r>
        <w:t xml:space="preserve">A consequence of </w:t>
      </w:r>
      <w:r w:rsidR="00404E02">
        <w:t>these</w:t>
      </w:r>
      <w:r>
        <w:t xml:space="preserve"> limited </w:t>
      </w:r>
      <w:r w:rsidR="00245DF8">
        <w:t xml:space="preserve">requirements </w:t>
      </w:r>
      <w:r>
        <w:t xml:space="preserve">is that certain New Zealand </w:t>
      </w:r>
      <w:r w:rsidR="00FE0AD0">
        <w:t xml:space="preserve">taxpayers </w:t>
      </w:r>
      <w:r>
        <w:t xml:space="preserve">borrow from </w:t>
      </w:r>
      <w:r w:rsidR="00994002">
        <w:t>non-resident</w:t>
      </w:r>
      <w:r>
        <w:t xml:space="preserve"> associate</w:t>
      </w:r>
      <w:r w:rsidR="00CA5E62">
        <w:t>s</w:t>
      </w:r>
      <w:r>
        <w:t xml:space="preserve"> and </w:t>
      </w:r>
      <w:r w:rsidR="00662F03">
        <w:t>u</w:t>
      </w:r>
      <w:r w:rsidR="00D549F0">
        <w:t>se</w:t>
      </w:r>
      <w:r>
        <w:t xml:space="preserve"> the AIL </w:t>
      </w:r>
      <w:r w:rsidR="00D549F0">
        <w:t xml:space="preserve">rules </w:t>
      </w:r>
      <w:r>
        <w:t>even though this interest does not meet the legislative requirements.</w:t>
      </w:r>
      <w:r w:rsidR="00994002">
        <w:t xml:space="preserve">  While this approach is not in accordance with current law it can only be prevented after being detected by Inland Revenue.</w:t>
      </w:r>
    </w:p>
    <w:p w:rsidR="006A5E17" w:rsidRDefault="006A5E17" w:rsidP="00FF2B46"/>
    <w:p w:rsidR="001D497B" w:rsidRDefault="001D497B" w:rsidP="00FF2B46"/>
    <w:p w:rsidR="006A5E17" w:rsidRPr="006A5E17" w:rsidRDefault="006A5E17" w:rsidP="00E579AC">
      <w:pPr>
        <w:pStyle w:val="Heading1"/>
      </w:pPr>
      <w:bookmarkStart w:id="32" w:name="_Toc418756721"/>
      <w:r>
        <w:t>Registration requirement</w:t>
      </w:r>
      <w:bookmarkEnd w:id="32"/>
    </w:p>
    <w:p w:rsidR="00994002" w:rsidRDefault="00994002" w:rsidP="00FF2B46"/>
    <w:p w:rsidR="00994002" w:rsidRDefault="00994002" w:rsidP="00120C68">
      <w:pPr>
        <w:pStyle w:val="Chapter5"/>
      </w:pPr>
      <w:r>
        <w:t xml:space="preserve">In order to reduce the level of non-compliance, </w:t>
      </w:r>
      <w:r w:rsidR="00EE3AF4">
        <w:t xml:space="preserve">we </w:t>
      </w:r>
      <w:r w:rsidR="00AA341A">
        <w:t>suggest</w:t>
      </w:r>
      <w:r>
        <w:t xml:space="preserve"> additional </w:t>
      </w:r>
      <w:r w:rsidR="003241FE">
        <w:t>re</w:t>
      </w:r>
      <w:r w:rsidR="00F42308">
        <w:t>quirement</w:t>
      </w:r>
      <w:r w:rsidR="003241FE">
        <w:t xml:space="preserve">s </w:t>
      </w:r>
      <w:r>
        <w:t xml:space="preserve">to the </w:t>
      </w:r>
      <w:r w:rsidR="00243449">
        <w:t>application</w:t>
      </w:r>
      <w:r>
        <w:t xml:space="preserve"> to register a security.  </w:t>
      </w:r>
      <w:r w:rsidR="003241FE">
        <w:t>A</w:t>
      </w:r>
      <w:r>
        <w:t xml:space="preserve"> security </w:t>
      </w:r>
      <w:r w:rsidR="003241FE">
        <w:t xml:space="preserve">will </w:t>
      </w:r>
      <w:r>
        <w:t xml:space="preserve">only be </w:t>
      </w:r>
      <w:r w:rsidR="003241FE">
        <w:t xml:space="preserve">able to be </w:t>
      </w:r>
      <w:r>
        <w:t>registered if</w:t>
      </w:r>
      <w:r w:rsidR="00D53982">
        <w:t>,</w:t>
      </w:r>
      <w:r>
        <w:t xml:space="preserve"> at the time the application to register it is made, </w:t>
      </w:r>
      <w:r w:rsidR="00C362B2">
        <w:t>it is expected that</w:t>
      </w:r>
      <w:r w:rsidR="00D53982">
        <w:t xml:space="preserve"> </w:t>
      </w:r>
      <w:r>
        <w:t xml:space="preserve">more than </w:t>
      </w:r>
      <w:r w:rsidR="006A5E17">
        <w:t>75</w:t>
      </w:r>
      <w:r>
        <w:t>%</w:t>
      </w:r>
      <w:r w:rsidR="00243449">
        <w:t xml:space="preserve"> </w:t>
      </w:r>
      <w:r>
        <w:t xml:space="preserve">of the total borrowing </w:t>
      </w:r>
      <w:r w:rsidR="00137693">
        <w:t>will be</w:t>
      </w:r>
      <w:r>
        <w:t xml:space="preserve"> from </w:t>
      </w:r>
      <w:r w:rsidR="00243449">
        <w:t xml:space="preserve">non-associated persons who are </w:t>
      </w:r>
      <w:r>
        <w:t>one or more of:</w:t>
      </w:r>
    </w:p>
    <w:p w:rsidR="001D497B" w:rsidRDefault="001D497B" w:rsidP="00FF2B46"/>
    <w:p w:rsidR="00994002" w:rsidRDefault="00120C68" w:rsidP="00AA70EB">
      <w:pPr>
        <w:pStyle w:val="Bullets"/>
      </w:pPr>
      <w:r>
        <w:t>a</w:t>
      </w:r>
      <w:r w:rsidR="00994002">
        <w:t xml:space="preserve"> financial institution in the business of lending money to the public</w:t>
      </w:r>
      <w:r w:rsidR="00D53982">
        <w:t>;</w:t>
      </w:r>
      <w:r w:rsidR="00C362B2">
        <w:t xml:space="preserve"> or</w:t>
      </w:r>
    </w:p>
    <w:p w:rsidR="00CF7C43" w:rsidRDefault="00994002" w:rsidP="00AA70EB">
      <w:pPr>
        <w:pStyle w:val="Bullets"/>
        <w:spacing w:after="0"/>
      </w:pPr>
      <w:r>
        <w:t>10 or more persons who are not associated with each other.</w:t>
      </w:r>
    </w:p>
    <w:p w:rsidR="00994002" w:rsidRDefault="00994002" w:rsidP="00FF2B46"/>
    <w:p w:rsidR="00FE0AD0" w:rsidRDefault="003241FE" w:rsidP="00120C68">
      <w:pPr>
        <w:pStyle w:val="Chapter5"/>
      </w:pPr>
      <w:r>
        <w:t>Approved issuers that are a financial institution in the business of lending money to the public will not be required to meet this test and will be able to continue to register securities as they do currently.</w:t>
      </w:r>
    </w:p>
    <w:p w:rsidR="003241FE" w:rsidRDefault="003241FE" w:rsidP="00FF2B46"/>
    <w:p w:rsidR="002D3893" w:rsidRDefault="003241FE" w:rsidP="00120C68">
      <w:pPr>
        <w:pStyle w:val="Chapter5"/>
      </w:pPr>
      <w:r>
        <w:t xml:space="preserve">For the purpose of these tests it is </w:t>
      </w:r>
      <w:r w:rsidR="00AA341A">
        <w:t xml:space="preserve">suggested </w:t>
      </w:r>
      <w:r>
        <w:t>that</w:t>
      </w:r>
      <w:r w:rsidR="002D3893">
        <w:t>:</w:t>
      </w:r>
    </w:p>
    <w:p w:rsidR="002D3893" w:rsidRDefault="002D3893" w:rsidP="00FF2B46"/>
    <w:p w:rsidR="002D3893" w:rsidRDefault="002D3893" w:rsidP="00AA70EB">
      <w:pPr>
        <w:pStyle w:val="Bullets"/>
      </w:pPr>
      <w:r>
        <w:t>a member of a registered banking group would be treated as in the business of lending money to the public;</w:t>
      </w:r>
      <w:r w:rsidR="00C362B2">
        <w:t xml:space="preserve"> and</w:t>
      </w:r>
    </w:p>
    <w:p w:rsidR="003241FE" w:rsidRDefault="002D3893" w:rsidP="00AA70EB">
      <w:pPr>
        <w:pStyle w:val="Bullets"/>
        <w:spacing w:after="0"/>
      </w:pPr>
      <w:r>
        <w:t xml:space="preserve">any other </w:t>
      </w:r>
      <w:r w:rsidR="003241FE">
        <w:t>financial institution will be in the business of lending money to the public if they, or a group they are a member of, have outstanding lending to at least 100 persons.</w:t>
      </w:r>
    </w:p>
    <w:p w:rsidR="00FE0AD0" w:rsidRDefault="00FE0AD0" w:rsidP="00FF2B46"/>
    <w:p w:rsidR="00B3216E" w:rsidRDefault="003241FE" w:rsidP="00120C68">
      <w:pPr>
        <w:pStyle w:val="Chapter5"/>
      </w:pPr>
      <w:r>
        <w:t xml:space="preserve">We anticipate that these criteria will encompass the majority of current non-resident lending by non-associated persons.  </w:t>
      </w:r>
      <w:r w:rsidR="002D3893">
        <w:t xml:space="preserve">However, there may be other situations where it is demonstrably clear from the nature of the parties or the way or market in which funds are raised that there will be no association between </w:t>
      </w:r>
      <w:r w:rsidR="00C362B2">
        <w:t xml:space="preserve">the </w:t>
      </w:r>
      <w:r w:rsidR="002D3893">
        <w:t xml:space="preserve">New Zealand borrower and foreign lender.  </w:t>
      </w:r>
      <w:r w:rsidR="00CF7C43">
        <w:t xml:space="preserve">For example, private </w:t>
      </w:r>
      <w:r w:rsidR="00CF7C43">
        <w:lastRenderedPageBreak/>
        <w:t>placements in the international financial markets are transactions which could automatically qualify for AIL registration.</w:t>
      </w:r>
    </w:p>
    <w:p w:rsidR="00B3216E" w:rsidRDefault="00B3216E" w:rsidP="00FF2B46"/>
    <w:p w:rsidR="00994002" w:rsidRDefault="00B3216E" w:rsidP="00120C68">
      <w:pPr>
        <w:pStyle w:val="Chapter5"/>
      </w:pPr>
      <w:r>
        <w:t xml:space="preserve">We invite submissions </w:t>
      </w:r>
      <w:r w:rsidR="00CF7C43">
        <w:t xml:space="preserve">on how to frame criteria which would qualify a security for AIL registration in addition to those set out above.  We also invite submissions </w:t>
      </w:r>
      <w:r>
        <w:t xml:space="preserve">from any parties who consider they would be unduly affected by these </w:t>
      </w:r>
      <w:r w:rsidR="00135076">
        <w:t>suggested changes</w:t>
      </w:r>
      <w:r>
        <w:t xml:space="preserve">.  Where this is the case we also invite submissions on what </w:t>
      </w:r>
      <w:r w:rsidR="005978FC">
        <w:t xml:space="preserve">easily verifiable </w:t>
      </w:r>
      <w:r>
        <w:t xml:space="preserve">information may be available to satisfy the Commissioner that the </w:t>
      </w:r>
      <w:r w:rsidR="005978FC">
        <w:t>issuer of the security</w:t>
      </w:r>
      <w:r>
        <w:t xml:space="preserve"> is not associated with the </w:t>
      </w:r>
      <w:r w:rsidR="005978FC">
        <w:t>likely holder(s)</w:t>
      </w:r>
      <w:r>
        <w:t>.</w:t>
      </w:r>
    </w:p>
    <w:p w:rsidR="00243449" w:rsidRDefault="00243449" w:rsidP="00FF2B46"/>
    <w:p w:rsidR="00243449" w:rsidRDefault="00135076" w:rsidP="00120C68">
      <w:pPr>
        <w:pStyle w:val="Chapter5"/>
      </w:pPr>
      <w:r>
        <w:t xml:space="preserve">We suggest that this </w:t>
      </w:r>
      <w:r w:rsidR="00243449">
        <w:t xml:space="preserve">would </w:t>
      </w:r>
      <w:r w:rsidR="00CA5E62">
        <w:t xml:space="preserve">initially </w:t>
      </w:r>
      <w:r w:rsidR="00243449">
        <w:t xml:space="preserve">only apply to securities </w:t>
      </w:r>
      <w:r w:rsidR="00F42308">
        <w:t xml:space="preserve">registered </w:t>
      </w:r>
      <w:r w:rsidR="00243449">
        <w:t xml:space="preserve">after the </w:t>
      </w:r>
      <w:r>
        <w:t xml:space="preserve">suggested </w:t>
      </w:r>
      <w:r w:rsidR="00D549F0">
        <w:t>application date and would not</w:t>
      </w:r>
      <w:r w:rsidR="00243449">
        <w:t xml:space="preserve"> </w:t>
      </w:r>
      <w:r w:rsidR="006A5E17">
        <w:t>affe</w:t>
      </w:r>
      <w:r w:rsidR="00E65233">
        <w:t>ct currently registered securities.</w:t>
      </w:r>
    </w:p>
    <w:p w:rsidR="00CA5E62" w:rsidRDefault="00CA5E62" w:rsidP="00FF2B46"/>
    <w:p w:rsidR="00CA5E62" w:rsidRDefault="006A5E17" w:rsidP="00120C68">
      <w:pPr>
        <w:pStyle w:val="Chapter5"/>
      </w:pPr>
      <w:r>
        <w:t>Issuers of s</w:t>
      </w:r>
      <w:r w:rsidR="00CA5E62">
        <w:t xml:space="preserve">ecurities that were registered </w:t>
      </w:r>
      <w:r w:rsidR="00F42308">
        <w:t xml:space="preserve">before </w:t>
      </w:r>
      <w:r w:rsidR="00AA341A">
        <w:t xml:space="preserve">the </w:t>
      </w:r>
      <w:r w:rsidR="00135076">
        <w:t xml:space="preserve">suggested </w:t>
      </w:r>
      <w:r w:rsidR="00C665A7">
        <w:t xml:space="preserve">application date </w:t>
      </w:r>
      <w:r w:rsidR="00CA5E62">
        <w:t xml:space="preserve">would have to reapply </w:t>
      </w:r>
      <w:r w:rsidR="00425D93">
        <w:t xml:space="preserve">under the new requirements </w:t>
      </w:r>
      <w:r w:rsidR="00CA5E62">
        <w:t xml:space="preserve">within </w:t>
      </w:r>
      <w:r>
        <w:t>two years of the enactment date</w:t>
      </w:r>
      <w:r w:rsidR="00175B6D">
        <w:t>.  If they do not reapply,</w:t>
      </w:r>
      <w:r w:rsidR="00F94F53">
        <w:t xml:space="preserve"> </w:t>
      </w:r>
      <w:r w:rsidR="00175B6D">
        <w:t xml:space="preserve">or do not meet the criteria, </w:t>
      </w:r>
      <w:r>
        <w:t>the</w:t>
      </w:r>
      <w:r w:rsidR="00CA5E62">
        <w:t xml:space="preserve"> registered s</w:t>
      </w:r>
      <w:r>
        <w:t>ecurity status would be lost</w:t>
      </w:r>
      <w:r w:rsidR="005978FC">
        <w:t xml:space="preserve"> and NRWT would become payable</w:t>
      </w:r>
      <w:r w:rsidR="001F3F51">
        <w:t xml:space="preserve"> on interest after that date</w:t>
      </w:r>
      <w:r>
        <w:t>.</w:t>
      </w:r>
    </w:p>
    <w:p w:rsidR="002D5A3C" w:rsidRDefault="002D5A3C" w:rsidP="00FF2B46"/>
    <w:p w:rsidR="001D497B" w:rsidRDefault="001D497B" w:rsidP="00FF2B46"/>
    <w:p w:rsidR="002D5A3C" w:rsidRPr="002D5A3C" w:rsidRDefault="002D5A3C" w:rsidP="00E579AC">
      <w:pPr>
        <w:pStyle w:val="Heading1"/>
      </w:pPr>
      <w:bookmarkStart w:id="33" w:name="_Toc418756722"/>
      <w:r>
        <w:t xml:space="preserve">AIL </w:t>
      </w:r>
      <w:r w:rsidR="00137693">
        <w:t>r</w:t>
      </w:r>
      <w:r>
        <w:t>eturn</w:t>
      </w:r>
      <w:bookmarkEnd w:id="33"/>
    </w:p>
    <w:p w:rsidR="006A5E17" w:rsidRDefault="006A5E17" w:rsidP="00FF2B46"/>
    <w:p w:rsidR="006A5E17" w:rsidRDefault="002D5A3C" w:rsidP="00120C68">
      <w:pPr>
        <w:pStyle w:val="Chapter5"/>
      </w:pPr>
      <w:r>
        <w:t xml:space="preserve">Currently the AIL return </w:t>
      </w:r>
      <w:r w:rsidR="00C665A7">
        <w:t xml:space="preserve">(IR 67A) </w:t>
      </w:r>
      <w:r>
        <w:t xml:space="preserve">does not identify who the payee is of the interest subject to AIL.  In order to improve the ability to audit for AIL, or identify cases for audit, it </w:t>
      </w:r>
      <w:r w:rsidR="004B5BD6">
        <w:t>would be beneficial if</w:t>
      </w:r>
      <w:r>
        <w:t xml:space="preserve"> the return identif</w:t>
      </w:r>
      <w:r w:rsidR="004B5BD6">
        <w:t>ied</w:t>
      </w:r>
      <w:r>
        <w:t xml:space="preserve"> the payee, as is currently required for </w:t>
      </w:r>
      <w:r w:rsidR="000F6CFA">
        <w:t xml:space="preserve">the </w:t>
      </w:r>
      <w:r>
        <w:t>NRWT</w:t>
      </w:r>
      <w:r w:rsidR="000F6CFA">
        <w:t xml:space="preserve"> annual reconciliation (IR 67S)</w:t>
      </w:r>
      <w:r w:rsidR="001A318D">
        <w:t>.  I</w:t>
      </w:r>
      <w:r w:rsidR="004B5BD6">
        <w:t xml:space="preserve">nland Revenue’s </w:t>
      </w:r>
      <w:r w:rsidR="00601892">
        <w:t xml:space="preserve">current </w:t>
      </w:r>
      <w:r w:rsidR="004B5BD6">
        <w:t xml:space="preserve">computer system limitations prevent this from being cost effective at </w:t>
      </w:r>
      <w:r w:rsidR="00292734">
        <w:t>present</w:t>
      </w:r>
      <w:r w:rsidR="00601892">
        <w:t>, however, o</w:t>
      </w:r>
      <w:r w:rsidR="004B5BD6">
        <w:t xml:space="preserve">fficials </w:t>
      </w:r>
      <w:r w:rsidR="0034637A">
        <w:t xml:space="preserve">will </w:t>
      </w:r>
      <w:r w:rsidR="004B5BD6">
        <w:t>reconsider this in the future.</w:t>
      </w:r>
    </w:p>
    <w:p w:rsidR="00A307A8" w:rsidRDefault="00A307A8" w:rsidP="00A307A8"/>
    <w:p w:rsidR="001D497B" w:rsidRDefault="001D497B" w:rsidP="00A307A8"/>
    <w:p w:rsidR="004C11A9" w:rsidRPr="00C43A88" w:rsidRDefault="001D497B" w:rsidP="004C11A9">
      <w:pPr>
        <w:pBdr>
          <w:top w:val="single" w:sz="4" w:space="10" w:color="auto"/>
          <w:left w:val="single" w:sz="4" w:space="10" w:color="auto"/>
          <w:bottom w:val="single" w:sz="4" w:space="10" w:color="auto"/>
          <w:right w:val="single" w:sz="4" w:space="10" w:color="auto"/>
        </w:pBdr>
        <w:jc w:val="left"/>
        <w:rPr>
          <w:b/>
          <w:bCs/>
          <w:caps/>
        </w:rPr>
      </w:pPr>
      <w:r>
        <w:rPr>
          <w:b/>
          <w:bCs/>
        </w:rPr>
        <w:t>Q</w:t>
      </w:r>
      <w:r w:rsidRPr="00C43A88">
        <w:rPr>
          <w:b/>
          <w:bCs/>
        </w:rPr>
        <w:t>uestions for submitters</w:t>
      </w:r>
    </w:p>
    <w:p w:rsidR="004C11A9" w:rsidRPr="00FF2B46" w:rsidRDefault="004C11A9" w:rsidP="004C11A9">
      <w:pPr>
        <w:pBdr>
          <w:top w:val="single" w:sz="4" w:space="10" w:color="auto"/>
          <w:left w:val="single" w:sz="4" w:space="10" w:color="auto"/>
          <w:bottom w:val="single" w:sz="4" w:space="10" w:color="auto"/>
          <w:right w:val="single" w:sz="4" w:space="10" w:color="auto"/>
        </w:pBdr>
        <w:jc w:val="left"/>
        <w:rPr>
          <w:bCs/>
          <w:caps/>
        </w:rPr>
      </w:pPr>
    </w:p>
    <w:p w:rsidR="00D549F0" w:rsidRDefault="00052AA3"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5</w:t>
      </w:r>
      <w:r w:rsidR="00C50179">
        <w:t>.</w:t>
      </w:r>
      <w:r>
        <w:t>1</w:t>
      </w:r>
      <w:r w:rsidR="00E97896">
        <w:tab/>
      </w:r>
      <w:r w:rsidR="002D5A3C">
        <w:t>Is 75</w:t>
      </w:r>
      <w:r w:rsidR="00D549F0">
        <w:t>% an appropriate threshold for registered security applications?  If</w:t>
      </w:r>
      <w:r w:rsidR="00292734">
        <w:t xml:space="preserve"> you consider</w:t>
      </w:r>
      <w:r w:rsidR="00D549F0">
        <w:t xml:space="preserve"> a different threshold is appropriate how would you justify this?</w:t>
      </w:r>
    </w:p>
    <w:p w:rsidR="00A82E1A" w:rsidRDefault="00A82E1A"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E97896" w:rsidRDefault="007E20BA"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5</w:t>
      </w:r>
      <w:r w:rsidR="00D549F0">
        <w:t>.</w:t>
      </w:r>
      <w:r w:rsidR="00052AA3">
        <w:t>2</w:t>
      </w:r>
      <w:r w:rsidR="00D549F0">
        <w:tab/>
      </w:r>
      <w:r w:rsidR="00E97896">
        <w:t xml:space="preserve">Are there any other groups of security holders </w:t>
      </w:r>
      <w:r w:rsidR="005978FC">
        <w:t xml:space="preserve">or issuers </w:t>
      </w:r>
      <w:r w:rsidR="00E97896">
        <w:t xml:space="preserve">you consider should automatically qualify for holding </w:t>
      </w:r>
      <w:r w:rsidR="005978FC">
        <w:t xml:space="preserve">or issuing </w:t>
      </w:r>
      <w:r w:rsidR="00E97896">
        <w:t>registered securities?</w:t>
      </w:r>
    </w:p>
    <w:p w:rsidR="00A82E1A" w:rsidRDefault="00A82E1A"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5978FC" w:rsidRDefault="005978FC"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5.3</w:t>
      </w:r>
      <w:r>
        <w:tab/>
        <w:t>What criteria could be used to enable private placements in the international financial markets to qualify for registration</w:t>
      </w:r>
      <w:r w:rsidR="001F3F51">
        <w:t>?</w:t>
      </w:r>
    </w:p>
    <w:p w:rsidR="00A82E1A" w:rsidRDefault="00A82E1A"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FE05DA" w:rsidRDefault="00FE05DA"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5.3</w:t>
      </w:r>
      <w:r>
        <w:tab/>
        <w:t>Are there any other robust tests which could be used to determine that a security will not be issued to persons associated with a New Zealand borrower</w:t>
      </w:r>
      <w:r w:rsidR="001F3F51">
        <w:t>?</w:t>
      </w:r>
    </w:p>
    <w:p w:rsidR="00A82E1A" w:rsidRDefault="00A82E1A"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4C11A9" w:rsidRDefault="00052AA3" w:rsidP="00A82E1A">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5.</w:t>
      </w:r>
      <w:r w:rsidR="00FE05DA">
        <w:t>4</w:t>
      </w:r>
      <w:r w:rsidR="002D5A3C">
        <w:tab/>
        <w:t>Is two</w:t>
      </w:r>
      <w:r w:rsidR="001B5A1D">
        <w:t xml:space="preserve"> years an appropriate period to allow existing registered securities to re-register under the new application process?</w:t>
      </w:r>
    </w:p>
    <w:p w:rsidR="002B19D6" w:rsidRPr="00AE1C04" w:rsidRDefault="002B19D6" w:rsidP="001D497B">
      <w:pPr>
        <w:pStyle w:val="Chapterheading"/>
        <w:rPr>
          <w:lang w:val="en-NZ"/>
        </w:rPr>
      </w:pPr>
      <w:r w:rsidRPr="00AE1C04">
        <w:rPr>
          <w:lang w:val="en-NZ"/>
        </w:rPr>
        <w:br w:type="page"/>
      </w:r>
      <w:bookmarkStart w:id="34" w:name="_Toc418756723"/>
      <w:r w:rsidR="00312170" w:rsidRPr="00AE1C04">
        <w:rPr>
          <w:caps w:val="0"/>
          <w:lang w:val="en-NZ"/>
        </w:rPr>
        <w:lastRenderedPageBreak/>
        <w:t xml:space="preserve">CHAPTER </w:t>
      </w:r>
      <w:r w:rsidR="00052AA3">
        <w:rPr>
          <w:lang w:val="en-NZ"/>
        </w:rPr>
        <w:t>6</w:t>
      </w:r>
      <w:bookmarkEnd w:id="34"/>
    </w:p>
    <w:p w:rsidR="002B19D6" w:rsidRPr="00AE1C04" w:rsidRDefault="002B19D6" w:rsidP="001D497B">
      <w:pPr>
        <w:pStyle w:val="Chapterheading"/>
        <w:rPr>
          <w:lang w:val="en-NZ"/>
        </w:rPr>
      </w:pPr>
    </w:p>
    <w:p w:rsidR="002B19D6" w:rsidRPr="00AE1C04" w:rsidRDefault="001D497B" w:rsidP="001D497B">
      <w:pPr>
        <w:pStyle w:val="Chapterheading"/>
        <w:rPr>
          <w:lang w:val="en-NZ"/>
        </w:rPr>
      </w:pPr>
      <w:bookmarkStart w:id="35" w:name="_Toc418756724"/>
      <w:r>
        <w:rPr>
          <w:caps w:val="0"/>
          <w:lang w:val="en-NZ"/>
        </w:rPr>
        <w:t>How branches interact with the NRWT rules</w:t>
      </w:r>
      <w:bookmarkEnd w:id="35"/>
    </w:p>
    <w:p w:rsidR="002B19D6" w:rsidRPr="00AE1C04" w:rsidRDefault="002B19D6" w:rsidP="00FF2B46"/>
    <w:p w:rsidR="002B19D6" w:rsidRPr="004510BF" w:rsidRDefault="002B19D6" w:rsidP="00FF2B46"/>
    <w:p w:rsidR="002B19D6" w:rsidRPr="00AE1C04" w:rsidRDefault="0016427D" w:rsidP="00120C68">
      <w:pPr>
        <w:pStyle w:val="Chapter6"/>
      </w:pPr>
      <w:r>
        <w:t xml:space="preserve">The legislation currently has exemptions </w:t>
      </w:r>
      <w:r w:rsidR="00EE3AF4">
        <w:t>from NR</w:t>
      </w:r>
      <w:r w:rsidR="009B6D39">
        <w:t>P</w:t>
      </w:r>
      <w:r w:rsidR="00EE3AF4">
        <w:t xml:space="preserve">I </w:t>
      </w:r>
      <w:r>
        <w:t>for i</w:t>
      </w:r>
      <w:r w:rsidR="00056826">
        <w:t xml:space="preserve">nterest payments that are made by </w:t>
      </w:r>
      <w:r>
        <w:t xml:space="preserve">foreign branches of New Zealand companies </w:t>
      </w:r>
      <w:r w:rsidR="00EE3AF4">
        <w:t>or</w:t>
      </w:r>
      <w:r w:rsidR="00056826">
        <w:t xml:space="preserve"> are made to </w:t>
      </w:r>
      <w:r>
        <w:t>foreign companies</w:t>
      </w:r>
      <w:r w:rsidR="00056826">
        <w:t xml:space="preserve"> with New Zealand branches.  B</w:t>
      </w:r>
      <w:r>
        <w:t xml:space="preserve">oth </w:t>
      </w:r>
      <w:r w:rsidR="00056826">
        <w:t xml:space="preserve">exemptions </w:t>
      </w:r>
      <w:r>
        <w:t xml:space="preserve">are </w:t>
      </w:r>
      <w:r w:rsidR="00056826">
        <w:t>so w</w:t>
      </w:r>
      <w:r>
        <w:t xml:space="preserve">ide in scope that they </w:t>
      </w:r>
      <w:r w:rsidR="00EE3AF4">
        <w:t xml:space="preserve">currently </w:t>
      </w:r>
      <w:r>
        <w:t>exempt certain interest payments that are not consistent with the policy intent</w:t>
      </w:r>
      <w:r w:rsidR="00991A49">
        <w:t xml:space="preserve"> for the taxation of New Zealand</w:t>
      </w:r>
      <w:r w:rsidR="00C362B2">
        <w:t>-</w:t>
      </w:r>
      <w:r w:rsidR="00991A49">
        <w:t>source</w:t>
      </w:r>
      <w:r w:rsidR="00C362B2">
        <w:t>d</w:t>
      </w:r>
      <w:r w:rsidR="00991A49">
        <w:t xml:space="preserve"> income earned by non-residents</w:t>
      </w:r>
      <w:r>
        <w:t>.</w:t>
      </w:r>
    </w:p>
    <w:p w:rsidR="002B19D6" w:rsidRDefault="002B19D6" w:rsidP="00FF2B46"/>
    <w:p w:rsidR="001D497B" w:rsidRPr="00AE1C04" w:rsidRDefault="001D497B" w:rsidP="00FF2B46"/>
    <w:p w:rsidR="00D549F0" w:rsidRDefault="00D549F0" w:rsidP="00D549F0">
      <w:pPr>
        <w:pStyle w:val="Heading1"/>
        <w:rPr>
          <w:lang w:val="en-NZ"/>
        </w:rPr>
      </w:pPr>
      <w:bookmarkStart w:id="36" w:name="_Toc418756725"/>
      <w:r>
        <w:rPr>
          <w:lang w:val="en-NZ"/>
        </w:rPr>
        <w:t>Offshore branch exemption</w:t>
      </w:r>
      <w:bookmarkEnd w:id="36"/>
    </w:p>
    <w:p w:rsidR="00704E0E" w:rsidRPr="00704E0E" w:rsidRDefault="00704E0E" w:rsidP="005058C9">
      <w:pPr>
        <w:rPr>
          <w:lang w:val="en-NZ"/>
        </w:rPr>
      </w:pPr>
    </w:p>
    <w:p w:rsidR="00704E0E" w:rsidRPr="005058C9" w:rsidRDefault="00704E0E" w:rsidP="00F94F53">
      <w:pPr>
        <w:pStyle w:val="Heading2"/>
        <w:rPr>
          <w:lang w:val="en-NZ"/>
        </w:rPr>
      </w:pPr>
      <w:r>
        <w:rPr>
          <w:lang w:val="en-NZ"/>
        </w:rPr>
        <w:t>Issue</w:t>
      </w:r>
    </w:p>
    <w:p w:rsidR="00D549F0" w:rsidRPr="00AE1C04" w:rsidRDefault="00D549F0" w:rsidP="00FF2B46"/>
    <w:p w:rsidR="00676286" w:rsidRDefault="00EE3AF4" w:rsidP="00120C68">
      <w:pPr>
        <w:pStyle w:val="Chapter6"/>
      </w:pPr>
      <w:r>
        <w:t>NR</w:t>
      </w:r>
      <w:r w:rsidR="009B6D39">
        <w:t>P</w:t>
      </w:r>
      <w:r>
        <w:t xml:space="preserve">I </w:t>
      </w:r>
      <w:r w:rsidR="00D549F0">
        <w:t xml:space="preserve">includes </w:t>
      </w:r>
      <w:r>
        <w:t xml:space="preserve">only </w:t>
      </w:r>
      <w:r w:rsidR="002436DF">
        <w:t>income that has</w:t>
      </w:r>
      <w:r w:rsidR="00D549F0">
        <w:t xml:space="preserve"> a New Zealand source.  One of the exclusions from having a New Zealan</w:t>
      </w:r>
      <w:r w:rsidR="0034637A">
        <w:t xml:space="preserve">d source is </w:t>
      </w:r>
      <w:r w:rsidR="00AA341A">
        <w:t>the offshore branch exemption</w:t>
      </w:r>
      <w:r w:rsidR="001A318D">
        <w:t>.  T</w:t>
      </w:r>
      <w:r w:rsidR="00AA341A">
        <w:t xml:space="preserve">his applies </w:t>
      </w:r>
      <w:r w:rsidR="0034637A">
        <w:t>where the interest</w:t>
      </w:r>
      <w:r w:rsidR="00D549F0">
        <w:t xml:space="preserve"> is derived from money lent </w:t>
      </w:r>
      <w:r w:rsidR="00EB2246">
        <w:t>outside New Zealand</w:t>
      </w:r>
      <w:r w:rsidR="00D549F0">
        <w:t xml:space="preserve"> to a New Zealand resident that uses </w:t>
      </w:r>
      <w:r w:rsidR="00AA341A">
        <w:t xml:space="preserve">that </w:t>
      </w:r>
      <w:r w:rsidR="00D549F0">
        <w:t xml:space="preserve">money for the purposes of a business </w:t>
      </w:r>
      <w:r w:rsidR="00783F4D">
        <w:t>it</w:t>
      </w:r>
      <w:r w:rsidR="00D549F0">
        <w:t xml:space="preserve"> carr</w:t>
      </w:r>
      <w:r w:rsidR="00783F4D">
        <w:t>ies</w:t>
      </w:r>
      <w:r w:rsidR="00D549F0">
        <w:t xml:space="preserve"> on through a fixed establishment </w:t>
      </w:r>
      <w:r w:rsidR="00601892">
        <w:t>offshore</w:t>
      </w:r>
      <w:r w:rsidR="00D02644">
        <w:t>.</w:t>
      </w:r>
    </w:p>
    <w:p w:rsidR="00D549F0" w:rsidRDefault="00D549F0" w:rsidP="00FF2B46"/>
    <w:p w:rsidR="00D549F0" w:rsidRDefault="00D549F0" w:rsidP="00120C68">
      <w:pPr>
        <w:pStyle w:val="Chapter6"/>
      </w:pPr>
      <w:r>
        <w:t>Th</w:t>
      </w:r>
      <w:r w:rsidR="00FE05DA">
        <w:t xml:space="preserve">is </w:t>
      </w:r>
      <w:r>
        <w:t xml:space="preserve">exemption is </w:t>
      </w:r>
      <w:r w:rsidR="00FE05DA">
        <w:t>intended to apply to</w:t>
      </w:r>
      <w:r>
        <w:t xml:space="preserve"> a New Zealand resident operating an active business through a branch in another country.  If that offshore branch borrow</w:t>
      </w:r>
      <w:r w:rsidR="00D274AB">
        <w:t>s</w:t>
      </w:r>
      <w:r>
        <w:t xml:space="preserve"> money to fund </w:t>
      </w:r>
      <w:r w:rsidR="00D274AB">
        <w:t>its</w:t>
      </w:r>
      <w:r>
        <w:t xml:space="preserve"> offshore operations the interest on this funding should not be subject to NRWT.  This treatment ensures that the offshore branch of a New Zealand company does not have to pay NRWT when a foreign incorporated </w:t>
      </w:r>
      <w:r w:rsidR="00FE05DA">
        <w:t>subsidiary</w:t>
      </w:r>
      <w:r>
        <w:t xml:space="preserve"> borrowing for an equivalent business would not have to.</w:t>
      </w:r>
      <w:r w:rsidR="00F94F53">
        <w:t xml:space="preserve">  This is shown in figure 1.</w:t>
      </w:r>
    </w:p>
    <w:p w:rsidR="00F94F53" w:rsidRDefault="00F94F53" w:rsidP="00FF2B46"/>
    <w:p w:rsidR="0082020C" w:rsidRPr="00B5090C" w:rsidRDefault="00F05B25" w:rsidP="00B5090C">
      <w:pPr>
        <w:ind w:left="851"/>
        <w:rPr>
          <w:i/>
        </w:rPr>
      </w:pPr>
      <w:r w:rsidRPr="00B5090C">
        <w:rPr>
          <w:i/>
        </w:rPr>
        <w:t>Figure 1</w:t>
      </w:r>
      <w:r w:rsidR="00D74EC6" w:rsidRPr="00B5090C">
        <w:rPr>
          <w:i/>
        </w:rPr>
        <w:t>:  Offshore branch e</w:t>
      </w:r>
      <w:r w:rsidR="00F04F73" w:rsidRPr="00B5090C">
        <w:rPr>
          <w:i/>
        </w:rPr>
        <w:t>xemption</w:t>
      </w:r>
    </w:p>
    <w:p w:rsidR="0082020C" w:rsidRDefault="00B5090C" w:rsidP="00B5090C">
      <w:pPr>
        <w:pStyle w:val="ListParagraph"/>
        <w:jc w:val="center"/>
      </w:pPr>
      <w:r>
        <w:rPr>
          <w:noProof/>
          <w:lang w:val="en-NZ" w:eastAsia="en-NZ"/>
        </w:rPr>
        <w:drawing>
          <wp:inline distT="0" distB="0" distL="0" distR="0" wp14:anchorId="4DC975C1" wp14:editId="44B75F14">
            <wp:extent cx="41719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2914650"/>
                    </a:xfrm>
                    <a:prstGeom prst="rect">
                      <a:avLst/>
                    </a:prstGeom>
                    <a:noFill/>
                    <a:ln>
                      <a:noFill/>
                    </a:ln>
                  </pic:spPr>
                </pic:pic>
              </a:graphicData>
            </a:graphic>
          </wp:inline>
        </w:drawing>
      </w:r>
    </w:p>
    <w:p w:rsidR="000D7EE3" w:rsidRDefault="000D7EE3">
      <w:pPr>
        <w:jc w:val="left"/>
        <w:rPr>
          <w:lang w:val="en-NZ"/>
        </w:rPr>
      </w:pPr>
      <w:r>
        <w:br w:type="page"/>
      </w:r>
    </w:p>
    <w:p w:rsidR="00D549F0" w:rsidRDefault="00D549F0" w:rsidP="00120C68">
      <w:pPr>
        <w:pStyle w:val="Chapter6"/>
      </w:pPr>
      <w:r>
        <w:lastRenderedPageBreak/>
        <w:t xml:space="preserve">However, </w:t>
      </w:r>
      <w:r w:rsidR="00676286">
        <w:t>t</w:t>
      </w:r>
      <w:r w:rsidR="00D274AB">
        <w:t>his e</w:t>
      </w:r>
      <w:r>
        <w:t xml:space="preserve">xemption also </w:t>
      </w:r>
      <w:r w:rsidR="00D274AB">
        <w:t xml:space="preserve">applies </w:t>
      </w:r>
      <w:r>
        <w:t xml:space="preserve">where a New Zealand company sets up an offshore branch which borrows money for the purpose of providing funding to </w:t>
      </w:r>
      <w:r w:rsidR="00D274AB">
        <w:t>New Zealand borrowers, who may be related or unrelated to the New Zealand company</w:t>
      </w:r>
      <w:r>
        <w:t>.</w:t>
      </w:r>
    </w:p>
    <w:p w:rsidR="00D549F0" w:rsidRDefault="00D549F0" w:rsidP="00FF2B46"/>
    <w:p w:rsidR="00D549F0" w:rsidRDefault="00D549F0" w:rsidP="00120C68">
      <w:pPr>
        <w:pStyle w:val="Chapter6"/>
      </w:pPr>
      <w:r>
        <w:t xml:space="preserve">In this circumstance a New Zealand </w:t>
      </w:r>
      <w:r w:rsidR="00B3216E">
        <w:t>resident</w:t>
      </w:r>
      <w:r>
        <w:t xml:space="preserve"> can borrow from </w:t>
      </w:r>
      <w:r w:rsidR="00F24D72">
        <w:t xml:space="preserve">a non-resident lender through </w:t>
      </w:r>
      <w:r w:rsidR="00B3216E">
        <w:t>an</w:t>
      </w:r>
      <w:r>
        <w:t xml:space="preserve"> offshore branch </w:t>
      </w:r>
      <w:r w:rsidR="00F24D72">
        <w:t xml:space="preserve">of a second New Zealand resident </w:t>
      </w:r>
      <w:r>
        <w:t xml:space="preserve">without </w:t>
      </w:r>
      <w:r w:rsidR="00F24D72">
        <w:t xml:space="preserve">that borrowing </w:t>
      </w:r>
      <w:r>
        <w:t>incurring NRWT</w:t>
      </w:r>
      <w:r w:rsidR="0034637A">
        <w:t xml:space="preserve">.  </w:t>
      </w:r>
      <w:r w:rsidR="00991A49">
        <w:t xml:space="preserve">If the first New Zealand resident had </w:t>
      </w:r>
      <w:r>
        <w:t>borrow</w:t>
      </w:r>
      <w:r w:rsidR="00991A49">
        <w:t>ed</w:t>
      </w:r>
      <w:r>
        <w:t xml:space="preserve"> directly from the </w:t>
      </w:r>
      <w:r w:rsidR="00F24D72">
        <w:t xml:space="preserve">non-resident </w:t>
      </w:r>
      <w:r w:rsidR="003B3A48">
        <w:t>lender</w:t>
      </w:r>
      <w:r w:rsidR="00991A49">
        <w:t xml:space="preserve">, the interest </w:t>
      </w:r>
      <w:r>
        <w:t>would be liable for NRWT</w:t>
      </w:r>
      <w:r w:rsidR="003B3A48">
        <w:t xml:space="preserve"> (or AIL)</w:t>
      </w:r>
      <w:r>
        <w:t>.  As these are economically the same transaction they should have the same tax treatment.</w:t>
      </w:r>
      <w:r w:rsidR="00F05B25">
        <w:t xml:space="preserve">  This is shown in figure 2.</w:t>
      </w:r>
    </w:p>
    <w:p w:rsidR="00F05B25" w:rsidRDefault="00F05B25" w:rsidP="00FF2B46"/>
    <w:p w:rsidR="00F05B25" w:rsidRPr="00B5090C" w:rsidRDefault="00F05B25" w:rsidP="00B5090C">
      <w:pPr>
        <w:ind w:left="851"/>
        <w:rPr>
          <w:i/>
        </w:rPr>
      </w:pPr>
      <w:r w:rsidRPr="00B5090C">
        <w:rPr>
          <w:i/>
        </w:rPr>
        <w:t>Figure 2</w:t>
      </w:r>
      <w:r w:rsidR="00D74EC6" w:rsidRPr="00B5090C">
        <w:rPr>
          <w:i/>
        </w:rPr>
        <w:t>:  Offshore branch lends to New Zealand</w:t>
      </w:r>
    </w:p>
    <w:p w:rsidR="0082020C" w:rsidRDefault="002B295A" w:rsidP="002B295A">
      <w:pPr>
        <w:pStyle w:val="Chapter5"/>
        <w:numPr>
          <w:ilvl w:val="0"/>
          <w:numId w:val="0"/>
        </w:numPr>
        <w:ind w:left="851"/>
        <w:jc w:val="center"/>
      </w:pPr>
      <w:r>
        <w:rPr>
          <w:noProof/>
          <w:lang w:eastAsia="en-NZ"/>
        </w:rPr>
        <w:drawing>
          <wp:inline distT="0" distB="0" distL="0" distR="0" wp14:anchorId="49C766AB" wp14:editId="01BA9740">
            <wp:extent cx="4533900" cy="2914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2914650"/>
                    </a:xfrm>
                    <a:prstGeom prst="rect">
                      <a:avLst/>
                    </a:prstGeom>
                    <a:noFill/>
                    <a:ln>
                      <a:noFill/>
                    </a:ln>
                  </pic:spPr>
                </pic:pic>
              </a:graphicData>
            </a:graphic>
          </wp:inline>
        </w:drawing>
      </w:r>
    </w:p>
    <w:p w:rsidR="000D7EE3" w:rsidRDefault="000D7EE3" w:rsidP="00FF2B46"/>
    <w:p w:rsidR="00D549F0" w:rsidRDefault="001265E6" w:rsidP="00120C68">
      <w:pPr>
        <w:pStyle w:val="Chapter6"/>
      </w:pPr>
      <w:r>
        <w:t xml:space="preserve">This structure has been adopted by </w:t>
      </w:r>
      <w:r w:rsidR="00991A49">
        <w:t xml:space="preserve">a number of participants in the New Zealand </w:t>
      </w:r>
      <w:r w:rsidR="00D74EC6">
        <w:t xml:space="preserve">financial </w:t>
      </w:r>
      <w:r w:rsidR="00C362B2">
        <w:t>sector</w:t>
      </w:r>
      <w:r w:rsidR="00991A49">
        <w:t xml:space="preserve"> </w:t>
      </w:r>
      <w:r w:rsidR="00F94F53">
        <w:t>a</w:t>
      </w:r>
      <w:r>
        <w:t xml:space="preserve">s a means for funding their New Zealand operations.  We are not aware of it </w:t>
      </w:r>
      <w:r w:rsidR="002A3114">
        <w:t xml:space="preserve">currently </w:t>
      </w:r>
      <w:r>
        <w:t xml:space="preserve">being </w:t>
      </w:r>
      <w:r w:rsidR="002A3114">
        <w:t>us</w:t>
      </w:r>
      <w:r>
        <w:t>ed by any non-</w:t>
      </w:r>
      <w:r w:rsidR="00D74EC6">
        <w:t>financial sector</w:t>
      </w:r>
      <w:r>
        <w:t xml:space="preserve"> entities.</w:t>
      </w:r>
    </w:p>
    <w:p w:rsidR="0034637A" w:rsidRDefault="0034637A" w:rsidP="00FF2B46"/>
    <w:p w:rsidR="00D549F0" w:rsidRDefault="00D549F0" w:rsidP="00120C68">
      <w:pPr>
        <w:pStyle w:val="Chapter6"/>
      </w:pPr>
      <w:r>
        <w:t xml:space="preserve">Australia </w:t>
      </w:r>
      <w:r w:rsidR="001265E6">
        <w:t xml:space="preserve">also has an offshore branch exemption from NRWT.  However, </w:t>
      </w:r>
      <w:r>
        <w:t xml:space="preserve">section 128B(2A) of the Income Tax Assessment Act 1936 </w:t>
      </w:r>
      <w:r w:rsidR="001265E6">
        <w:t>prevents this exemption being used in relation to money which is then on-lent to Australia.</w:t>
      </w:r>
      <w:r>
        <w:t xml:space="preserve">  This is achieved by </w:t>
      </w:r>
      <w:r w:rsidR="0034637A">
        <w:t xml:space="preserve">imposing </w:t>
      </w:r>
      <w:r w:rsidR="001265E6">
        <w:t xml:space="preserve">NRWT </w:t>
      </w:r>
      <w:r w:rsidR="0034637A">
        <w:t xml:space="preserve">on </w:t>
      </w:r>
      <w:r w:rsidR="001265E6">
        <w:t xml:space="preserve">interest paid by </w:t>
      </w:r>
      <w:r>
        <w:t xml:space="preserve">an Australian resident (or a non-resident </w:t>
      </w:r>
      <w:r w:rsidR="0034637A">
        <w:t xml:space="preserve">in connection </w:t>
      </w:r>
      <w:r>
        <w:t>wi</w:t>
      </w:r>
      <w:r w:rsidR="0034637A">
        <w:t xml:space="preserve">th an Australian branch) to </w:t>
      </w:r>
      <w:r>
        <w:t xml:space="preserve">an offshore branch </w:t>
      </w:r>
      <w:r w:rsidR="007F360F">
        <w:t>of an Australian resident</w:t>
      </w:r>
      <w:r w:rsidR="0034637A">
        <w:t>.</w:t>
      </w:r>
    </w:p>
    <w:p w:rsidR="00F94F53" w:rsidRDefault="00F94F53" w:rsidP="00FF2B46">
      <w:bookmarkStart w:id="37" w:name="_Ref415588409"/>
    </w:p>
    <w:p w:rsidR="00704E0E" w:rsidRPr="001D497B" w:rsidRDefault="00135076" w:rsidP="001D497B">
      <w:pPr>
        <w:pStyle w:val="Heading2"/>
      </w:pPr>
      <w:r w:rsidRPr="001D497B">
        <w:t>Addressing the problem</w:t>
      </w:r>
    </w:p>
    <w:p w:rsidR="00704E0E" w:rsidRDefault="00704E0E" w:rsidP="00FF2B46"/>
    <w:p w:rsidR="00D549F0" w:rsidRDefault="00676286" w:rsidP="00120C68">
      <w:pPr>
        <w:pStyle w:val="Chapter6"/>
      </w:pPr>
      <w:r>
        <w:t>O</w:t>
      </w:r>
      <w:r w:rsidR="00135076">
        <w:t>fficials wish to explore addressing</w:t>
      </w:r>
      <w:r w:rsidR="00421962">
        <w:t xml:space="preserve"> this issue by</w:t>
      </w:r>
      <w:r w:rsidR="0034637A">
        <w:t xml:space="preserve"> defining</w:t>
      </w:r>
      <w:r w:rsidR="00421962">
        <w:t xml:space="preserve"> interest paid by </w:t>
      </w:r>
      <w:r w:rsidR="00F24D72">
        <w:t xml:space="preserve">the </w:t>
      </w:r>
      <w:r w:rsidR="001108DF">
        <w:t xml:space="preserve">offshore </w:t>
      </w:r>
      <w:r w:rsidR="00F24D72">
        <w:t xml:space="preserve">branch </w:t>
      </w:r>
      <w:r w:rsidR="001108DF">
        <w:t>of a New Zealand resident</w:t>
      </w:r>
      <w:r w:rsidR="00426002">
        <w:t xml:space="preserve"> as New Zealand-</w:t>
      </w:r>
      <w:r w:rsidR="0034637A">
        <w:t>source</w:t>
      </w:r>
      <w:r w:rsidR="00991A49">
        <w:t>d</w:t>
      </w:r>
      <w:r w:rsidR="0034637A">
        <w:t xml:space="preserve"> income</w:t>
      </w:r>
      <w:r w:rsidR="00421962">
        <w:t>, except where that interest is paid on money borrowed for the purpose of a business</w:t>
      </w:r>
      <w:r w:rsidR="00991A49">
        <w:t xml:space="preserve"> outside New Zealand</w:t>
      </w:r>
      <w:r w:rsidR="00C362B2">
        <w:t>,</w:t>
      </w:r>
      <w:r w:rsidR="00421962">
        <w:t xml:space="preserve"> which does not involve lending to New Zealand residents.</w:t>
      </w:r>
      <w:r w:rsidR="00612A08">
        <w:t xml:space="preserve">  This is shown in figure 3.</w:t>
      </w:r>
      <w:bookmarkEnd w:id="37"/>
    </w:p>
    <w:p w:rsidR="00CA071D" w:rsidRDefault="00CA071D" w:rsidP="00FF2B46"/>
    <w:p w:rsidR="00612A08" w:rsidRDefault="00612A08">
      <w:pPr>
        <w:jc w:val="left"/>
        <w:rPr>
          <w:i/>
        </w:rPr>
      </w:pPr>
      <w:r>
        <w:br w:type="page"/>
      </w:r>
    </w:p>
    <w:p w:rsidR="00715536" w:rsidRPr="00B5090C" w:rsidRDefault="00715536" w:rsidP="00B5090C">
      <w:pPr>
        <w:ind w:left="851"/>
        <w:rPr>
          <w:i/>
        </w:rPr>
      </w:pPr>
      <w:r w:rsidRPr="00B5090C">
        <w:rPr>
          <w:i/>
        </w:rPr>
        <w:lastRenderedPageBreak/>
        <w:t>Figure 3</w:t>
      </w:r>
      <w:r w:rsidR="00D74EC6" w:rsidRPr="00B5090C">
        <w:rPr>
          <w:i/>
        </w:rPr>
        <w:t>:  Proposal</w:t>
      </w:r>
    </w:p>
    <w:p w:rsidR="00D74EC6" w:rsidRDefault="00B5090C" w:rsidP="00B5090C">
      <w:pPr>
        <w:pStyle w:val="Chapter5"/>
        <w:numPr>
          <w:ilvl w:val="0"/>
          <w:numId w:val="0"/>
        </w:numPr>
        <w:ind w:left="851"/>
        <w:jc w:val="center"/>
      </w:pPr>
      <w:r>
        <w:rPr>
          <w:noProof/>
          <w:lang w:eastAsia="en-NZ"/>
        </w:rPr>
        <w:drawing>
          <wp:inline distT="0" distB="0" distL="0" distR="0" wp14:anchorId="6E491FA7" wp14:editId="06504CB9">
            <wp:extent cx="3781425" cy="5791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5791200"/>
                    </a:xfrm>
                    <a:prstGeom prst="rect">
                      <a:avLst/>
                    </a:prstGeom>
                    <a:noFill/>
                    <a:ln>
                      <a:noFill/>
                    </a:ln>
                  </pic:spPr>
                </pic:pic>
              </a:graphicData>
            </a:graphic>
          </wp:inline>
        </w:drawing>
      </w:r>
    </w:p>
    <w:p w:rsidR="000D7EE3" w:rsidRDefault="000D7EE3" w:rsidP="00FF2B46"/>
    <w:p w:rsidR="00CA071D" w:rsidRDefault="00612A08" w:rsidP="00120C68">
      <w:pPr>
        <w:pStyle w:val="Chapter6"/>
      </w:pPr>
      <w:r>
        <w:t>This approach will remove the incentive to use an offshore branch for the purpose of removing AIL on international debt funding of New Zealand residents.  This will create a consistent tax treatment for those who pay AIL on such funding because they do not have the scale, and</w:t>
      </w:r>
      <w:r w:rsidR="008821C7">
        <w:t>/or</w:t>
      </w:r>
      <w:r>
        <w:t xml:space="preserve"> other commercial reasons, to justify an offshore branch.</w:t>
      </w:r>
    </w:p>
    <w:p w:rsidR="00CA071D" w:rsidRDefault="00CA071D" w:rsidP="00FF2B46"/>
    <w:p w:rsidR="00002022" w:rsidRDefault="0034637A" w:rsidP="00120C68">
      <w:pPr>
        <w:pStyle w:val="Chapter6"/>
      </w:pPr>
      <w:r>
        <w:t>To ensure that such interest is appropriately subject to New Zealand tax, we intend also to require that if NRWT is not actually paid on such interest, payment of AIL will be mandatory.</w:t>
      </w:r>
    </w:p>
    <w:p w:rsidR="00D03108" w:rsidRDefault="00D03108" w:rsidP="00FF2B46"/>
    <w:p w:rsidR="003B3C45" w:rsidRDefault="003B3A48" w:rsidP="00120C68">
      <w:pPr>
        <w:pStyle w:val="Chapter6"/>
      </w:pPr>
      <w:r>
        <w:t xml:space="preserve">An alternative approach would be to impose NRWT (or AIL) on interest payments on amounts borrowed by </w:t>
      </w:r>
      <w:r w:rsidR="00002022">
        <w:t xml:space="preserve">a New Zealand resident from </w:t>
      </w:r>
      <w:r>
        <w:t xml:space="preserve">an offshore branch </w:t>
      </w:r>
      <w:r w:rsidR="00002022">
        <w:t>of another</w:t>
      </w:r>
      <w:r>
        <w:t xml:space="preserve"> New Zealand resident.  </w:t>
      </w:r>
      <w:r w:rsidR="001A6956">
        <w:t xml:space="preserve">This is shown in figure 4.  </w:t>
      </w:r>
      <w:r w:rsidR="001108DF">
        <w:t xml:space="preserve">However, </w:t>
      </w:r>
      <w:r w:rsidR="001A3D93">
        <w:t>in this case it would seem difficult to also subject the interest earned by the second New Zealand resident to net income tax.  Giving the second resident a tax exemption</w:t>
      </w:r>
      <w:r w:rsidR="001108DF">
        <w:t xml:space="preserve"> is not consistent with</w:t>
      </w:r>
      <w:r w:rsidR="00C362B2">
        <w:t xml:space="preserve"> the </w:t>
      </w:r>
      <w:r w:rsidR="001108DF">
        <w:t>taxation of New Zealand residents on their worldwide income</w:t>
      </w:r>
      <w:r w:rsidR="001A3D93">
        <w:t>.</w:t>
      </w:r>
      <w:r w:rsidR="001265E6">
        <w:t xml:space="preserve">  There might also be an </w:t>
      </w:r>
      <w:r w:rsidR="001265E6">
        <w:lastRenderedPageBreak/>
        <w:t>argument that where the borrower and the branch are associated but the ultimate lender is not, AIL should be payable rather than NRWT</w:t>
      </w:r>
      <w:r w:rsidR="001A318D">
        <w:t>.  F</w:t>
      </w:r>
      <w:r w:rsidR="001265E6">
        <w:t xml:space="preserve">or these reasons </w:t>
      </w:r>
      <w:r>
        <w:t xml:space="preserve">we prefer the approach </w:t>
      </w:r>
      <w:r w:rsidR="00991A49">
        <w:t>outlined above</w:t>
      </w:r>
      <w:r>
        <w:t>; we invite submissions on this point.</w:t>
      </w:r>
    </w:p>
    <w:p w:rsidR="000D7EE3" w:rsidRDefault="000D7EE3" w:rsidP="00FF2B46"/>
    <w:p w:rsidR="001A6956" w:rsidRPr="00B5090C" w:rsidRDefault="001A6956" w:rsidP="00B5090C">
      <w:pPr>
        <w:ind w:left="851"/>
        <w:rPr>
          <w:i/>
        </w:rPr>
      </w:pPr>
      <w:r w:rsidRPr="00B5090C">
        <w:rPr>
          <w:i/>
        </w:rPr>
        <w:t>Figure 4</w:t>
      </w:r>
      <w:r w:rsidR="000608F9" w:rsidRPr="00B5090C">
        <w:rPr>
          <w:i/>
        </w:rPr>
        <w:t>:  Alternat</w:t>
      </w:r>
      <w:r w:rsidR="00F76582" w:rsidRPr="00B5090C">
        <w:rPr>
          <w:i/>
        </w:rPr>
        <w:t>ive</w:t>
      </w:r>
      <w:r w:rsidR="000608F9" w:rsidRPr="00B5090C">
        <w:rPr>
          <w:i/>
        </w:rPr>
        <w:t xml:space="preserve"> to proposal (not favoured)</w:t>
      </w:r>
    </w:p>
    <w:p w:rsidR="001A6956" w:rsidRDefault="00B5090C" w:rsidP="00B5090C">
      <w:pPr>
        <w:pStyle w:val="ListParagraph"/>
        <w:jc w:val="center"/>
      </w:pPr>
      <w:r>
        <w:rPr>
          <w:noProof/>
          <w:lang w:val="en-NZ" w:eastAsia="en-NZ"/>
        </w:rPr>
        <w:drawing>
          <wp:inline distT="0" distB="0" distL="0" distR="0" wp14:anchorId="519C13C5" wp14:editId="6BAF601A">
            <wp:extent cx="3495675" cy="3267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3267075"/>
                    </a:xfrm>
                    <a:prstGeom prst="rect">
                      <a:avLst/>
                    </a:prstGeom>
                    <a:noFill/>
                    <a:ln>
                      <a:noFill/>
                    </a:ln>
                  </pic:spPr>
                </pic:pic>
              </a:graphicData>
            </a:graphic>
          </wp:inline>
        </w:drawing>
      </w:r>
    </w:p>
    <w:p w:rsidR="000D7EE3" w:rsidRDefault="000D7EE3" w:rsidP="00FF2B46"/>
    <w:p w:rsidR="00FF2B46" w:rsidRDefault="00FF2B46" w:rsidP="00FF2B46"/>
    <w:p w:rsidR="003B3C45" w:rsidRDefault="001A38BA" w:rsidP="002D4986">
      <w:pPr>
        <w:pStyle w:val="Heading1"/>
      </w:pPr>
      <w:bookmarkStart w:id="38" w:name="_Toc418756726"/>
      <w:r>
        <w:t>Application d</w:t>
      </w:r>
      <w:r w:rsidR="003B3C45">
        <w:t>ate</w:t>
      </w:r>
      <w:bookmarkEnd w:id="38"/>
    </w:p>
    <w:p w:rsidR="003B3C45" w:rsidRDefault="003B3C45" w:rsidP="00FF2B46"/>
    <w:p w:rsidR="003B3C45" w:rsidRDefault="00DE51AD" w:rsidP="00120C68">
      <w:pPr>
        <w:pStyle w:val="Chapter6"/>
      </w:pPr>
      <w:r>
        <w:t xml:space="preserve">Officials suggest </w:t>
      </w:r>
      <w:r w:rsidR="003B3C45">
        <w:t>that the reforms outlined in this chapter would apply to financial arrangements entered into on or after enactment of the legislation.  This is expected to be in the second half of 2016.</w:t>
      </w:r>
    </w:p>
    <w:p w:rsidR="003B3C45" w:rsidRDefault="003B3C45" w:rsidP="00FF2B46"/>
    <w:p w:rsidR="009406E9" w:rsidRPr="009406E9" w:rsidRDefault="009406E9" w:rsidP="00054600">
      <w:pPr>
        <w:pStyle w:val="Heading2"/>
      </w:pPr>
      <w:r>
        <w:t>Transitional</w:t>
      </w:r>
    </w:p>
    <w:p w:rsidR="005E786B" w:rsidRDefault="005E786B" w:rsidP="00FF2B46"/>
    <w:p w:rsidR="007E63C6" w:rsidRDefault="00406E0F" w:rsidP="00120C68">
      <w:pPr>
        <w:pStyle w:val="Chapter6"/>
      </w:pPr>
      <w:r>
        <w:t>For</w:t>
      </w:r>
      <w:r w:rsidR="00991A49">
        <w:t xml:space="preserve"> financial arrangements entered into by</w:t>
      </w:r>
      <w:r>
        <w:t xml:space="preserve"> offshore branches of New Zealand banking groups</w:t>
      </w:r>
      <w:r w:rsidR="00991A49">
        <w:t xml:space="preserve"> before enactment of the changes</w:t>
      </w:r>
      <w:r>
        <w:t>, w</w:t>
      </w:r>
      <w:r w:rsidR="005E786B">
        <w:t xml:space="preserve">e intend to </w:t>
      </w:r>
      <w:r>
        <w:t xml:space="preserve">impose </w:t>
      </w:r>
      <w:r w:rsidR="007E63C6">
        <w:t xml:space="preserve">AIL on </w:t>
      </w:r>
      <w:r w:rsidR="00C86F90">
        <w:t>interest payment</w:t>
      </w:r>
      <w:r w:rsidR="004A6686">
        <w:t>s</w:t>
      </w:r>
      <w:r w:rsidR="00C86F90">
        <w:t xml:space="preserve"> made </w:t>
      </w:r>
      <w:r w:rsidR="006B1C54">
        <w:t xml:space="preserve">in </w:t>
      </w:r>
      <w:r w:rsidR="00553BCC">
        <w:t>income</w:t>
      </w:r>
      <w:r w:rsidR="006B1C54">
        <w:t xml:space="preserve"> years beginning </w:t>
      </w:r>
      <w:r w:rsidR="00A32BEA">
        <w:t>more than f</w:t>
      </w:r>
      <w:r w:rsidR="00F76582">
        <w:t>ive</w:t>
      </w:r>
      <w:r w:rsidR="00A32BEA">
        <w:t xml:space="preserve"> years </w:t>
      </w:r>
      <w:r w:rsidR="007E63C6">
        <w:t xml:space="preserve">after enactment of the legislation.  </w:t>
      </w:r>
      <w:r w:rsidR="00A32BEA">
        <w:t>This provides an extended period of grandparenting, after which it is appropriate to apply the new rules to all arrangements.</w:t>
      </w:r>
      <w:r w:rsidR="003B3C45">
        <w:t xml:space="preserve">  Consideration will also be given to whether a</w:t>
      </w:r>
      <w:r w:rsidR="00292734">
        <w:t xml:space="preserve"> </w:t>
      </w:r>
      <w:r w:rsidR="003B3C45">
        <w:t>prepayment rule is required.</w:t>
      </w:r>
    </w:p>
    <w:p w:rsidR="00406E0F" w:rsidRDefault="00406E0F" w:rsidP="00406E0F">
      <w:pPr>
        <w:pStyle w:val="Chapter5"/>
        <w:numPr>
          <w:ilvl w:val="0"/>
          <w:numId w:val="0"/>
        </w:numPr>
        <w:ind w:left="851"/>
      </w:pPr>
    </w:p>
    <w:p w:rsidR="00406E0F" w:rsidRDefault="00406E0F" w:rsidP="00120C68">
      <w:pPr>
        <w:pStyle w:val="Chapter6"/>
      </w:pPr>
      <w:r>
        <w:t xml:space="preserve">For any </w:t>
      </w:r>
      <w:r w:rsidR="008821C7">
        <w:t xml:space="preserve">existing arrangements of </w:t>
      </w:r>
      <w:r>
        <w:t xml:space="preserve">offshore branches of non-bank groups, </w:t>
      </w:r>
      <w:r w:rsidR="004A6686">
        <w:t xml:space="preserve">we </w:t>
      </w:r>
      <w:r w:rsidR="00DE51AD">
        <w:t>suggest</w:t>
      </w:r>
      <w:r w:rsidR="00566D17">
        <w:t xml:space="preserve"> imposing</w:t>
      </w:r>
      <w:r w:rsidR="004A6686">
        <w:t xml:space="preserve"> NRWT or AIL (depending on whether or not the lender to the branch is associated with the borrower) on int</w:t>
      </w:r>
      <w:r w:rsidR="00F86C5B">
        <w:t xml:space="preserve">erest payments made in </w:t>
      </w:r>
      <w:r w:rsidR="00553BCC">
        <w:t>income</w:t>
      </w:r>
      <w:r w:rsidR="004A6686">
        <w:t xml:space="preserve"> year</w:t>
      </w:r>
      <w:r w:rsidR="00553BCC">
        <w:t>s following enactment</w:t>
      </w:r>
      <w:r w:rsidR="004A6686">
        <w:t>.  There will also be a</w:t>
      </w:r>
      <w:r w:rsidR="00292734">
        <w:t xml:space="preserve"> </w:t>
      </w:r>
      <w:r w:rsidR="004A6686">
        <w:t>pre</w:t>
      </w:r>
      <w:r w:rsidR="00F94F53">
        <w:t>pa</w:t>
      </w:r>
      <w:r w:rsidR="004A6686">
        <w:t>yment rule.</w:t>
      </w:r>
    </w:p>
    <w:p w:rsidR="00D549F0" w:rsidRDefault="00D549F0" w:rsidP="007E63C6"/>
    <w:p w:rsidR="00851593" w:rsidRDefault="00851593">
      <w:pPr>
        <w:jc w:val="left"/>
        <w:rPr>
          <w:rFonts w:ascii="Times New Roman Bold" w:hAnsi="Times New Roman Bold"/>
          <w:b/>
          <w:kern w:val="28"/>
          <w:szCs w:val="24"/>
          <w:lang w:val="en-NZ"/>
        </w:rPr>
      </w:pPr>
      <w:r>
        <w:rPr>
          <w:lang w:val="en-NZ"/>
        </w:rPr>
        <w:br w:type="page"/>
      </w:r>
    </w:p>
    <w:p w:rsidR="00D549F0" w:rsidRPr="00AE1C04" w:rsidRDefault="00D549F0" w:rsidP="00D549F0">
      <w:pPr>
        <w:pStyle w:val="Heading1"/>
        <w:rPr>
          <w:lang w:val="en-NZ"/>
        </w:rPr>
      </w:pPr>
      <w:bookmarkStart w:id="39" w:name="_Toc418756727"/>
      <w:r>
        <w:rPr>
          <w:lang w:val="en-NZ"/>
        </w:rPr>
        <w:lastRenderedPageBreak/>
        <w:t>Onshore branch exemption</w:t>
      </w:r>
      <w:bookmarkEnd w:id="39"/>
    </w:p>
    <w:p w:rsidR="00D549F0" w:rsidRDefault="00D549F0" w:rsidP="00FF2B46"/>
    <w:p w:rsidR="001265E6" w:rsidRDefault="001265E6" w:rsidP="00F94F53">
      <w:pPr>
        <w:pStyle w:val="Heading2"/>
      </w:pPr>
      <w:r>
        <w:t>Issue</w:t>
      </w:r>
    </w:p>
    <w:p w:rsidR="00F94F53" w:rsidRPr="00F94F53" w:rsidRDefault="00F94F53" w:rsidP="00F94F53"/>
    <w:p w:rsidR="00D549F0" w:rsidRDefault="008F431C" w:rsidP="00120C68">
      <w:pPr>
        <w:pStyle w:val="Chapter6"/>
      </w:pPr>
      <w:r>
        <w:t>N</w:t>
      </w:r>
      <w:r w:rsidR="00991A49">
        <w:t>ew</w:t>
      </w:r>
      <w:r w:rsidR="00F94F53">
        <w:t xml:space="preserve"> </w:t>
      </w:r>
      <w:r>
        <w:t>Z</w:t>
      </w:r>
      <w:r w:rsidR="00991A49">
        <w:t>ealand</w:t>
      </w:r>
      <w:r w:rsidR="00E46A1C">
        <w:t>-</w:t>
      </w:r>
      <w:r>
        <w:t>sourced i</w:t>
      </w:r>
      <w:r w:rsidR="00D549F0">
        <w:t xml:space="preserve">nterest income </w:t>
      </w:r>
      <w:r>
        <w:t xml:space="preserve">derived by a non-resident </w:t>
      </w:r>
      <w:r w:rsidR="00D549F0">
        <w:t xml:space="preserve">is </w:t>
      </w:r>
      <w:r>
        <w:t>not</w:t>
      </w:r>
      <w:r w:rsidR="00D549F0">
        <w:t xml:space="preserve"> </w:t>
      </w:r>
      <w:r w:rsidR="00721C68">
        <w:t>NR</w:t>
      </w:r>
      <w:r w:rsidR="009B6D39">
        <w:t>P</w:t>
      </w:r>
      <w:r w:rsidR="00721C68">
        <w:t xml:space="preserve">I </w:t>
      </w:r>
      <w:r w:rsidR="00D549F0">
        <w:t xml:space="preserve">when the non-resident </w:t>
      </w:r>
      <w:r w:rsidR="00721C68">
        <w:t xml:space="preserve">lender </w:t>
      </w:r>
      <w:r>
        <w:t xml:space="preserve">is </w:t>
      </w:r>
      <w:r w:rsidR="00D549F0">
        <w:t xml:space="preserve">engaged in business in New Zealand through a fixed establishment in New Zealand.  </w:t>
      </w:r>
      <w:r>
        <w:t>This exemption from NR</w:t>
      </w:r>
      <w:r w:rsidR="009B6D39">
        <w:t>P</w:t>
      </w:r>
      <w:r>
        <w:t>I</w:t>
      </w:r>
      <w:r w:rsidR="00D549F0">
        <w:t xml:space="preserve"> is known as the onshore branch exemption.</w:t>
      </w:r>
    </w:p>
    <w:p w:rsidR="009406E9" w:rsidRDefault="009406E9" w:rsidP="00FF2B46"/>
    <w:p w:rsidR="009406E9" w:rsidRDefault="009406E9" w:rsidP="00120C68">
      <w:pPr>
        <w:pStyle w:val="Chapter6"/>
      </w:pPr>
      <w:r>
        <w:t>When NRWT, and this exemption, were introduced in 1964 many retail borrowers funded their home mortgages through banks and other institutions that operated in New Zealand as a branch of their overseas parent.  These branches pa</w:t>
      </w:r>
      <w:r w:rsidR="00E7039F">
        <w:t>y</w:t>
      </w:r>
      <w:r>
        <w:t xml:space="preserve"> </w:t>
      </w:r>
      <w:r w:rsidR="00E7039F">
        <w:t xml:space="preserve">income </w:t>
      </w:r>
      <w:r>
        <w:t>tax on their branch income in a similar way to N</w:t>
      </w:r>
      <w:r w:rsidR="00E7039F">
        <w:t xml:space="preserve">ew </w:t>
      </w:r>
      <w:r>
        <w:t>Z</w:t>
      </w:r>
      <w:r w:rsidR="00E7039F">
        <w:t>ealand</w:t>
      </w:r>
      <w:r>
        <w:t xml:space="preserve"> residents.  </w:t>
      </w:r>
      <w:r w:rsidR="002B791E">
        <w:t>T</w:t>
      </w:r>
      <w:r>
        <w:t xml:space="preserve">his exemption </w:t>
      </w:r>
      <w:r w:rsidR="002B791E">
        <w:t xml:space="preserve">meant these </w:t>
      </w:r>
      <w:r w:rsidR="00991A49">
        <w:t xml:space="preserve">retail </w:t>
      </w:r>
      <w:r>
        <w:t xml:space="preserve">borrowers </w:t>
      </w:r>
      <w:r w:rsidR="002B791E">
        <w:t xml:space="preserve">did not have to </w:t>
      </w:r>
      <w:r>
        <w:t>ded</w:t>
      </w:r>
      <w:r w:rsidR="002B791E">
        <w:t xml:space="preserve">uct NRWT from interest paid </w:t>
      </w:r>
      <w:r>
        <w:t>to New Zealand based lenders.</w:t>
      </w:r>
      <w:r w:rsidR="001A6956">
        <w:t xml:space="preserve">  This is shown in figure 5</w:t>
      </w:r>
      <w:r w:rsidR="005C4A83">
        <w:t>.</w:t>
      </w:r>
    </w:p>
    <w:p w:rsidR="005C4A83" w:rsidRDefault="005C4A83">
      <w:pPr>
        <w:jc w:val="left"/>
        <w:rPr>
          <w:i/>
        </w:rPr>
      </w:pPr>
    </w:p>
    <w:p w:rsidR="005C4A83" w:rsidRDefault="005C4A83" w:rsidP="00636271">
      <w:pPr>
        <w:ind w:left="851"/>
        <w:rPr>
          <w:i/>
        </w:rPr>
      </w:pPr>
      <w:r w:rsidRPr="00636271">
        <w:rPr>
          <w:i/>
        </w:rPr>
        <w:t xml:space="preserve">Figure </w:t>
      </w:r>
      <w:r w:rsidR="001A6956" w:rsidRPr="00636271">
        <w:rPr>
          <w:i/>
        </w:rPr>
        <w:t>5</w:t>
      </w:r>
      <w:r w:rsidR="000608F9" w:rsidRPr="00636271">
        <w:rPr>
          <w:i/>
        </w:rPr>
        <w:t xml:space="preserve">:  </w:t>
      </w:r>
      <w:r w:rsidR="00E46A1C">
        <w:rPr>
          <w:i/>
        </w:rPr>
        <w:t>O</w:t>
      </w:r>
      <w:r w:rsidR="000608F9" w:rsidRPr="00636271">
        <w:rPr>
          <w:i/>
        </w:rPr>
        <w:t>nshore branch</w:t>
      </w:r>
      <w:r w:rsidR="00292734" w:rsidRPr="00636271">
        <w:rPr>
          <w:i/>
        </w:rPr>
        <w:t xml:space="preserve"> exemption</w:t>
      </w:r>
    </w:p>
    <w:p w:rsidR="00636271" w:rsidRPr="00636271" w:rsidRDefault="00636271" w:rsidP="00636271">
      <w:pPr>
        <w:ind w:left="851"/>
        <w:rPr>
          <w:i/>
        </w:rPr>
      </w:pPr>
    </w:p>
    <w:p w:rsidR="005C4A83" w:rsidRDefault="00472603" w:rsidP="00472603">
      <w:pPr>
        <w:ind w:left="851"/>
        <w:jc w:val="center"/>
      </w:pPr>
      <w:r>
        <w:rPr>
          <w:noProof/>
          <w:lang w:val="en-NZ" w:eastAsia="en-NZ"/>
        </w:rPr>
        <w:drawing>
          <wp:inline distT="0" distB="0" distL="0" distR="0" wp14:anchorId="4206C918" wp14:editId="195D7D1B">
            <wp:extent cx="4752975" cy="29146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975" cy="2914650"/>
                    </a:xfrm>
                    <a:prstGeom prst="rect">
                      <a:avLst/>
                    </a:prstGeom>
                    <a:noFill/>
                    <a:ln>
                      <a:noFill/>
                    </a:ln>
                  </pic:spPr>
                </pic:pic>
              </a:graphicData>
            </a:graphic>
          </wp:inline>
        </w:drawing>
      </w:r>
    </w:p>
    <w:p w:rsidR="00F76582" w:rsidRDefault="00F76582" w:rsidP="00472603">
      <w:pPr>
        <w:ind w:left="851"/>
      </w:pPr>
    </w:p>
    <w:p w:rsidR="00BA4E43" w:rsidRDefault="00BA4E43" w:rsidP="00BA4E43">
      <w:pPr>
        <w:ind w:left="851"/>
      </w:pPr>
      <w:r>
        <w:t xml:space="preserve">In </w:t>
      </w:r>
      <w:r w:rsidR="00E46A1C">
        <w:t>f</w:t>
      </w:r>
      <w:r>
        <w:t xml:space="preserve">igure 5, both NZ Branch of Bank Foreign Sub and Bank NZ Sub </w:t>
      </w:r>
      <w:r w:rsidR="000608F9">
        <w:t xml:space="preserve">are </w:t>
      </w:r>
      <w:r>
        <w:t>subject to New Zealand income tax on their New Zealand net income.</w:t>
      </w:r>
    </w:p>
    <w:p w:rsidR="00D549F0" w:rsidRDefault="00D549F0" w:rsidP="00FF2B46"/>
    <w:p w:rsidR="00D549F0" w:rsidRDefault="009406E9" w:rsidP="00120C68">
      <w:pPr>
        <w:pStyle w:val="Chapter6"/>
      </w:pPr>
      <w:r>
        <w:t>However, the exemption</w:t>
      </w:r>
      <w:r w:rsidR="006B55CA">
        <w:t xml:space="preserve"> from NRWT</w:t>
      </w:r>
      <w:r>
        <w:t xml:space="preserve"> also applies to</w:t>
      </w:r>
      <w:r w:rsidR="00C36034" w:rsidRPr="00C36034">
        <w:t xml:space="preserve"> </w:t>
      </w:r>
      <w:r w:rsidR="00C36034">
        <w:t>lending by an entity with a New Zealand branch</w:t>
      </w:r>
      <w:r>
        <w:t xml:space="preserve"> </w:t>
      </w:r>
      <w:r w:rsidR="006236D2">
        <w:t>where the lending is not made through the New Zealand branch</w:t>
      </w:r>
      <w:r w:rsidR="006B1C54">
        <w:t>.</w:t>
      </w:r>
      <w:r w:rsidR="006B55CA">
        <w:t xml:space="preserve">  As with the New Zealand branch income, this non-branch </w:t>
      </w:r>
      <w:r w:rsidR="00DE51AD">
        <w:t>(</w:t>
      </w:r>
      <w:r w:rsidR="006B55CA">
        <w:t>but New Zealand</w:t>
      </w:r>
      <w:r w:rsidR="00426002">
        <w:t>-</w:t>
      </w:r>
      <w:r w:rsidR="006B55CA">
        <w:t>source</w:t>
      </w:r>
      <w:r w:rsidR="00DE51AD">
        <w:t>d)</w:t>
      </w:r>
      <w:r w:rsidR="006B55CA">
        <w:t xml:space="preserve"> income is subject to New Zealand net income tax.</w:t>
      </w:r>
      <w:r w:rsidR="006B1C54">
        <w:t xml:space="preserve">  This </w:t>
      </w:r>
      <w:r w:rsidR="006B55CA">
        <w:t xml:space="preserve">treatment of non-New Zealand branch income </w:t>
      </w:r>
      <w:r w:rsidR="00D549F0">
        <w:t>can be contrasted with the offshore</w:t>
      </w:r>
      <w:r w:rsidR="002B791E">
        <w:t xml:space="preserve"> branch exemption which</w:t>
      </w:r>
      <w:r w:rsidR="0034637A">
        <w:t xml:space="preserve"> does not apply to all interest paid by a resident company with an offshore branch, but only to interest on </w:t>
      </w:r>
      <w:r w:rsidR="00D549F0">
        <w:t xml:space="preserve">money </w:t>
      </w:r>
      <w:r w:rsidR="002B791E">
        <w:t xml:space="preserve">borrowed </w:t>
      </w:r>
      <w:r w:rsidR="0034637A">
        <w:t xml:space="preserve">which </w:t>
      </w:r>
      <w:r w:rsidR="002B791E">
        <w:t xml:space="preserve">is </w:t>
      </w:r>
      <w:r w:rsidR="00D549F0">
        <w:t xml:space="preserve">“used by </w:t>
      </w:r>
      <w:r w:rsidR="002B791E">
        <w:t>[the branch]</w:t>
      </w:r>
      <w:r w:rsidR="00D549F0">
        <w:t xml:space="preserve"> for the purposes of a business they carry on outside New Zealand”.</w:t>
      </w:r>
    </w:p>
    <w:p w:rsidR="006B1C54" w:rsidRDefault="006B1C54" w:rsidP="00FF2B46"/>
    <w:p w:rsidR="001A3D93" w:rsidRDefault="006B1C54" w:rsidP="00120C68">
      <w:pPr>
        <w:pStyle w:val="Chapter6"/>
      </w:pPr>
      <w:r>
        <w:t>There are at least two problems with this extension</w:t>
      </w:r>
      <w:r w:rsidR="00C86F90">
        <w:t xml:space="preserve"> of the </w:t>
      </w:r>
      <w:r w:rsidR="0034637A">
        <w:t xml:space="preserve">onshore branch </w:t>
      </w:r>
      <w:r w:rsidR="00C86F90">
        <w:t>exemption</w:t>
      </w:r>
      <w:r>
        <w:t>.</w:t>
      </w:r>
    </w:p>
    <w:p w:rsidR="001A3D93" w:rsidRDefault="001A3D93" w:rsidP="00FF2B46"/>
    <w:p w:rsidR="00A630CC" w:rsidRDefault="006B1C54" w:rsidP="00120C68">
      <w:pPr>
        <w:pStyle w:val="Chapter6"/>
      </w:pPr>
      <w:r>
        <w:lastRenderedPageBreak/>
        <w:t xml:space="preserve">First, there is </w:t>
      </w:r>
      <w:r w:rsidRPr="00292734">
        <w:t>no</w:t>
      </w:r>
      <w:r>
        <w:t xml:space="preserve"> NRWT </w:t>
      </w:r>
      <w:r w:rsidR="00991A49">
        <w:t xml:space="preserve">(or AIL) </w:t>
      </w:r>
      <w:r>
        <w:t xml:space="preserve">on interest paid on money borrowed by the non-resident which is </w:t>
      </w:r>
      <w:r w:rsidRPr="00292734">
        <w:t>not</w:t>
      </w:r>
      <w:r w:rsidRPr="00D83876">
        <w:rPr>
          <w:b/>
        </w:rPr>
        <w:t xml:space="preserve"> </w:t>
      </w:r>
      <w:r>
        <w:t>for the purpose of its N</w:t>
      </w:r>
      <w:r w:rsidR="00E7039F">
        <w:t xml:space="preserve">ew </w:t>
      </w:r>
      <w:r>
        <w:t>Z</w:t>
      </w:r>
      <w:r w:rsidR="00E7039F">
        <w:t>ealand</w:t>
      </w:r>
      <w:r>
        <w:t xml:space="preserve"> branch, whereas there </w:t>
      </w:r>
      <w:r w:rsidRPr="00292734">
        <w:t>is</w:t>
      </w:r>
      <w:r w:rsidRPr="00D83876">
        <w:rPr>
          <w:b/>
        </w:rPr>
        <w:t xml:space="preserve"> </w:t>
      </w:r>
      <w:r>
        <w:t xml:space="preserve">NRWT (or AIL) on money borrowed for the purpose of the </w:t>
      </w:r>
      <w:r w:rsidR="00292734">
        <w:t xml:space="preserve">New Zealand </w:t>
      </w:r>
      <w:r>
        <w:t>branch</w:t>
      </w:r>
      <w:r w:rsidR="001A318D">
        <w:t>.  T</w:t>
      </w:r>
      <w:r w:rsidR="00A630CC">
        <w:t>his means it is possible for a non-resident parent to lend money to its New Zealand subsidiary with no tax payable on the interest (other than income tax on a very slim margin).</w:t>
      </w:r>
      <w:r w:rsidR="00991A49">
        <w:t xml:space="preserve">  The parent can simply lend the money to</w:t>
      </w:r>
      <w:r w:rsidR="007C2049">
        <w:t xml:space="preserve"> the head office</w:t>
      </w:r>
      <w:r w:rsidR="00991A49">
        <w:t xml:space="preserve"> </w:t>
      </w:r>
      <w:r w:rsidR="008D2B19">
        <w:t xml:space="preserve">of </w:t>
      </w:r>
      <w:r w:rsidR="00991A49">
        <w:t xml:space="preserve">a </w:t>
      </w:r>
      <w:r w:rsidR="007C2049">
        <w:t xml:space="preserve">non-New Zealand </w:t>
      </w:r>
      <w:r w:rsidR="00991A49">
        <w:t>group company whic</w:t>
      </w:r>
      <w:r w:rsidR="007C2049">
        <w:t>h has a New Zealand branch.  The head office of tha</w:t>
      </w:r>
      <w:r w:rsidR="00991A49">
        <w:t xml:space="preserve">t company can then lend the money to </w:t>
      </w:r>
      <w:r w:rsidR="007C2049">
        <w:t xml:space="preserve">a New Zealand </w:t>
      </w:r>
      <w:r w:rsidR="002D060E">
        <w:t xml:space="preserve">group </w:t>
      </w:r>
      <w:r w:rsidR="007C2049">
        <w:t>company.</w:t>
      </w:r>
    </w:p>
    <w:p w:rsidR="00A630CC" w:rsidRDefault="00A630CC" w:rsidP="00FF2B46"/>
    <w:p w:rsidR="00D549F0" w:rsidRDefault="006B1C54" w:rsidP="00120C68">
      <w:pPr>
        <w:pStyle w:val="Chapter6"/>
      </w:pPr>
      <w:r>
        <w:t>Second, it is more difficult practically for New Zealand to audit the non-resident’s non-N</w:t>
      </w:r>
      <w:r w:rsidR="00E7039F">
        <w:t xml:space="preserve">ew </w:t>
      </w:r>
      <w:r>
        <w:t>Z</w:t>
      </w:r>
      <w:r w:rsidR="00E7039F">
        <w:t>ealand</w:t>
      </w:r>
      <w:r>
        <w:t xml:space="preserve"> </w:t>
      </w:r>
      <w:r w:rsidR="006B55CA">
        <w:t>activities, which is necessary to ensure that net income tax is being paid on its non-New</w:t>
      </w:r>
      <w:r w:rsidR="00E46A1C">
        <w:t xml:space="preserve"> Zealand branch but New Zealand-</w:t>
      </w:r>
      <w:r w:rsidR="006B55CA">
        <w:t>sourced income.</w:t>
      </w:r>
    </w:p>
    <w:p w:rsidR="006B55CA" w:rsidRDefault="006B55CA" w:rsidP="00FF2B46"/>
    <w:p w:rsidR="006B55CA" w:rsidRDefault="006B55CA" w:rsidP="00120C68">
      <w:pPr>
        <w:pStyle w:val="Chapter6"/>
      </w:pPr>
      <w:r>
        <w:t xml:space="preserve">In practice, this exemption has been used by both </w:t>
      </w:r>
      <w:r w:rsidR="008D2B19">
        <w:t xml:space="preserve">financial sector </w:t>
      </w:r>
      <w:r w:rsidR="0034637A">
        <w:t>and non-</w:t>
      </w:r>
      <w:r w:rsidR="008D2B19">
        <w:t>financial sector</w:t>
      </w:r>
      <w:r w:rsidR="0034637A">
        <w:t xml:space="preserve"> groups to fund New Zealand entities without paying NRWT or AIL</w:t>
      </w:r>
      <w:r>
        <w:t>.</w:t>
      </w:r>
    </w:p>
    <w:p w:rsidR="00BA4E43" w:rsidRDefault="00BA4E43" w:rsidP="00FF2B46"/>
    <w:p w:rsidR="00BA4E43" w:rsidRDefault="00BA4E43" w:rsidP="00120C68">
      <w:pPr>
        <w:pStyle w:val="Chapter6"/>
      </w:pPr>
      <w:r>
        <w:t>This structure is shown in figure 6.</w:t>
      </w:r>
    </w:p>
    <w:p w:rsidR="006B1C54" w:rsidRDefault="006B1C54" w:rsidP="00FF2B46"/>
    <w:p w:rsidR="00BA4E43" w:rsidRPr="00636271" w:rsidRDefault="00BA4E43" w:rsidP="00636271">
      <w:pPr>
        <w:ind w:left="851"/>
        <w:rPr>
          <w:i/>
        </w:rPr>
      </w:pPr>
      <w:r w:rsidRPr="00636271">
        <w:rPr>
          <w:i/>
        </w:rPr>
        <w:t>Figure 6</w:t>
      </w:r>
      <w:r w:rsidR="000608F9" w:rsidRPr="00636271">
        <w:rPr>
          <w:i/>
        </w:rPr>
        <w:t>:  Comparison of current onshore branch exemption</w:t>
      </w:r>
    </w:p>
    <w:p w:rsidR="00BA4E43" w:rsidRDefault="00BA4E43" w:rsidP="00FF2B46"/>
    <w:p w:rsidR="00BA4E43" w:rsidRDefault="00636271" w:rsidP="00636271">
      <w:pPr>
        <w:pStyle w:val="Chapter5"/>
        <w:numPr>
          <w:ilvl w:val="0"/>
          <w:numId w:val="0"/>
        </w:numPr>
        <w:ind w:left="851"/>
        <w:jc w:val="center"/>
      </w:pPr>
      <w:r>
        <w:rPr>
          <w:noProof/>
          <w:lang w:eastAsia="en-NZ"/>
        </w:rPr>
        <w:drawing>
          <wp:inline distT="0" distB="0" distL="0" distR="0" wp14:anchorId="3295310D" wp14:editId="20879B10">
            <wp:extent cx="4619625" cy="29146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2914650"/>
                    </a:xfrm>
                    <a:prstGeom prst="rect">
                      <a:avLst/>
                    </a:prstGeom>
                    <a:noFill/>
                    <a:ln>
                      <a:noFill/>
                    </a:ln>
                  </pic:spPr>
                </pic:pic>
              </a:graphicData>
            </a:graphic>
          </wp:inline>
        </w:drawing>
      </w:r>
    </w:p>
    <w:p w:rsidR="00BA4E43" w:rsidRDefault="00BA4E43" w:rsidP="00FF2B46"/>
    <w:p w:rsidR="00D63E44" w:rsidRDefault="00D63E44" w:rsidP="00D63E44">
      <w:pPr>
        <w:pStyle w:val="Chapter5"/>
        <w:numPr>
          <w:ilvl w:val="0"/>
          <w:numId w:val="0"/>
        </w:numPr>
        <w:ind w:left="851"/>
      </w:pPr>
      <w:r>
        <w:t xml:space="preserve">In figure 6 the </w:t>
      </w:r>
      <w:r w:rsidR="00EC2426">
        <w:t xml:space="preserve">net </w:t>
      </w:r>
      <w:r>
        <w:t xml:space="preserve">profit of Foreign Sub 1 NZ Branch and </w:t>
      </w:r>
      <w:r w:rsidR="00EC2426">
        <w:t xml:space="preserve">net profit from the </w:t>
      </w:r>
      <w:r>
        <w:t>N</w:t>
      </w:r>
      <w:r w:rsidR="00B54C90">
        <w:t xml:space="preserve">ew </w:t>
      </w:r>
      <w:r>
        <w:t>Z</w:t>
      </w:r>
      <w:r w:rsidR="00B54C90">
        <w:t>ealand-</w:t>
      </w:r>
      <w:r>
        <w:t xml:space="preserve">sourced income of Foreign Sub 2 </w:t>
      </w:r>
      <w:r w:rsidR="000608F9">
        <w:t xml:space="preserve">is </w:t>
      </w:r>
      <w:r>
        <w:t xml:space="preserve">subject to New Zealand income tax.  However, unlike Foreign Sub 1, the interest payment by Foreign Sub 2 to Foreign </w:t>
      </w:r>
      <w:r w:rsidR="000608F9">
        <w:t>P</w:t>
      </w:r>
      <w:r>
        <w:t xml:space="preserve">arent </w:t>
      </w:r>
      <w:r w:rsidR="000608F9">
        <w:t>does</w:t>
      </w:r>
      <w:r>
        <w:t xml:space="preserve"> not have a N</w:t>
      </w:r>
      <w:r w:rsidR="00EC2426">
        <w:t xml:space="preserve">ew </w:t>
      </w:r>
      <w:r>
        <w:t>Z</w:t>
      </w:r>
      <w:r w:rsidR="00EC2426">
        <w:t>ealand</w:t>
      </w:r>
      <w:r>
        <w:t xml:space="preserve"> source so </w:t>
      </w:r>
      <w:r w:rsidR="000608F9">
        <w:t>is</w:t>
      </w:r>
      <w:r>
        <w:t xml:space="preserve"> not subject to NRWT.</w:t>
      </w:r>
      <w:r w:rsidR="00292734">
        <w:t xml:space="preserve">  Note that if NZ Sub borrowed directly from Foreign Parent, it would be required to withhold NRWT from the interest payments.</w:t>
      </w:r>
    </w:p>
    <w:p w:rsidR="00D63E44" w:rsidRDefault="00D63E44" w:rsidP="00FF2B46"/>
    <w:p w:rsidR="00851593" w:rsidRDefault="00851593">
      <w:pPr>
        <w:jc w:val="left"/>
        <w:rPr>
          <w:b/>
          <w:i/>
          <w:szCs w:val="24"/>
        </w:rPr>
      </w:pPr>
      <w:r>
        <w:br w:type="page"/>
      </w:r>
    </w:p>
    <w:p w:rsidR="00ED1C04" w:rsidRPr="00851593" w:rsidRDefault="00135076" w:rsidP="00851593">
      <w:pPr>
        <w:pStyle w:val="Heading2"/>
      </w:pPr>
      <w:r w:rsidRPr="00851593">
        <w:lastRenderedPageBreak/>
        <w:t>Addressing the problem</w:t>
      </w:r>
    </w:p>
    <w:p w:rsidR="00ED1C04" w:rsidRDefault="00ED1C04" w:rsidP="00FF2B46"/>
    <w:p w:rsidR="00D549F0" w:rsidRDefault="006B1C54" w:rsidP="00120C68">
      <w:pPr>
        <w:pStyle w:val="Chapter6"/>
      </w:pPr>
      <w:r>
        <w:t>Accordingly</w:t>
      </w:r>
      <w:r w:rsidR="00B54C90">
        <w:t>,</w:t>
      </w:r>
      <w:r>
        <w:t xml:space="preserve"> w</w:t>
      </w:r>
      <w:r w:rsidR="00721C68">
        <w:t xml:space="preserve">e </w:t>
      </w:r>
      <w:r w:rsidR="00C36034">
        <w:t>suggest</w:t>
      </w:r>
      <w:r w:rsidR="00D549F0">
        <w:t xml:space="preserve"> restrict</w:t>
      </w:r>
      <w:r w:rsidR="00C36034">
        <w:t>ing</w:t>
      </w:r>
      <w:r w:rsidR="00D549F0">
        <w:t xml:space="preserve"> the onshore branch exemption so </w:t>
      </w:r>
      <w:r w:rsidR="004A6686">
        <w:t xml:space="preserve">that </w:t>
      </w:r>
      <w:r w:rsidR="00D549F0">
        <w:t xml:space="preserve">interest income </w:t>
      </w:r>
      <w:r w:rsidR="007C2049">
        <w:t>of</w:t>
      </w:r>
      <w:r w:rsidR="00D549F0">
        <w:t xml:space="preserve"> a non-resident with a New Zealand branch will only be ex</w:t>
      </w:r>
      <w:r w:rsidR="00721C68">
        <w:t>empted</w:t>
      </w:r>
      <w:r w:rsidR="00D549F0">
        <w:t xml:space="preserve"> from b</w:t>
      </w:r>
      <w:r w:rsidR="000B156C">
        <w:t>eing NR</w:t>
      </w:r>
      <w:r w:rsidR="009B6D39">
        <w:t>P</w:t>
      </w:r>
      <w:r w:rsidR="000B156C">
        <w:t>I</w:t>
      </w:r>
      <w:r w:rsidR="00D549F0">
        <w:t xml:space="preserve"> if the money lent is used by the </w:t>
      </w:r>
      <w:r w:rsidR="00ED1C04">
        <w:t>non-resident</w:t>
      </w:r>
      <w:r w:rsidR="0034637A">
        <w:t xml:space="preserve"> </w:t>
      </w:r>
      <w:r w:rsidR="00D549F0">
        <w:t>for the purposes of</w:t>
      </w:r>
      <w:r w:rsidR="002B791E">
        <w:t xml:space="preserve"> a business it carries</w:t>
      </w:r>
      <w:r w:rsidR="000B156C">
        <w:t xml:space="preserve"> on </w:t>
      </w:r>
      <w:r w:rsidR="004A6686">
        <w:t>th</w:t>
      </w:r>
      <w:r w:rsidR="0082022A">
        <w:t>r</w:t>
      </w:r>
      <w:r w:rsidR="004A6686">
        <w:t xml:space="preserve">ough </w:t>
      </w:r>
      <w:r w:rsidR="00292734">
        <w:t>its New Zealand</w:t>
      </w:r>
      <w:r w:rsidR="004A6686">
        <w:t xml:space="preserve"> branch</w:t>
      </w:r>
      <w:r w:rsidR="00D549F0">
        <w:t>.</w:t>
      </w:r>
      <w:r w:rsidR="00EC2426">
        <w:t xml:space="preserve"> </w:t>
      </w:r>
      <w:r w:rsidR="00E46A1C">
        <w:t xml:space="preserve"> This is shown in figure 7</w:t>
      </w:r>
      <w:r w:rsidR="00EC2426">
        <w:t>.</w:t>
      </w:r>
    </w:p>
    <w:p w:rsidR="000608F9" w:rsidRDefault="000608F9">
      <w:pPr>
        <w:jc w:val="left"/>
        <w:rPr>
          <w:i/>
        </w:rPr>
      </w:pPr>
    </w:p>
    <w:p w:rsidR="00EC2426" w:rsidRDefault="00EC2426" w:rsidP="00636271">
      <w:pPr>
        <w:ind w:left="851"/>
        <w:rPr>
          <w:i/>
        </w:rPr>
      </w:pPr>
      <w:r w:rsidRPr="00636271">
        <w:rPr>
          <w:i/>
        </w:rPr>
        <w:t>Figure 7</w:t>
      </w:r>
      <w:r w:rsidR="000608F9" w:rsidRPr="00636271">
        <w:rPr>
          <w:i/>
        </w:rPr>
        <w:t>:  Proposal comparison for onshore branch exemption</w:t>
      </w:r>
    </w:p>
    <w:p w:rsidR="00472603" w:rsidRPr="00472603" w:rsidRDefault="00472603" w:rsidP="00636271">
      <w:pPr>
        <w:ind w:left="851"/>
      </w:pPr>
    </w:p>
    <w:p w:rsidR="00EC2426" w:rsidRDefault="00472603" w:rsidP="00472603">
      <w:pPr>
        <w:pStyle w:val="ListParagraph"/>
        <w:ind w:left="851"/>
        <w:jc w:val="center"/>
      </w:pPr>
      <w:r>
        <w:rPr>
          <w:noProof/>
          <w:lang w:val="en-NZ" w:eastAsia="en-NZ"/>
        </w:rPr>
        <w:drawing>
          <wp:inline distT="0" distB="0" distL="0" distR="0" wp14:anchorId="0D547867" wp14:editId="7C9BB4BF">
            <wp:extent cx="4714875" cy="29146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4875" cy="2914650"/>
                    </a:xfrm>
                    <a:prstGeom prst="rect">
                      <a:avLst/>
                    </a:prstGeom>
                    <a:noFill/>
                    <a:ln>
                      <a:noFill/>
                    </a:ln>
                  </pic:spPr>
                </pic:pic>
              </a:graphicData>
            </a:graphic>
          </wp:inline>
        </w:drawing>
      </w:r>
    </w:p>
    <w:p w:rsidR="00851593" w:rsidRDefault="00851593" w:rsidP="00FF2B46"/>
    <w:p w:rsidR="00834136" w:rsidRPr="00834136" w:rsidRDefault="00CE23DB" w:rsidP="00054600">
      <w:pPr>
        <w:pStyle w:val="Heading2"/>
      </w:pPr>
      <w:r>
        <w:t xml:space="preserve">Application date and </w:t>
      </w:r>
      <w:r w:rsidR="001A38BA">
        <w:t>t</w:t>
      </w:r>
      <w:r w:rsidR="00834136">
        <w:t>ransitional</w:t>
      </w:r>
      <w:r w:rsidR="00B54C90">
        <w:t xml:space="preserve"> treatment</w:t>
      </w:r>
    </w:p>
    <w:p w:rsidR="00D549F0" w:rsidRDefault="00D549F0" w:rsidP="00FF2B46"/>
    <w:p w:rsidR="00541082" w:rsidRDefault="005E786B" w:rsidP="00120C68">
      <w:pPr>
        <w:pStyle w:val="Chapter6"/>
      </w:pPr>
      <w:r>
        <w:t xml:space="preserve">We </w:t>
      </w:r>
      <w:r w:rsidR="00C36034">
        <w:t xml:space="preserve">suggest </w:t>
      </w:r>
      <w:r w:rsidR="000B156C">
        <w:t xml:space="preserve">the same </w:t>
      </w:r>
      <w:r w:rsidR="00CE23DB">
        <w:t xml:space="preserve">application date and </w:t>
      </w:r>
      <w:r w:rsidR="000B156C">
        <w:t xml:space="preserve">transitional treatment for interest </w:t>
      </w:r>
      <w:r w:rsidR="00834136">
        <w:t xml:space="preserve">paid to </w:t>
      </w:r>
      <w:r w:rsidR="007C2049">
        <w:t xml:space="preserve">a </w:t>
      </w:r>
      <w:r w:rsidR="00834136">
        <w:t>non-resident entit</w:t>
      </w:r>
      <w:r w:rsidR="007C2049">
        <w:t>y</w:t>
      </w:r>
      <w:r w:rsidR="00834136">
        <w:t xml:space="preserve"> with </w:t>
      </w:r>
      <w:r w:rsidR="007C2049">
        <w:t xml:space="preserve">a </w:t>
      </w:r>
      <w:r w:rsidR="00834136">
        <w:t>N</w:t>
      </w:r>
      <w:r w:rsidR="00ED1C04">
        <w:t xml:space="preserve">ew </w:t>
      </w:r>
      <w:r w:rsidR="00834136">
        <w:t>Z</w:t>
      </w:r>
      <w:r w:rsidR="00ED1C04">
        <w:t>ealand</w:t>
      </w:r>
      <w:r w:rsidR="00834136">
        <w:t xml:space="preserve"> branch</w:t>
      </w:r>
      <w:r w:rsidR="007C2049" w:rsidRPr="00851593">
        <w:rPr>
          <w:rStyle w:val="FootnoteReference"/>
          <w:sz w:val="24"/>
          <w:szCs w:val="24"/>
        </w:rPr>
        <w:footnoteReference w:id="12"/>
      </w:r>
      <w:r w:rsidR="00834136">
        <w:t xml:space="preserve"> as we do for interest paid </w:t>
      </w:r>
      <w:r w:rsidR="00541082">
        <w:t>by</w:t>
      </w:r>
      <w:r w:rsidR="00834136">
        <w:t xml:space="preserve"> </w:t>
      </w:r>
      <w:r w:rsidR="007C2049">
        <w:t xml:space="preserve">a </w:t>
      </w:r>
      <w:r w:rsidR="00834136">
        <w:t>non-N</w:t>
      </w:r>
      <w:r w:rsidR="00ED1C04">
        <w:t xml:space="preserve">ew </w:t>
      </w:r>
      <w:r w:rsidR="00834136">
        <w:t>Z</w:t>
      </w:r>
      <w:r w:rsidR="00ED1C04">
        <w:t>ealand</w:t>
      </w:r>
      <w:r w:rsidR="00834136">
        <w:t xml:space="preserve"> branch of </w:t>
      </w:r>
      <w:r w:rsidR="007C2049">
        <w:t xml:space="preserve">a </w:t>
      </w:r>
      <w:r w:rsidR="00834136">
        <w:t>N</w:t>
      </w:r>
      <w:r w:rsidR="00ED1C04">
        <w:t xml:space="preserve">ew </w:t>
      </w:r>
      <w:r w:rsidR="00834136">
        <w:t>Z</w:t>
      </w:r>
      <w:r w:rsidR="00ED1C04">
        <w:t>ealand</w:t>
      </w:r>
      <w:r w:rsidR="00834136">
        <w:t xml:space="preserve"> entit</w:t>
      </w:r>
      <w:r w:rsidR="007C2049">
        <w:t>y</w:t>
      </w:r>
      <w:r w:rsidR="00834136">
        <w:t>.</w:t>
      </w:r>
    </w:p>
    <w:p w:rsidR="00541082" w:rsidRDefault="00541082" w:rsidP="00FF2B46"/>
    <w:p w:rsidR="00D549F0" w:rsidRDefault="004553BD" w:rsidP="00120C68">
      <w:pPr>
        <w:pStyle w:val="Chapter6"/>
      </w:pPr>
      <w:bookmarkStart w:id="40" w:name="_Ref416948590"/>
      <w:r>
        <w:t>That is, NRWT (or AIL</w:t>
      </w:r>
      <w:r w:rsidR="00ED1C04">
        <w:t xml:space="preserve"> if the non-resident is not associated with the borrower</w:t>
      </w:r>
      <w:r>
        <w:t xml:space="preserve">) </w:t>
      </w:r>
      <w:r w:rsidR="00ED1C04">
        <w:t>will</w:t>
      </w:r>
      <w:r>
        <w:t xml:space="preserve"> apply to interest payments </w:t>
      </w:r>
      <w:r w:rsidR="00CE23DB">
        <w:t xml:space="preserve">on all arrangements entered into after enactment of the legislation.  Unless the non-resident operates in New Zealand as a registered bank, it will also apply to interest income </w:t>
      </w:r>
      <w:r w:rsidR="008D2B19">
        <w:t xml:space="preserve">on existing arrangements </w:t>
      </w:r>
      <w:r w:rsidR="002731F2">
        <w:t xml:space="preserve">in </w:t>
      </w:r>
      <w:r w:rsidR="00CE173B">
        <w:t>income years following enactment</w:t>
      </w:r>
      <w:r w:rsidR="00CE23DB">
        <w:t>.  The prepayment rule</w:t>
      </w:r>
      <w:r w:rsidR="000F6CFA">
        <w:t>,</w:t>
      </w:r>
      <w:r w:rsidR="00CE23DB">
        <w:t xml:space="preserve"> </w:t>
      </w:r>
      <w:r w:rsidR="00C36034">
        <w:t xml:space="preserve">if </w:t>
      </w:r>
      <w:r w:rsidR="00676286">
        <w:t>introduced</w:t>
      </w:r>
      <w:r w:rsidR="00C36034">
        <w:t xml:space="preserve">, </w:t>
      </w:r>
      <w:r w:rsidR="00CE23DB">
        <w:t>would apply in this context.  If the non-resident does operate in New Zealand as a registered bank, payments with respect to pre-enactment arrangements will be subject to NRWT/AIL if made on or after the f</w:t>
      </w:r>
      <w:r w:rsidR="00022AB4">
        <w:t>if</w:t>
      </w:r>
      <w:r w:rsidR="00CE23DB">
        <w:t>th year following enactment of the legislation.</w:t>
      </w:r>
      <w:bookmarkEnd w:id="40"/>
    </w:p>
    <w:p w:rsidR="002B19D6" w:rsidRPr="00AE1C04" w:rsidRDefault="002B19D6" w:rsidP="00FF2B46"/>
    <w:p w:rsidR="00851593" w:rsidRDefault="00851593">
      <w:pPr>
        <w:jc w:val="left"/>
        <w:rPr>
          <w:rFonts w:ascii="Times New Roman Bold" w:hAnsi="Times New Roman Bold"/>
          <w:b/>
          <w:kern w:val="28"/>
          <w:szCs w:val="24"/>
          <w:lang w:val="en-NZ"/>
        </w:rPr>
      </w:pPr>
      <w:r>
        <w:rPr>
          <w:lang w:val="en-NZ"/>
        </w:rPr>
        <w:br w:type="page"/>
      </w:r>
    </w:p>
    <w:p w:rsidR="002B19D6" w:rsidRPr="00AE1C04" w:rsidRDefault="001A38BA" w:rsidP="002B19D6">
      <w:pPr>
        <w:pStyle w:val="Heading1"/>
        <w:rPr>
          <w:lang w:val="en-NZ"/>
        </w:rPr>
      </w:pPr>
      <w:bookmarkStart w:id="41" w:name="_Toc418756728"/>
      <w:r>
        <w:rPr>
          <w:lang w:val="en-NZ"/>
        </w:rPr>
        <w:lastRenderedPageBreak/>
        <w:t>Cross-</w:t>
      </w:r>
      <w:r w:rsidR="00B54C90">
        <w:rPr>
          <w:lang w:val="en-NZ"/>
        </w:rPr>
        <w:t>border related-</w:t>
      </w:r>
      <w:r w:rsidR="0034637A">
        <w:rPr>
          <w:lang w:val="en-NZ"/>
        </w:rPr>
        <w:t>party borrowing by b</w:t>
      </w:r>
      <w:r w:rsidR="0016427D">
        <w:rPr>
          <w:lang w:val="en-NZ"/>
        </w:rPr>
        <w:t>anks</w:t>
      </w:r>
      <w:bookmarkEnd w:id="41"/>
    </w:p>
    <w:p w:rsidR="002B19D6" w:rsidRPr="00AE1C04" w:rsidRDefault="002B19D6" w:rsidP="00FF2B46"/>
    <w:p w:rsidR="00834136" w:rsidRDefault="00834136" w:rsidP="00120C68">
      <w:pPr>
        <w:pStyle w:val="Chapter6"/>
      </w:pPr>
      <w:bookmarkStart w:id="42" w:name="_Ref416948651"/>
      <w:r>
        <w:t>On first principles, whether NRWT or AIL applies to interest paid by a N</w:t>
      </w:r>
      <w:r w:rsidR="008D2B19">
        <w:t xml:space="preserve">ew </w:t>
      </w:r>
      <w:r>
        <w:t>Z</w:t>
      </w:r>
      <w:r w:rsidR="008D2B19">
        <w:t>ealand</w:t>
      </w:r>
      <w:r>
        <w:t xml:space="preserve"> resident to either</w:t>
      </w:r>
      <w:r w:rsidR="004553BD">
        <w:t>:</w:t>
      </w:r>
      <w:bookmarkEnd w:id="42"/>
    </w:p>
    <w:p w:rsidR="000856EE" w:rsidRDefault="000856EE" w:rsidP="00FF2B46"/>
    <w:p w:rsidR="00834136" w:rsidRDefault="00ED1C04" w:rsidP="00AA70EB">
      <w:pPr>
        <w:pStyle w:val="Bullets"/>
      </w:pPr>
      <w:r>
        <w:t>t</w:t>
      </w:r>
      <w:r w:rsidR="00834136">
        <w:t>he offshore branch of a N</w:t>
      </w:r>
      <w:r w:rsidR="00B54C90">
        <w:t xml:space="preserve">ew </w:t>
      </w:r>
      <w:r w:rsidR="00834136">
        <w:t>Z</w:t>
      </w:r>
      <w:r w:rsidR="00B54C90">
        <w:t>ealand</w:t>
      </w:r>
      <w:r w:rsidR="00834136">
        <w:t xml:space="preserve"> resident; or</w:t>
      </w:r>
    </w:p>
    <w:p w:rsidR="00834136" w:rsidRDefault="00ED1C04" w:rsidP="00AA70EB">
      <w:pPr>
        <w:pStyle w:val="Bullets"/>
      </w:pPr>
      <w:r>
        <w:t>a</w:t>
      </w:r>
      <w:r w:rsidR="00834136">
        <w:t xml:space="preserve"> non-resident with a N</w:t>
      </w:r>
      <w:r w:rsidR="00B54C90">
        <w:t xml:space="preserve">ew </w:t>
      </w:r>
      <w:r w:rsidR="00834136">
        <w:t>Z</w:t>
      </w:r>
      <w:r w:rsidR="00B54C90">
        <w:t>ealand</w:t>
      </w:r>
      <w:r w:rsidR="00834136">
        <w:t xml:space="preserve"> branch, where the interest does not relate to the branch</w:t>
      </w:r>
    </w:p>
    <w:p w:rsidR="00ED1C04" w:rsidRDefault="00834136" w:rsidP="00F94F53">
      <w:pPr>
        <w:pStyle w:val="Chapter5"/>
        <w:numPr>
          <w:ilvl w:val="0"/>
          <w:numId w:val="0"/>
        </w:numPr>
        <w:ind w:left="851"/>
      </w:pPr>
      <w:r>
        <w:t>will be determined by whether or not the borrower and lender are associated.</w:t>
      </w:r>
      <w:r w:rsidR="00ED1C04">
        <w:t xml:space="preserve">  However, this proposition requires further examination in the case of bank lending.</w:t>
      </w:r>
    </w:p>
    <w:p w:rsidR="009337DB" w:rsidRDefault="009337DB" w:rsidP="00FF2B46"/>
    <w:p w:rsidR="009D0605" w:rsidRDefault="009D0605" w:rsidP="00120C68">
      <w:pPr>
        <w:pStyle w:val="Chapter6"/>
      </w:pPr>
      <w:r>
        <w:t xml:space="preserve">For a </w:t>
      </w:r>
      <w:r w:rsidR="00ED1C04">
        <w:t xml:space="preserve">New Zealand </w:t>
      </w:r>
      <w:r>
        <w:t>b</w:t>
      </w:r>
      <w:r w:rsidR="009337DB">
        <w:t xml:space="preserve">ank that is part of a wider worldwide banking operation there are commercial reasons why the New Zealand </w:t>
      </w:r>
      <w:r>
        <w:t>b</w:t>
      </w:r>
      <w:r w:rsidR="009337DB">
        <w:t xml:space="preserve">ank may borrow from </w:t>
      </w:r>
      <w:r w:rsidR="002B791E">
        <w:t>its</w:t>
      </w:r>
      <w:r w:rsidR="009337DB">
        <w:t xml:space="preserve"> parent or another associated entity.  This can include the better credit rating held by the larger parent, economies of scale of a single funding operation and/or better name recognition of the parent</w:t>
      </w:r>
      <w:r w:rsidR="00B54C90">
        <w:t>,</w:t>
      </w:r>
      <w:r w:rsidR="009337DB">
        <w:t xml:space="preserve"> which allow</w:t>
      </w:r>
      <w:r w:rsidR="00B54C90">
        <w:t>s</w:t>
      </w:r>
      <w:r w:rsidR="009337DB">
        <w:t xml:space="preserve"> fun</w:t>
      </w:r>
      <w:r w:rsidR="00E46A1C">
        <w:t>ding to be raised more cheaply.</w:t>
      </w:r>
    </w:p>
    <w:p w:rsidR="009D0605" w:rsidRDefault="009D0605" w:rsidP="00FF2B46"/>
    <w:p w:rsidR="009337DB" w:rsidRDefault="009D0605" w:rsidP="00120C68">
      <w:pPr>
        <w:pStyle w:val="Chapter6"/>
      </w:pPr>
      <w:bookmarkStart w:id="43" w:name="_Ref406745864"/>
      <w:r>
        <w:t xml:space="preserve">Unlike most other industries, even when the fungibility of money prevents it being traced through to the ultimate funding source, due to the structure of a bank </w:t>
      </w:r>
      <w:r w:rsidR="00612A31">
        <w:t xml:space="preserve">as a margin lender </w:t>
      </w:r>
      <w:r>
        <w:t xml:space="preserve">it can reasonably be considered that funding on-lent to a New Zealand bank by </w:t>
      </w:r>
      <w:r w:rsidR="00333E3D">
        <w:t>its</w:t>
      </w:r>
      <w:r w:rsidR="0034637A">
        <w:t xml:space="preserve"> parent i</w:t>
      </w:r>
      <w:r>
        <w:t xml:space="preserve">s </w:t>
      </w:r>
      <w:r w:rsidR="00FA3724">
        <w:t xml:space="preserve">largely </w:t>
      </w:r>
      <w:r>
        <w:t xml:space="preserve">ultimately borrowed from </w:t>
      </w:r>
      <w:r w:rsidR="00426002">
        <w:t xml:space="preserve">an unrelated third </w:t>
      </w:r>
      <w:r w:rsidR="0034637A">
        <w:t>party and is</w:t>
      </w:r>
      <w:r>
        <w:t xml:space="preserve"> </w:t>
      </w:r>
      <w:r w:rsidR="0034637A">
        <w:t xml:space="preserve">largely </w:t>
      </w:r>
      <w:r>
        <w:t>not provided by the parent bank’s shareholders as a substitute for equity.</w:t>
      </w:r>
      <w:bookmarkEnd w:id="43"/>
    </w:p>
    <w:p w:rsidR="0066476D" w:rsidRDefault="0066476D" w:rsidP="00FF2B46"/>
    <w:p w:rsidR="0066476D" w:rsidRDefault="00B54C90" w:rsidP="00120C68">
      <w:pPr>
        <w:pStyle w:val="Chapter6"/>
      </w:pPr>
      <w:r>
        <w:t>Interest on related-</w:t>
      </w:r>
      <w:r w:rsidR="0066476D">
        <w:t xml:space="preserve">party funding to a New Zealand bank </w:t>
      </w:r>
      <w:r w:rsidR="005978FC">
        <w:t>should be</w:t>
      </w:r>
      <w:r w:rsidR="0066476D">
        <w:t xml:space="preserve"> set according to transfer pricing principles such as the cost of funds to the parent bank, any difference in credit rating of the New Zealand bank</w:t>
      </w:r>
      <w:r>
        <w:t>,</w:t>
      </w:r>
      <w:r w:rsidR="0066476D">
        <w:t xml:space="preserve"> and different terms applied to the money lent to the New Zealand bank compared </w:t>
      </w:r>
      <w:r>
        <w:t>with</w:t>
      </w:r>
      <w:r w:rsidR="0066476D">
        <w:t xml:space="preserve"> its original borrowing.  Accordingly the New Zealand bank has to accept (or not) the interest rate applied to that funding and has very little negotiating power over </w:t>
      </w:r>
      <w:r w:rsidR="00516ECC">
        <w:t xml:space="preserve">what </w:t>
      </w:r>
      <w:r w:rsidR="0066476D">
        <w:t>that rate</w:t>
      </w:r>
      <w:r w:rsidR="00516ECC">
        <w:t xml:space="preserve"> is</w:t>
      </w:r>
      <w:r w:rsidR="0066476D">
        <w:t>.</w:t>
      </w:r>
    </w:p>
    <w:p w:rsidR="009337DB" w:rsidRDefault="009337DB" w:rsidP="00FF2B46"/>
    <w:p w:rsidR="009337DB" w:rsidRDefault="002D18D3" w:rsidP="00120C68">
      <w:pPr>
        <w:pStyle w:val="Chapter6"/>
      </w:pPr>
      <w:r>
        <w:t>If a foreign associate</w:t>
      </w:r>
      <w:r w:rsidR="009337DB">
        <w:t xml:space="preserve"> </w:t>
      </w:r>
      <w:r w:rsidR="00B54C90">
        <w:t>lends directly to a New Zealand-</w:t>
      </w:r>
      <w:r w:rsidR="009337DB">
        <w:t>incorporated r</w:t>
      </w:r>
      <w:r w:rsidR="009D0605">
        <w:t>egistered b</w:t>
      </w:r>
      <w:r w:rsidR="009337DB">
        <w:t>ank</w:t>
      </w:r>
      <w:r w:rsidR="00B54C90">
        <w:t>,</w:t>
      </w:r>
      <w:r w:rsidR="009337DB">
        <w:t xml:space="preserve"> the interest on this lending will be subject to NRWT</w:t>
      </w:r>
      <w:r w:rsidR="009D0605">
        <w:t xml:space="preserve">.  Whereas </w:t>
      </w:r>
      <w:r w:rsidR="00C03046">
        <w:t xml:space="preserve">if that lending is channelled through an offshore branch of a New Zealand subsidiary </w:t>
      </w:r>
      <w:r w:rsidR="00612A31">
        <w:t xml:space="preserve">or </w:t>
      </w:r>
      <w:r w:rsidR="00292734">
        <w:t>the head office</w:t>
      </w:r>
      <w:r w:rsidR="00612A31">
        <w:t xml:space="preserve"> of an offshore company</w:t>
      </w:r>
      <w:r w:rsidR="00C03046">
        <w:t xml:space="preserve"> </w:t>
      </w:r>
      <w:r w:rsidR="00292734">
        <w:t>with a New Zealand branch</w:t>
      </w:r>
      <w:r w:rsidR="00B54C90">
        <w:t>,</w:t>
      </w:r>
      <w:r w:rsidR="00292734">
        <w:t xml:space="preserve"> </w:t>
      </w:r>
      <w:r w:rsidR="00C03046">
        <w:t>this lending is not subject to NRWT</w:t>
      </w:r>
      <w:r w:rsidR="002731F2">
        <w:t>.</w:t>
      </w:r>
      <w:r w:rsidR="00612A31" w:rsidRPr="002731F2">
        <w:rPr>
          <w:rStyle w:val="FootnoteReference"/>
          <w:sz w:val="24"/>
          <w:szCs w:val="24"/>
        </w:rPr>
        <w:footnoteReference w:id="13"/>
      </w:r>
      <w:r w:rsidR="00C03046">
        <w:t xml:space="preserve">  As these </w:t>
      </w:r>
      <w:r w:rsidR="00720DE7">
        <w:t>arrangement</w:t>
      </w:r>
      <w:r w:rsidR="00C03046">
        <w:t>s have the same economic substance</w:t>
      </w:r>
      <w:r w:rsidR="00B54C90">
        <w:t>,</w:t>
      </w:r>
      <w:r w:rsidR="00C03046">
        <w:t xml:space="preserve"> the NRWT treatment should be</w:t>
      </w:r>
      <w:r w:rsidR="00721C68">
        <w:t xml:space="preserve"> the same</w:t>
      </w:r>
      <w:r w:rsidR="00C03046">
        <w:t>.</w:t>
      </w:r>
    </w:p>
    <w:p w:rsidR="00612A31" w:rsidRDefault="00612A31" w:rsidP="00FF2B46"/>
    <w:p w:rsidR="00ED1C04" w:rsidRDefault="00612A31" w:rsidP="00120C68">
      <w:pPr>
        <w:pStyle w:val="Chapter6"/>
      </w:pPr>
      <w:bookmarkStart w:id="44" w:name="_Ref412541559"/>
      <w:r>
        <w:t>By restricting the offshore and onshore branch exemptions</w:t>
      </w:r>
      <w:r w:rsidR="006D41EB">
        <w:t>,</w:t>
      </w:r>
      <w:r>
        <w:t xml:space="preserve"> as covered above</w:t>
      </w:r>
      <w:r w:rsidR="006D41EB">
        <w:t>,</w:t>
      </w:r>
      <w:r>
        <w:t xml:space="preserve"> New Zealand banks will no longer be able to rely on these structures to remove their NRWT liability.</w:t>
      </w:r>
      <w:r w:rsidR="006D41EB">
        <w:t xml:space="preserve">  However, </w:t>
      </w:r>
      <w:r w:rsidR="00721C68">
        <w:t xml:space="preserve">we </w:t>
      </w:r>
      <w:r w:rsidR="006D41EB">
        <w:t>recognise that, as covered above, banks are margin lenders</w:t>
      </w:r>
      <w:r w:rsidR="00ED1C04">
        <w:t>, which means that:</w:t>
      </w:r>
    </w:p>
    <w:p w:rsidR="00ED1C04" w:rsidRDefault="00ED1C04" w:rsidP="00FF2B46"/>
    <w:p w:rsidR="00ED1C04" w:rsidRDefault="00333E3D" w:rsidP="00AA70EB">
      <w:pPr>
        <w:pStyle w:val="Bullets"/>
      </w:pPr>
      <w:r>
        <w:t xml:space="preserve">they </w:t>
      </w:r>
      <w:r w:rsidR="006D41EB">
        <w:t>do not make large profits on any particular dollar of lending</w:t>
      </w:r>
      <w:r w:rsidR="00ED1C04">
        <w:t>; and</w:t>
      </w:r>
    </w:p>
    <w:p w:rsidR="00851593" w:rsidRDefault="00851593" w:rsidP="00AA70EB">
      <w:pPr>
        <w:pStyle w:val="Bullets"/>
        <w:rPr>
          <w:lang w:val="en-NZ"/>
        </w:rPr>
      </w:pPr>
      <w:r>
        <w:br w:type="page"/>
      </w:r>
    </w:p>
    <w:p w:rsidR="00907171" w:rsidRDefault="00F94F53" w:rsidP="00AA70EB">
      <w:pPr>
        <w:pStyle w:val="Bullets"/>
        <w:spacing w:after="0"/>
      </w:pPr>
      <w:r>
        <w:lastRenderedPageBreak/>
        <w:t>th</w:t>
      </w:r>
      <w:r w:rsidR="00333E3D">
        <w:t xml:space="preserve">eir </w:t>
      </w:r>
      <w:r w:rsidR="006D41EB">
        <w:t>related party lending is indirectly sourced from third parties and is not a substitute for equity investment.</w:t>
      </w:r>
    </w:p>
    <w:p w:rsidR="00483BEB" w:rsidRDefault="00483BEB" w:rsidP="00483BEB"/>
    <w:p w:rsidR="00612A31" w:rsidRDefault="00DD25FA" w:rsidP="002D18D3">
      <w:pPr>
        <w:pStyle w:val="Chapter5"/>
        <w:numPr>
          <w:ilvl w:val="0"/>
          <w:numId w:val="0"/>
        </w:numPr>
        <w:ind w:left="851"/>
      </w:pPr>
      <w:r>
        <w:t>Also</w:t>
      </w:r>
      <w:r w:rsidR="00B54C90">
        <w:t>,</w:t>
      </w:r>
      <w:r>
        <w:t xml:space="preserve"> applying NRWT to bank interest would be likely to increase the cost of capital for all borrowers in New Zealand significantly</w:t>
      </w:r>
      <w:r w:rsidR="009D6C41">
        <w:rPr>
          <w:lang w:eastAsia="en-NZ"/>
        </w:rPr>
        <w:t xml:space="preserve">, </w:t>
      </w:r>
      <w:r w:rsidR="009D6C41" w:rsidRPr="009D6C41">
        <w:rPr>
          <w:bCs/>
          <w:lang w:eastAsia="en-NZ"/>
        </w:rPr>
        <w:t>should the banks increase their level of related party funding into New Zealand</w:t>
      </w:r>
      <w:r>
        <w:t xml:space="preserve">.  </w:t>
      </w:r>
      <w:r w:rsidR="00B37E39">
        <w:t xml:space="preserve">For </w:t>
      </w:r>
      <w:r w:rsidR="00037767">
        <w:t xml:space="preserve">these reasons NRWT </w:t>
      </w:r>
      <w:r w:rsidR="00721C68">
        <w:t xml:space="preserve">is likely to </w:t>
      </w:r>
      <w:r w:rsidR="00037767">
        <w:t>be inappropriate for this lending.</w:t>
      </w:r>
      <w:bookmarkEnd w:id="44"/>
    </w:p>
    <w:p w:rsidR="006D41EB" w:rsidRDefault="006D41EB" w:rsidP="00FF2B46"/>
    <w:p w:rsidR="00475683" w:rsidRDefault="00F63C2D" w:rsidP="00120C68">
      <w:pPr>
        <w:pStyle w:val="Chapter6"/>
      </w:pPr>
      <w:r>
        <w:t xml:space="preserve">Officials </w:t>
      </w:r>
      <w:r w:rsidR="006D41EB">
        <w:t xml:space="preserve">therefore </w:t>
      </w:r>
      <w:r>
        <w:t>suggest that</w:t>
      </w:r>
      <w:r w:rsidR="00907171">
        <w:t xml:space="preserve"> </w:t>
      </w:r>
      <w:r w:rsidR="00037767">
        <w:t xml:space="preserve">banks </w:t>
      </w:r>
      <w:r>
        <w:t xml:space="preserve">be allowed </w:t>
      </w:r>
      <w:r w:rsidR="006D41EB">
        <w:t xml:space="preserve">to </w:t>
      </w:r>
      <w:r w:rsidR="00907171">
        <w:t xml:space="preserve">pay </w:t>
      </w:r>
      <w:r w:rsidR="006D41EB">
        <w:t xml:space="preserve">AIL </w:t>
      </w:r>
      <w:r w:rsidR="00907171">
        <w:t>on interest paid to</w:t>
      </w:r>
      <w:r w:rsidR="002D18D3">
        <w:t xml:space="preserve"> non-resident</w:t>
      </w:r>
      <w:r w:rsidR="00907171">
        <w:t xml:space="preserve"> associated lenders</w:t>
      </w:r>
      <w:r w:rsidR="006D41EB">
        <w:t xml:space="preserve">.  This would only apply when </w:t>
      </w:r>
      <w:r w:rsidR="004553BD">
        <w:t>t</w:t>
      </w:r>
      <w:r w:rsidR="00475683">
        <w:t>he borrower is a member of a New Zealand banking group (</w:t>
      </w:r>
      <w:r w:rsidR="00721C68">
        <w:t xml:space="preserve">as </w:t>
      </w:r>
      <w:r w:rsidR="00475683">
        <w:t>already defined for thin capitalisation purposes)</w:t>
      </w:r>
      <w:r w:rsidR="004553BD">
        <w:t>.</w:t>
      </w:r>
    </w:p>
    <w:p w:rsidR="00B54C90" w:rsidRDefault="00B54C90" w:rsidP="00B54C90">
      <w:pPr>
        <w:pStyle w:val="Chapter6"/>
        <w:numPr>
          <w:ilvl w:val="0"/>
          <w:numId w:val="0"/>
        </w:numPr>
        <w:ind w:left="851"/>
      </w:pPr>
    </w:p>
    <w:p w:rsidR="00B54C90" w:rsidRDefault="00B54C90" w:rsidP="00120C68">
      <w:pPr>
        <w:pStyle w:val="Chapter6"/>
      </w:pPr>
      <w:r>
        <w:t>For the same reasons, the suggestions in Chapter 3 would not apply to registered banks either.</w:t>
      </w:r>
    </w:p>
    <w:p w:rsidR="00475683" w:rsidRDefault="00475683" w:rsidP="006037B5"/>
    <w:p w:rsidR="005E786B" w:rsidRDefault="005E786B" w:rsidP="00120C68">
      <w:pPr>
        <w:pStyle w:val="Chapter6"/>
      </w:pPr>
      <w:r>
        <w:t xml:space="preserve">We </w:t>
      </w:r>
      <w:r w:rsidR="00135076">
        <w:t xml:space="preserve">suggest </w:t>
      </w:r>
      <w:r>
        <w:t xml:space="preserve">that banks would be able to </w:t>
      </w:r>
      <w:r w:rsidR="00907171">
        <w:t>pay</w:t>
      </w:r>
      <w:r>
        <w:t xml:space="preserve"> AIL on interest payments </w:t>
      </w:r>
      <w:r w:rsidR="00907171">
        <w:t xml:space="preserve">made </w:t>
      </w:r>
      <w:r>
        <w:t>after the enactment of the bill containing these proposals.</w:t>
      </w:r>
    </w:p>
    <w:p w:rsidR="005E786B" w:rsidRDefault="005E786B" w:rsidP="00FF2B46"/>
    <w:p w:rsidR="00475683" w:rsidRDefault="00F63C2D" w:rsidP="00120C68">
      <w:pPr>
        <w:pStyle w:val="Chapter6"/>
      </w:pPr>
      <w:bookmarkStart w:id="45" w:name="_Ref416948654"/>
      <w:r>
        <w:t>There is no suggestion</w:t>
      </w:r>
      <w:r w:rsidR="00475683">
        <w:t xml:space="preserve"> to extend this </w:t>
      </w:r>
      <w:r w:rsidR="00A630CC">
        <w:t xml:space="preserve">approach </w:t>
      </w:r>
      <w:r w:rsidR="00475683">
        <w:t>to non-banks</w:t>
      </w:r>
      <w:r w:rsidR="009978DE">
        <w:t>,</w:t>
      </w:r>
      <w:r w:rsidR="00475683">
        <w:t xml:space="preserve"> including </w:t>
      </w:r>
      <w:r w:rsidR="00721C68">
        <w:t xml:space="preserve">other </w:t>
      </w:r>
      <w:r w:rsidR="009978DE">
        <w:t xml:space="preserve">businesses </w:t>
      </w:r>
      <w:r w:rsidR="00475683">
        <w:t>operating in the financial sector.  This is because, unlike other industries, banks already have a clear definition which removes boundary issues</w:t>
      </w:r>
      <w:r w:rsidR="009978DE">
        <w:t xml:space="preserve"> and p</w:t>
      </w:r>
      <w:r w:rsidR="00B54C90">
        <w:t>rovides confidence that related-</w:t>
      </w:r>
      <w:r w:rsidR="009978DE">
        <w:t>party funding is not an economic substitute for equity investment.  This is consistent with the curren</w:t>
      </w:r>
      <w:r w:rsidR="00B54C90">
        <w:t>t legislation where New Zealand-</w:t>
      </w:r>
      <w:r w:rsidR="009978DE">
        <w:t>registered banks are subject to more rigorous thin capitalisation requirements</w:t>
      </w:r>
      <w:r w:rsidR="007B4CBC">
        <w:t xml:space="preserve"> and </w:t>
      </w:r>
      <w:r w:rsidR="007C2049">
        <w:t xml:space="preserve">greater </w:t>
      </w:r>
      <w:r w:rsidR="007B4CBC">
        <w:t>regulatory oversight by the Reserve Bank of New Zealand,</w:t>
      </w:r>
      <w:r w:rsidR="009978DE">
        <w:t xml:space="preserve"> than other financial sector taxpayers.</w:t>
      </w:r>
      <w:bookmarkEnd w:id="45"/>
    </w:p>
    <w:p w:rsidR="00775FAF" w:rsidRDefault="00775FAF" w:rsidP="00FF2B46"/>
    <w:p w:rsidR="0007377F" w:rsidRDefault="0007377F" w:rsidP="00FF2B46"/>
    <w:p w:rsidR="003138F9" w:rsidRPr="00C43A88" w:rsidRDefault="00882B06" w:rsidP="003138F9">
      <w:pPr>
        <w:pBdr>
          <w:top w:val="single" w:sz="4" w:space="10" w:color="auto"/>
          <w:left w:val="single" w:sz="4" w:space="10" w:color="auto"/>
          <w:bottom w:val="single" w:sz="4" w:space="10" w:color="auto"/>
          <w:right w:val="single" w:sz="4" w:space="10" w:color="auto"/>
        </w:pBdr>
        <w:jc w:val="left"/>
        <w:rPr>
          <w:b/>
          <w:bCs/>
          <w:caps/>
        </w:rPr>
      </w:pPr>
      <w:r>
        <w:rPr>
          <w:b/>
          <w:bCs/>
        </w:rPr>
        <w:t>Q</w:t>
      </w:r>
      <w:r w:rsidRPr="00C43A88">
        <w:rPr>
          <w:b/>
          <w:bCs/>
        </w:rPr>
        <w:t>uestions for submitters</w:t>
      </w:r>
    </w:p>
    <w:p w:rsidR="003138F9" w:rsidRPr="00FF2B46" w:rsidRDefault="003138F9" w:rsidP="003138F9">
      <w:pPr>
        <w:pBdr>
          <w:top w:val="single" w:sz="4" w:space="10" w:color="auto"/>
          <w:left w:val="single" w:sz="4" w:space="10" w:color="auto"/>
          <w:bottom w:val="single" w:sz="4" w:space="10" w:color="auto"/>
          <w:right w:val="single" w:sz="4" w:space="10" w:color="auto"/>
        </w:pBdr>
        <w:jc w:val="left"/>
        <w:rPr>
          <w:bCs/>
          <w:caps/>
        </w:rPr>
      </w:pPr>
    </w:p>
    <w:p w:rsidR="003138F9" w:rsidRDefault="00882B06"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6</w:t>
      </w:r>
      <w:r w:rsidR="00C50179">
        <w:t>.</w:t>
      </w:r>
      <w:r w:rsidR="003138F9">
        <w:t>1</w:t>
      </w:r>
      <w:r w:rsidR="003138F9">
        <w:tab/>
      </w:r>
      <w:r w:rsidR="006947F8">
        <w:t>Should</w:t>
      </w:r>
      <w:r w:rsidR="003138F9">
        <w:t xml:space="preserve"> the offshore branch exemption apply to borrowing used to</w:t>
      </w:r>
      <w:r w:rsidR="00E579AC">
        <w:t xml:space="preserve"> </w:t>
      </w:r>
      <w:r w:rsidR="00296971">
        <w:t>make loans to New Zealand residents</w:t>
      </w:r>
      <w:r w:rsidR="003138F9">
        <w:t>?</w:t>
      </w:r>
    </w:p>
    <w:p w:rsidR="00296971" w:rsidRDefault="00296971"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296971" w:rsidRDefault="00882B06"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6</w:t>
      </w:r>
      <w:r w:rsidR="00296971">
        <w:t>.2</w:t>
      </w:r>
      <w:r w:rsidR="00296971">
        <w:tab/>
        <w:t xml:space="preserve">Are there any particular reasons to apply AIL/NRWT to interest </w:t>
      </w:r>
      <w:r w:rsidR="001338D5">
        <w:t xml:space="preserve">paid </w:t>
      </w:r>
      <w:r w:rsidR="00296971">
        <w:t>to an offshore branch by a N</w:t>
      </w:r>
      <w:r w:rsidR="00B54C90">
        <w:t>ew Zealand-</w:t>
      </w:r>
      <w:r w:rsidR="00296971">
        <w:t>resident borrower, rather than applying it to the interest which the offshore branch pays on money it borrows in order to m</w:t>
      </w:r>
      <w:r w:rsidR="00B54C90">
        <w:t>ake the loan to the New Zealand-</w:t>
      </w:r>
      <w:r w:rsidR="00296971">
        <w:t>resident borrower?</w:t>
      </w:r>
    </w:p>
    <w:p w:rsidR="00475683" w:rsidRDefault="00475683"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475683" w:rsidRDefault="00882B06"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6</w:t>
      </w:r>
      <w:r w:rsidR="00C50179">
        <w:t>.</w:t>
      </w:r>
      <w:r w:rsidR="00475683">
        <w:t>2</w:t>
      </w:r>
      <w:r w:rsidR="00475683">
        <w:tab/>
      </w:r>
      <w:r w:rsidR="006947F8">
        <w:t xml:space="preserve">Should </w:t>
      </w:r>
      <w:r w:rsidR="00475683">
        <w:t xml:space="preserve">the onshore branch exemption apply </w:t>
      </w:r>
      <w:r w:rsidR="006947F8">
        <w:t xml:space="preserve">only </w:t>
      </w:r>
      <w:r w:rsidR="00475683">
        <w:t>to borrowing through</w:t>
      </w:r>
      <w:r w:rsidR="00292734">
        <w:t xml:space="preserve"> the </w:t>
      </w:r>
      <w:r w:rsidR="00475683">
        <w:t>New Zealand</w:t>
      </w:r>
      <w:r w:rsidR="00292734">
        <w:t xml:space="preserve"> branch of a foreign lender</w:t>
      </w:r>
      <w:r w:rsidR="00475683">
        <w:t>?</w:t>
      </w:r>
    </w:p>
    <w:p w:rsidR="00475683" w:rsidRDefault="00475683"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475683" w:rsidRDefault="00882B06"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6</w:t>
      </w:r>
      <w:r w:rsidR="00C50179">
        <w:t>.</w:t>
      </w:r>
      <w:r w:rsidR="00475683">
        <w:t>3</w:t>
      </w:r>
      <w:r w:rsidR="00475683">
        <w:tab/>
      </w:r>
      <w:r w:rsidR="006947F8">
        <w:t xml:space="preserve">Should </w:t>
      </w:r>
      <w:r w:rsidR="00B54C90">
        <w:t>New Zealand-</w:t>
      </w:r>
      <w:r w:rsidR="00475683">
        <w:t>registered bank</w:t>
      </w:r>
      <w:r w:rsidR="00B54C90">
        <w:t>s be able to pay AIL on related-</w:t>
      </w:r>
      <w:r w:rsidR="00475683">
        <w:t>party funding provided by a non-r</w:t>
      </w:r>
      <w:r w:rsidR="002D18D3">
        <w:t>esident</w:t>
      </w:r>
      <w:r w:rsidR="00475683">
        <w:t>?</w:t>
      </w:r>
    </w:p>
    <w:p w:rsidR="005E786B" w:rsidRDefault="005E786B"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p>
    <w:p w:rsidR="005E786B" w:rsidRDefault="00882B06" w:rsidP="003138F9">
      <w:pPr>
        <w:pStyle w:val="Chapter1"/>
        <w:numPr>
          <w:ilvl w:val="0"/>
          <w:numId w:val="0"/>
        </w:numPr>
        <w:pBdr>
          <w:top w:val="single" w:sz="4" w:space="10" w:color="auto"/>
          <w:left w:val="single" w:sz="4" w:space="10" w:color="auto"/>
          <w:bottom w:val="single" w:sz="4" w:space="10" w:color="auto"/>
          <w:right w:val="single" w:sz="4" w:space="10" w:color="auto"/>
        </w:pBdr>
        <w:ind w:left="567" w:hanging="567"/>
      </w:pPr>
      <w:r>
        <w:t>6</w:t>
      </w:r>
      <w:r w:rsidR="00C50179">
        <w:t>.</w:t>
      </w:r>
      <w:r w:rsidR="005E786B">
        <w:t>4</w:t>
      </w:r>
      <w:r w:rsidR="005E786B">
        <w:tab/>
      </w:r>
      <w:r w:rsidR="006947F8">
        <w:t xml:space="preserve">Should </w:t>
      </w:r>
      <w:r w:rsidR="005E786B">
        <w:t>the</w:t>
      </w:r>
      <w:r w:rsidR="00135076">
        <w:t xml:space="preserve"> suggested changes</w:t>
      </w:r>
      <w:r w:rsidR="005E786B">
        <w:t xml:space="preserve"> apply from the date</w:t>
      </w:r>
      <w:r w:rsidR="00720DE7">
        <w:t>s identified above</w:t>
      </w:r>
      <w:r w:rsidR="005E786B">
        <w:t>?</w:t>
      </w:r>
    </w:p>
    <w:p w:rsidR="003138F9" w:rsidRDefault="003138F9" w:rsidP="0007377F"/>
    <w:p w:rsidR="003138F9" w:rsidRDefault="003138F9" w:rsidP="0007377F"/>
    <w:p w:rsidR="002B19D6" w:rsidRPr="00AE1C04" w:rsidRDefault="002B19D6" w:rsidP="008E6DCD">
      <w:pPr>
        <w:pStyle w:val="Chapter5"/>
        <w:numPr>
          <w:ilvl w:val="0"/>
          <w:numId w:val="0"/>
        </w:numPr>
        <w:ind w:left="851"/>
      </w:pPr>
      <w:r w:rsidRPr="00AE1C04">
        <w:br w:type="page"/>
      </w:r>
    </w:p>
    <w:p w:rsidR="008E6DCD" w:rsidRDefault="008E6DCD" w:rsidP="00882B06">
      <w:pPr>
        <w:pStyle w:val="Chapterheading"/>
        <w:rPr>
          <w:lang w:val="en-NZ"/>
        </w:rPr>
      </w:pPr>
      <w:bookmarkStart w:id="46" w:name="_Toc418756729"/>
      <w:r>
        <w:rPr>
          <w:lang w:val="en-NZ"/>
        </w:rPr>
        <w:lastRenderedPageBreak/>
        <w:t xml:space="preserve">APPENDIX </w:t>
      </w:r>
      <w:r w:rsidR="007411C0">
        <w:rPr>
          <w:lang w:val="en-NZ"/>
        </w:rPr>
        <w:t>1</w:t>
      </w:r>
      <w:bookmarkEnd w:id="46"/>
    </w:p>
    <w:p w:rsidR="008E6DCD" w:rsidRDefault="008E6DCD" w:rsidP="00882B06">
      <w:pPr>
        <w:pStyle w:val="Chapterheading"/>
        <w:rPr>
          <w:lang w:val="en-NZ"/>
        </w:rPr>
      </w:pPr>
    </w:p>
    <w:p w:rsidR="002B19D6" w:rsidRPr="00AE1C04" w:rsidRDefault="00882B06" w:rsidP="00882B06">
      <w:pPr>
        <w:pStyle w:val="Chapterheading"/>
        <w:rPr>
          <w:lang w:val="en-NZ"/>
        </w:rPr>
      </w:pPr>
      <w:bookmarkStart w:id="47" w:name="_Toc418756730"/>
      <w:r>
        <w:rPr>
          <w:caps w:val="0"/>
          <w:lang w:val="en-NZ"/>
        </w:rPr>
        <w:t>Current law</w:t>
      </w:r>
      <w:bookmarkEnd w:id="47"/>
    </w:p>
    <w:p w:rsidR="002B19D6" w:rsidRPr="00AE1C04" w:rsidRDefault="002B19D6" w:rsidP="00FF2B46"/>
    <w:p w:rsidR="002B19D6" w:rsidRPr="004510BF" w:rsidRDefault="002B19D6" w:rsidP="00FF2B46"/>
    <w:p w:rsidR="008E6DCD" w:rsidRPr="00C43A88" w:rsidRDefault="008E6DCD" w:rsidP="008E6DCD">
      <w:pPr>
        <w:pBdr>
          <w:top w:val="single" w:sz="4" w:space="10" w:color="auto"/>
          <w:left w:val="single" w:sz="4" w:space="10" w:color="auto"/>
          <w:bottom w:val="single" w:sz="4" w:space="10" w:color="auto"/>
          <w:right w:val="single" w:sz="4" w:space="10" w:color="auto"/>
        </w:pBdr>
        <w:rPr>
          <w:snapToGrid w:val="0"/>
          <w:lang w:eastAsia="en-US"/>
        </w:rPr>
      </w:pPr>
      <w:r w:rsidRPr="00C43A88">
        <w:rPr>
          <w:snapToGrid w:val="0"/>
          <w:lang w:eastAsia="en-US"/>
        </w:rPr>
        <w:t xml:space="preserve">The main rules </w:t>
      </w:r>
      <w:r w:rsidR="00DD3E17">
        <w:rPr>
          <w:snapToGrid w:val="0"/>
          <w:lang w:eastAsia="en-US"/>
        </w:rPr>
        <w:t xml:space="preserve">in the Income Tax Act 2007 </w:t>
      </w:r>
      <w:r w:rsidRPr="00C43A88">
        <w:rPr>
          <w:snapToGrid w:val="0"/>
          <w:lang w:eastAsia="en-US"/>
        </w:rPr>
        <w:t xml:space="preserve">for applying </w:t>
      </w:r>
      <w:r>
        <w:rPr>
          <w:snapToGrid w:val="0"/>
          <w:lang w:eastAsia="en-US"/>
        </w:rPr>
        <w:t xml:space="preserve">NRWT to interest that are relevant to this issues paper </w:t>
      </w:r>
      <w:r w:rsidRPr="00C43A88">
        <w:rPr>
          <w:snapToGrid w:val="0"/>
          <w:lang w:eastAsia="en-US"/>
        </w:rPr>
        <w:t>are set out below.</w:t>
      </w:r>
    </w:p>
    <w:p w:rsidR="00CD7C3C" w:rsidRDefault="00CD7C3C" w:rsidP="008E6DCD">
      <w:pPr>
        <w:rPr>
          <w:lang w:val="en-NZ"/>
        </w:rPr>
      </w:pPr>
    </w:p>
    <w:p w:rsidR="005F7AD7" w:rsidRPr="00FF2B46" w:rsidRDefault="005F7AD7" w:rsidP="00FF2B46">
      <w:pPr>
        <w:rPr>
          <w:b/>
          <w:lang w:val="en-NZ" w:eastAsia="en-NZ"/>
        </w:rPr>
      </w:pPr>
      <w:r w:rsidRPr="00FF2B46">
        <w:rPr>
          <w:b/>
          <w:lang w:val="en-NZ" w:eastAsia="en-NZ"/>
        </w:rPr>
        <w:t>RA 6 Withholding and payment obligations for passive income</w:t>
      </w:r>
    </w:p>
    <w:p w:rsidR="005F7AD7" w:rsidRPr="005F7AD7" w:rsidRDefault="005F7AD7" w:rsidP="005F7AD7">
      <w:pPr>
        <w:shd w:val="clear" w:color="auto" w:fill="FFFFFF"/>
        <w:spacing w:before="240" w:line="288" w:lineRule="atLeast"/>
        <w:ind w:left="567"/>
        <w:jc w:val="left"/>
        <w:outlineLvl w:val="5"/>
        <w:rPr>
          <w:bCs/>
          <w:color w:val="000000"/>
          <w:szCs w:val="24"/>
          <w:lang w:val="en-NZ" w:eastAsia="en-NZ"/>
        </w:rPr>
      </w:pPr>
      <w:r w:rsidRPr="005F7AD7">
        <w:rPr>
          <w:bCs/>
          <w:i/>
          <w:color w:val="000000"/>
          <w:szCs w:val="24"/>
          <w:lang w:val="en-NZ" w:eastAsia="en-NZ"/>
        </w:rPr>
        <w:t>Non-resident passive income</w:t>
      </w:r>
      <w:r>
        <w:rPr>
          <w:bCs/>
          <w:color w:val="000000"/>
          <w:szCs w:val="24"/>
          <w:lang w:val="en-NZ" w:eastAsia="en-NZ"/>
        </w:rPr>
        <w:br/>
        <w:t>(2) A person who makes a payment of non-resident passive income must withhold and pay NRWT for the payment to the Commissioner under subpart RF (Withholding tax on non-resident passive income (NRWT)) by the due dates.</w:t>
      </w:r>
    </w:p>
    <w:p w:rsidR="00FF2B46" w:rsidRDefault="00FF2B46" w:rsidP="00FF2B46">
      <w:pPr>
        <w:rPr>
          <w:lang w:val="en-NZ" w:eastAsia="en-NZ"/>
        </w:rPr>
      </w:pPr>
    </w:p>
    <w:p w:rsidR="005F7AD7" w:rsidRPr="00FF2B46" w:rsidRDefault="005F7AD7" w:rsidP="00FF2B46">
      <w:pPr>
        <w:rPr>
          <w:b/>
          <w:lang w:val="en-NZ" w:eastAsia="en-NZ"/>
        </w:rPr>
      </w:pPr>
      <w:r w:rsidRPr="00FF2B46">
        <w:rPr>
          <w:b/>
          <w:lang w:val="en-NZ" w:eastAsia="en-NZ"/>
        </w:rPr>
        <w:t>RA 9 Treatment of amounts withheld as received</w:t>
      </w:r>
    </w:p>
    <w:p w:rsidR="005F7AD7" w:rsidRDefault="005F7AD7" w:rsidP="00FF2B46">
      <w:pPr>
        <w:rPr>
          <w:lang w:val="en-NZ" w:eastAsia="en-NZ"/>
        </w:rPr>
      </w:pPr>
    </w:p>
    <w:p w:rsidR="005F7AD7" w:rsidRDefault="005F7AD7" w:rsidP="009B6D39">
      <w:pPr>
        <w:shd w:val="clear" w:color="auto" w:fill="FFFFFF"/>
        <w:spacing w:line="288" w:lineRule="atLeast"/>
        <w:ind w:left="567"/>
        <w:jc w:val="left"/>
        <w:outlineLvl w:val="5"/>
        <w:rPr>
          <w:bCs/>
          <w:i/>
          <w:color w:val="000000"/>
          <w:szCs w:val="24"/>
          <w:lang w:val="en-NZ" w:eastAsia="en-NZ"/>
        </w:rPr>
      </w:pPr>
      <w:r w:rsidRPr="005F7AD7">
        <w:rPr>
          <w:bCs/>
          <w:i/>
          <w:color w:val="000000"/>
          <w:szCs w:val="24"/>
          <w:lang w:val="en-NZ" w:eastAsia="en-NZ"/>
        </w:rPr>
        <w:t>Payments treated as received or derived</w:t>
      </w:r>
    </w:p>
    <w:p w:rsidR="005F7AD7" w:rsidRDefault="005F7AD7" w:rsidP="009B6D39">
      <w:pPr>
        <w:shd w:val="clear" w:color="auto" w:fill="FFFFFF"/>
        <w:spacing w:line="288" w:lineRule="atLeast"/>
        <w:ind w:left="567"/>
        <w:jc w:val="left"/>
        <w:outlineLvl w:val="5"/>
        <w:rPr>
          <w:bCs/>
          <w:color w:val="000000"/>
          <w:szCs w:val="24"/>
          <w:lang w:val="en-NZ" w:eastAsia="en-NZ"/>
        </w:rPr>
      </w:pPr>
      <w:r>
        <w:rPr>
          <w:bCs/>
          <w:color w:val="000000"/>
          <w:szCs w:val="24"/>
          <w:lang w:val="en-NZ" w:eastAsia="en-NZ"/>
        </w:rPr>
        <w:t>(1) An amount withheld from a payment under this Part, unless a provision in this Part states otherwise,–</w:t>
      </w:r>
    </w:p>
    <w:p w:rsidR="005F7AD7" w:rsidRDefault="005F7AD7" w:rsidP="009B6D39">
      <w:pPr>
        <w:shd w:val="clear" w:color="auto" w:fill="FFFFFF"/>
        <w:spacing w:line="288" w:lineRule="atLeast"/>
        <w:ind w:left="1134"/>
        <w:jc w:val="left"/>
        <w:outlineLvl w:val="5"/>
        <w:rPr>
          <w:bCs/>
          <w:color w:val="000000"/>
          <w:szCs w:val="24"/>
          <w:lang w:val="en-NZ" w:eastAsia="en-NZ"/>
        </w:rPr>
      </w:pPr>
      <w:r>
        <w:rPr>
          <w:bCs/>
          <w:color w:val="000000"/>
          <w:szCs w:val="24"/>
          <w:lang w:val="en-NZ" w:eastAsia="en-NZ"/>
        </w:rPr>
        <w:t>(a) is treated as received–</w:t>
      </w:r>
    </w:p>
    <w:p w:rsidR="005F7AD7" w:rsidRDefault="005F7AD7" w:rsidP="009B6D39">
      <w:pPr>
        <w:shd w:val="clear" w:color="auto" w:fill="FFFFFF"/>
        <w:spacing w:line="288" w:lineRule="atLeast"/>
        <w:ind w:left="1701"/>
        <w:jc w:val="left"/>
        <w:outlineLvl w:val="5"/>
        <w:rPr>
          <w:bCs/>
          <w:color w:val="000000"/>
          <w:szCs w:val="24"/>
          <w:lang w:val="en-NZ" w:eastAsia="en-NZ"/>
        </w:rPr>
      </w:pPr>
      <w:r>
        <w:rPr>
          <w:bCs/>
          <w:color w:val="000000"/>
          <w:szCs w:val="24"/>
          <w:lang w:val="en-NZ" w:eastAsia="en-NZ"/>
        </w:rPr>
        <w:t>(i) by the person to whom the payment is made; and</w:t>
      </w:r>
    </w:p>
    <w:p w:rsidR="005F7AD7" w:rsidRDefault="005F7AD7" w:rsidP="009B6D39">
      <w:pPr>
        <w:shd w:val="clear" w:color="auto" w:fill="FFFFFF"/>
        <w:spacing w:line="288" w:lineRule="atLeast"/>
        <w:ind w:left="1701"/>
        <w:jc w:val="left"/>
        <w:outlineLvl w:val="5"/>
        <w:rPr>
          <w:bCs/>
          <w:color w:val="000000"/>
          <w:szCs w:val="24"/>
          <w:lang w:val="en-NZ" w:eastAsia="en-NZ"/>
        </w:rPr>
      </w:pPr>
      <w:r>
        <w:rPr>
          <w:bCs/>
          <w:color w:val="000000"/>
          <w:szCs w:val="24"/>
          <w:lang w:val="en-NZ" w:eastAsia="en-NZ"/>
        </w:rPr>
        <w:t>(ii) at the time the payment is made; and</w:t>
      </w:r>
    </w:p>
    <w:p w:rsidR="009B6D39" w:rsidRDefault="005F7AD7" w:rsidP="009B6D39">
      <w:pPr>
        <w:shd w:val="clear" w:color="auto" w:fill="FFFFFF"/>
        <w:spacing w:line="288" w:lineRule="atLeast"/>
        <w:ind w:left="1134"/>
        <w:jc w:val="left"/>
        <w:outlineLvl w:val="5"/>
        <w:rPr>
          <w:bCs/>
          <w:color w:val="000000"/>
          <w:szCs w:val="24"/>
          <w:lang w:val="en-NZ" w:eastAsia="en-NZ"/>
        </w:rPr>
      </w:pPr>
      <w:r>
        <w:rPr>
          <w:bCs/>
          <w:color w:val="000000"/>
          <w:szCs w:val="24"/>
          <w:lang w:val="en-NZ" w:eastAsia="en-NZ"/>
        </w:rPr>
        <w:t>(b) is treated for the purposes of this Act as derived by the person at the same time and in the same way as they derive the payment from which the amount is withheld; and</w:t>
      </w:r>
    </w:p>
    <w:p w:rsidR="005F7AD7" w:rsidRPr="005F7AD7" w:rsidRDefault="005F7AD7" w:rsidP="009B6D39">
      <w:pPr>
        <w:shd w:val="clear" w:color="auto" w:fill="FFFFFF"/>
        <w:spacing w:line="288" w:lineRule="atLeast"/>
        <w:ind w:left="1134"/>
        <w:jc w:val="left"/>
        <w:outlineLvl w:val="5"/>
        <w:rPr>
          <w:bCs/>
          <w:color w:val="000000"/>
          <w:szCs w:val="24"/>
          <w:lang w:val="en-NZ" w:eastAsia="en-NZ"/>
        </w:rPr>
      </w:pPr>
      <w:r>
        <w:rPr>
          <w:bCs/>
          <w:color w:val="000000"/>
          <w:szCs w:val="24"/>
          <w:lang w:val="en-NZ" w:eastAsia="en-NZ"/>
        </w:rPr>
        <w:t>(c) includes a combined tax and earner-related payment.</w:t>
      </w:r>
    </w:p>
    <w:p w:rsidR="00FF2B46" w:rsidRDefault="00FF2B46" w:rsidP="00FF2B46">
      <w:pPr>
        <w:rPr>
          <w:lang w:val="en-NZ" w:eastAsia="en-NZ"/>
        </w:rPr>
      </w:pPr>
    </w:p>
    <w:p w:rsidR="008E6DCD" w:rsidRPr="00FF2B46" w:rsidRDefault="008E6DCD" w:rsidP="00FF2B46">
      <w:pPr>
        <w:rPr>
          <w:i/>
          <w:lang w:val="en-NZ" w:eastAsia="en-NZ"/>
        </w:rPr>
      </w:pPr>
      <w:r w:rsidRPr="00FF2B46">
        <w:rPr>
          <w:i/>
          <w:lang w:val="en-NZ" w:eastAsia="en-NZ"/>
        </w:rPr>
        <w:t>RF 1 NRWT rules and their application</w:t>
      </w:r>
    </w:p>
    <w:p w:rsidR="008E6DCD" w:rsidRPr="00DD3E17" w:rsidRDefault="008E6DCD" w:rsidP="002F05D3">
      <w:pPr>
        <w:shd w:val="clear" w:color="auto" w:fill="FFFFFF"/>
        <w:spacing w:before="240" w:line="288" w:lineRule="atLeast"/>
        <w:ind w:left="567"/>
        <w:jc w:val="left"/>
        <w:outlineLvl w:val="6"/>
        <w:rPr>
          <w:i/>
          <w:iCs/>
          <w:color w:val="000000"/>
          <w:szCs w:val="24"/>
          <w:lang w:val="en-NZ" w:eastAsia="en-NZ"/>
        </w:rPr>
      </w:pPr>
      <w:r w:rsidRPr="00DD3E17">
        <w:rPr>
          <w:i/>
          <w:iCs/>
          <w:color w:val="000000"/>
          <w:szCs w:val="24"/>
          <w:lang w:val="en-NZ" w:eastAsia="en-NZ"/>
        </w:rPr>
        <w:t>Meaning</w:t>
      </w:r>
    </w:p>
    <w:p w:rsidR="008E6DCD" w:rsidRPr="00DD3E17" w:rsidRDefault="00FF2B46" w:rsidP="002F05D3">
      <w:pPr>
        <w:shd w:val="clear" w:color="auto" w:fill="FFFFFF"/>
        <w:spacing w:line="288" w:lineRule="atLeast"/>
        <w:ind w:left="567" w:right="465"/>
        <w:jc w:val="left"/>
        <w:rPr>
          <w:color w:val="000000"/>
          <w:szCs w:val="24"/>
          <w:lang w:val="en-NZ" w:eastAsia="en-NZ"/>
        </w:rPr>
      </w:pPr>
      <w:r>
        <w:rPr>
          <w:color w:val="000000"/>
          <w:szCs w:val="24"/>
          <w:lang w:val="en-NZ" w:eastAsia="en-NZ"/>
        </w:rPr>
        <w:t xml:space="preserve">(1) </w:t>
      </w:r>
      <w:r w:rsidR="008E6DCD" w:rsidRPr="00DD3E17">
        <w:rPr>
          <w:color w:val="000000"/>
          <w:szCs w:val="24"/>
          <w:lang w:val="en-NZ" w:eastAsia="en-NZ"/>
        </w:rPr>
        <w:t xml:space="preserve">The </w:t>
      </w:r>
      <w:r w:rsidR="008E6DCD" w:rsidRPr="00DD3E17">
        <w:rPr>
          <w:b/>
          <w:bCs/>
          <w:color w:val="000000"/>
          <w:szCs w:val="24"/>
          <w:lang w:val="en-NZ" w:eastAsia="en-NZ"/>
        </w:rPr>
        <w:t>NRWT rules</w:t>
      </w:r>
      <w:r w:rsidR="008E6DCD" w:rsidRPr="00DD3E17">
        <w:rPr>
          <w:color w:val="000000"/>
          <w:szCs w:val="24"/>
          <w:lang w:val="en-NZ" w:eastAsia="en-NZ"/>
        </w:rPr>
        <w:t xml:space="preserve"> means—</w:t>
      </w:r>
    </w:p>
    <w:p w:rsidR="008E6DCD" w:rsidRPr="00DD3E17" w:rsidRDefault="00FF2B46" w:rsidP="002F05D3">
      <w:pPr>
        <w:shd w:val="clear" w:color="auto" w:fill="FFFFFF"/>
        <w:spacing w:line="288" w:lineRule="atLeast"/>
        <w:ind w:left="1134" w:right="465"/>
        <w:jc w:val="left"/>
        <w:rPr>
          <w:szCs w:val="24"/>
          <w:lang w:val="en-NZ" w:eastAsia="en-NZ"/>
        </w:rPr>
      </w:pPr>
      <w:r>
        <w:rPr>
          <w:color w:val="000000"/>
          <w:szCs w:val="24"/>
          <w:lang w:val="en-NZ" w:eastAsia="en-NZ"/>
        </w:rPr>
        <w:t xml:space="preserve">(a) </w:t>
      </w:r>
      <w:r w:rsidR="008E6DCD" w:rsidRPr="00DD3E17">
        <w:rPr>
          <w:szCs w:val="24"/>
          <w:lang w:val="en-NZ" w:eastAsia="en-NZ"/>
        </w:rPr>
        <w:t>this subpart; and</w:t>
      </w:r>
    </w:p>
    <w:p w:rsidR="008E6DCD" w:rsidRPr="00DD3E17" w:rsidRDefault="00FF2B46" w:rsidP="002F05D3">
      <w:pPr>
        <w:shd w:val="clear" w:color="auto" w:fill="FFFFFF"/>
        <w:spacing w:line="288" w:lineRule="atLeast"/>
        <w:ind w:left="1134" w:right="465"/>
        <w:jc w:val="left"/>
        <w:rPr>
          <w:szCs w:val="24"/>
          <w:lang w:val="en-NZ" w:eastAsia="en-NZ"/>
        </w:rPr>
      </w:pPr>
      <w:bookmarkStart w:id="48" w:name="DLM1517923"/>
      <w:r>
        <w:rPr>
          <w:szCs w:val="24"/>
          <w:lang w:val="en-NZ" w:eastAsia="en-NZ"/>
        </w:rPr>
        <w:t xml:space="preserve">(b) </w:t>
      </w:r>
      <w:r w:rsidR="008E6DCD" w:rsidRPr="00DD3E17">
        <w:rPr>
          <w:szCs w:val="24"/>
          <w:shd w:val="clear" w:color="auto" w:fill="FFFFFF"/>
          <w:lang w:val="en-NZ" w:eastAsia="en-NZ"/>
        </w:rPr>
        <w:t>section LB 5</w:t>
      </w:r>
      <w:bookmarkEnd w:id="48"/>
      <w:r w:rsidR="008E6DCD" w:rsidRPr="00DD3E17">
        <w:rPr>
          <w:szCs w:val="24"/>
          <w:lang w:val="en-NZ" w:eastAsia="en-NZ"/>
        </w:rPr>
        <w:t xml:space="preserve"> (Tax credits for non-resident withholding tax); and</w:t>
      </w:r>
    </w:p>
    <w:p w:rsidR="008E6DCD" w:rsidRPr="00DD3E17" w:rsidRDefault="00FF2B46" w:rsidP="002F05D3">
      <w:pPr>
        <w:shd w:val="clear" w:color="auto" w:fill="FFFFFF"/>
        <w:spacing w:line="288" w:lineRule="atLeast"/>
        <w:ind w:left="1134" w:right="465"/>
        <w:jc w:val="left"/>
        <w:rPr>
          <w:szCs w:val="24"/>
          <w:lang w:val="en-NZ" w:eastAsia="en-NZ"/>
        </w:rPr>
      </w:pPr>
      <w:bookmarkStart w:id="49" w:name="DLM1518100"/>
      <w:r>
        <w:rPr>
          <w:szCs w:val="24"/>
          <w:lang w:val="en-NZ" w:eastAsia="en-NZ"/>
        </w:rPr>
        <w:t xml:space="preserve">(c) </w:t>
      </w:r>
      <w:r w:rsidR="008E6DCD" w:rsidRPr="00DD3E17">
        <w:rPr>
          <w:szCs w:val="24"/>
          <w:shd w:val="clear" w:color="auto" w:fill="FFFFFF"/>
          <w:lang w:val="en-NZ" w:eastAsia="en-NZ"/>
        </w:rPr>
        <w:t>sections LJ 1 to LJ 3</w:t>
      </w:r>
      <w:bookmarkEnd w:id="49"/>
      <w:r w:rsidR="008E6DCD" w:rsidRPr="00DD3E17">
        <w:rPr>
          <w:szCs w:val="24"/>
          <w:lang w:val="en-NZ" w:eastAsia="en-NZ"/>
        </w:rPr>
        <w:t xml:space="preserve">, </w:t>
      </w:r>
      <w:bookmarkStart w:id="50" w:name="DLM1518124"/>
      <w:r w:rsidR="008E6DCD" w:rsidRPr="00DD3E17">
        <w:rPr>
          <w:szCs w:val="24"/>
          <w:shd w:val="clear" w:color="auto" w:fill="FFFFFF"/>
          <w:lang w:val="en-NZ" w:eastAsia="en-NZ"/>
        </w:rPr>
        <w:t>LJ 6</w:t>
      </w:r>
      <w:bookmarkEnd w:id="50"/>
      <w:r w:rsidR="008E6DCD" w:rsidRPr="00DD3E17">
        <w:rPr>
          <w:szCs w:val="24"/>
          <w:lang w:val="en-NZ" w:eastAsia="en-NZ"/>
        </w:rPr>
        <w:t xml:space="preserve">, and </w:t>
      </w:r>
      <w:bookmarkStart w:id="51" w:name="DLM1518131"/>
      <w:r w:rsidR="008E6DCD" w:rsidRPr="00DD3E17">
        <w:rPr>
          <w:szCs w:val="24"/>
          <w:shd w:val="clear" w:color="auto" w:fill="FFFFFF"/>
          <w:lang w:val="en-NZ" w:eastAsia="en-NZ"/>
        </w:rPr>
        <w:t>LJ 7</w:t>
      </w:r>
      <w:bookmarkEnd w:id="51"/>
      <w:r w:rsidR="008E6DCD" w:rsidRPr="00DD3E17">
        <w:rPr>
          <w:szCs w:val="24"/>
          <w:lang w:val="en-NZ" w:eastAsia="en-NZ"/>
        </w:rPr>
        <w:t xml:space="preserve"> (which relate to tax credits for foreign income tax); and</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(d)</w:t>
      </w:r>
      <w:bookmarkStart w:id="52" w:name="DLM1518135"/>
      <w:r w:rsidR="00FF2B46">
        <w:rPr>
          <w:szCs w:val="24"/>
          <w:lang w:val="en-NZ" w:eastAsia="en-NZ"/>
        </w:rPr>
        <w:t xml:space="preserve"> </w:t>
      </w:r>
      <w:r w:rsidRPr="00DD3E17">
        <w:rPr>
          <w:szCs w:val="24"/>
          <w:shd w:val="clear" w:color="auto" w:fill="FFFFFF"/>
          <w:lang w:val="en-NZ" w:eastAsia="en-NZ"/>
        </w:rPr>
        <w:t>sections LK 1 to LK 5</w:t>
      </w:r>
      <w:bookmarkEnd w:id="52"/>
      <w:r w:rsidRPr="00DD3E17">
        <w:rPr>
          <w:szCs w:val="24"/>
          <w:lang w:val="en-NZ" w:eastAsia="en-NZ"/>
        </w:rPr>
        <w:t xml:space="preserve">, and </w:t>
      </w:r>
      <w:bookmarkStart w:id="53" w:name="DLM1518157"/>
      <w:r w:rsidRPr="00DD3E17">
        <w:rPr>
          <w:szCs w:val="24"/>
          <w:shd w:val="clear" w:color="auto" w:fill="FFFFFF"/>
          <w:lang w:val="en-NZ" w:eastAsia="en-NZ"/>
        </w:rPr>
        <w:t>LK 7</w:t>
      </w:r>
      <w:bookmarkEnd w:id="53"/>
      <w:r w:rsidRPr="00DD3E17">
        <w:rPr>
          <w:szCs w:val="24"/>
          <w:lang w:val="en-NZ" w:eastAsia="en-NZ"/>
        </w:rPr>
        <w:t xml:space="preserve"> (which relate to tax credits related to attributed CFC income); and</w:t>
      </w:r>
    </w:p>
    <w:p w:rsidR="008E6DCD" w:rsidRPr="00DD3E17" w:rsidRDefault="00FF2B46" w:rsidP="002F05D3">
      <w:pPr>
        <w:shd w:val="clear" w:color="auto" w:fill="FFFFFF"/>
        <w:spacing w:line="288" w:lineRule="atLeast"/>
        <w:ind w:left="1134" w:right="465"/>
        <w:jc w:val="left"/>
        <w:rPr>
          <w:szCs w:val="24"/>
          <w:lang w:val="en-NZ" w:eastAsia="en-NZ"/>
        </w:rPr>
      </w:pPr>
      <w:bookmarkStart w:id="54" w:name="DLM1264423"/>
      <w:r>
        <w:rPr>
          <w:szCs w:val="24"/>
          <w:lang w:val="en-NZ" w:eastAsia="en-NZ"/>
        </w:rPr>
        <w:t xml:space="preserve">(e) </w:t>
      </w:r>
      <w:r w:rsidR="008E6DCD" w:rsidRPr="00DD3E17">
        <w:rPr>
          <w:szCs w:val="24"/>
          <w:shd w:val="clear" w:color="auto" w:fill="FFFFFF"/>
          <w:lang w:val="en-NZ" w:eastAsia="en-NZ"/>
        </w:rPr>
        <w:t>sections 32M</w:t>
      </w:r>
      <w:bookmarkEnd w:id="54"/>
      <w:r w:rsidR="008E6DCD" w:rsidRPr="00DD3E17">
        <w:rPr>
          <w:szCs w:val="24"/>
          <w:lang w:val="en-NZ" w:eastAsia="en-NZ"/>
        </w:rPr>
        <w:t xml:space="preserve">, </w:t>
      </w:r>
      <w:bookmarkStart w:id="55" w:name="DLM351544"/>
      <w:r w:rsidR="008E6DCD" w:rsidRPr="00DD3E17">
        <w:rPr>
          <w:szCs w:val="24"/>
          <w:shd w:val="clear" w:color="auto" w:fill="FFFFFF"/>
          <w:lang w:val="en-NZ" w:eastAsia="en-NZ"/>
        </w:rPr>
        <w:t>49</w:t>
      </w:r>
      <w:bookmarkEnd w:id="55"/>
      <w:r w:rsidR="008E6DCD" w:rsidRPr="00DD3E17">
        <w:rPr>
          <w:szCs w:val="24"/>
          <w:lang w:val="en-NZ" w:eastAsia="en-NZ"/>
        </w:rPr>
        <w:t xml:space="preserve">, </w:t>
      </w:r>
      <w:bookmarkStart w:id="56" w:name="DLM354615"/>
      <w:r w:rsidR="008E6DCD" w:rsidRPr="00DD3E17">
        <w:rPr>
          <w:szCs w:val="24"/>
          <w:shd w:val="clear" w:color="auto" w:fill="FFFFFF"/>
          <w:lang w:val="en-NZ" w:eastAsia="en-NZ"/>
        </w:rPr>
        <w:t>100</w:t>
      </w:r>
      <w:bookmarkEnd w:id="56"/>
      <w:r w:rsidR="008E6DCD" w:rsidRPr="00DD3E17">
        <w:rPr>
          <w:szCs w:val="24"/>
          <w:lang w:val="en-NZ" w:eastAsia="en-NZ"/>
        </w:rPr>
        <w:t xml:space="preserve">, </w:t>
      </w:r>
      <w:bookmarkStart w:id="57" w:name="DLM356110"/>
      <w:r w:rsidR="008E6DCD" w:rsidRPr="00DD3E17">
        <w:rPr>
          <w:szCs w:val="24"/>
          <w:shd w:val="clear" w:color="auto" w:fill="FFFFFF"/>
          <w:lang w:val="en-NZ" w:eastAsia="en-NZ"/>
        </w:rPr>
        <w:t>Part 9</w:t>
      </w:r>
      <w:bookmarkEnd w:id="57"/>
      <w:r w:rsidR="008E6DCD" w:rsidRPr="00DD3E17">
        <w:rPr>
          <w:szCs w:val="24"/>
          <w:lang w:val="en-NZ" w:eastAsia="en-NZ"/>
        </w:rPr>
        <w:t xml:space="preserve">, and </w:t>
      </w:r>
      <w:bookmarkStart w:id="58" w:name="DLM1265115"/>
      <w:r w:rsidR="008E6DCD" w:rsidRPr="00DD3E17">
        <w:rPr>
          <w:szCs w:val="24"/>
          <w:shd w:val="clear" w:color="auto" w:fill="FFFFFF"/>
          <w:lang w:val="en-NZ" w:eastAsia="en-NZ"/>
        </w:rPr>
        <w:t>sections 165B</w:t>
      </w:r>
      <w:bookmarkEnd w:id="58"/>
      <w:r w:rsidR="008E6DCD" w:rsidRPr="00DD3E17">
        <w:rPr>
          <w:szCs w:val="24"/>
          <w:lang w:val="en-NZ" w:eastAsia="en-NZ"/>
        </w:rPr>
        <w:t xml:space="preserve"> and </w:t>
      </w:r>
      <w:bookmarkStart w:id="59" w:name="DLM358798"/>
      <w:r w:rsidR="008E6DCD" w:rsidRPr="00DD3E17">
        <w:rPr>
          <w:szCs w:val="24"/>
          <w:shd w:val="clear" w:color="auto" w:fill="FFFFFF"/>
          <w:lang w:val="en-NZ" w:eastAsia="en-NZ"/>
        </w:rPr>
        <w:t>185</w:t>
      </w:r>
      <w:bookmarkEnd w:id="59"/>
      <w:r w:rsidR="008E6DCD" w:rsidRPr="00DD3E17">
        <w:rPr>
          <w:szCs w:val="24"/>
          <w:lang w:val="en-NZ" w:eastAsia="en-NZ"/>
        </w:rPr>
        <w:t xml:space="preserve"> of the Tax Administration Act 1994.</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Application</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(2) </w:t>
      </w:r>
      <w:r w:rsidR="008E6DCD" w:rsidRPr="00DD3E17">
        <w:rPr>
          <w:szCs w:val="24"/>
          <w:lang w:val="en-NZ" w:eastAsia="en-NZ"/>
        </w:rPr>
        <w:t>The NRWT rules apply to a person who makes a payment that consists of non-resident passive income.</w:t>
      </w:r>
    </w:p>
    <w:p w:rsidR="009B6D39" w:rsidRDefault="009B6D39" w:rsidP="00FF2B46">
      <w:pPr>
        <w:rPr>
          <w:lang w:val="en-NZ" w:eastAsia="en-NZ"/>
        </w:rPr>
      </w:pPr>
    </w:p>
    <w:p w:rsidR="009B6D39" w:rsidRDefault="009B6D39" w:rsidP="00FF2B46">
      <w:pPr>
        <w:rPr>
          <w:lang w:val="en-NZ" w:eastAsia="en-NZ"/>
        </w:rPr>
      </w:pPr>
    </w:p>
    <w:p w:rsidR="00FF2B46" w:rsidRDefault="00FF2B46">
      <w:pPr>
        <w:jc w:val="left"/>
        <w:rPr>
          <w:b/>
          <w:lang w:val="en-NZ" w:eastAsia="en-NZ"/>
        </w:rPr>
      </w:pPr>
      <w:r>
        <w:rPr>
          <w:b/>
          <w:lang w:val="en-NZ" w:eastAsia="en-NZ"/>
        </w:rPr>
        <w:br w:type="page"/>
      </w:r>
    </w:p>
    <w:p w:rsidR="008E6DCD" w:rsidRPr="00FF2B46" w:rsidRDefault="008E6DCD" w:rsidP="00FF2B46">
      <w:pPr>
        <w:rPr>
          <w:b/>
          <w:lang w:val="en-NZ" w:eastAsia="en-NZ"/>
        </w:rPr>
      </w:pPr>
      <w:r w:rsidRPr="00FF2B46">
        <w:rPr>
          <w:b/>
          <w:lang w:val="en-NZ" w:eastAsia="en-NZ"/>
        </w:rPr>
        <w:lastRenderedPageBreak/>
        <w:t>RF 2 Non-resident passive income</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Interest, certain dividends, and royalties</w:t>
      </w:r>
    </w:p>
    <w:p w:rsidR="008E6DCD" w:rsidRPr="00DD3E17" w:rsidRDefault="008E6DCD" w:rsidP="002F05D3">
      <w:pPr>
        <w:shd w:val="clear" w:color="auto" w:fill="FFFFFF"/>
        <w:spacing w:line="288" w:lineRule="atLeast"/>
        <w:ind w:left="567" w:right="465"/>
        <w:jc w:val="left"/>
        <w:rPr>
          <w:szCs w:val="24"/>
          <w:lang w:val="en-NZ" w:eastAsia="en-NZ"/>
        </w:rPr>
      </w:pPr>
      <w:r w:rsidRPr="00DD3E17">
        <w:rPr>
          <w:szCs w:val="24"/>
          <w:lang w:val="en-NZ" w:eastAsia="en-NZ"/>
        </w:rPr>
        <w:t>(1)</w:t>
      </w:r>
      <w:r w:rsidR="00FF2B46">
        <w:rPr>
          <w:szCs w:val="24"/>
          <w:lang w:val="en-NZ" w:eastAsia="en-NZ"/>
        </w:rPr>
        <w:t xml:space="preserve"> </w:t>
      </w:r>
      <w:r w:rsidRPr="00DD3E17">
        <w:rPr>
          <w:b/>
          <w:bCs/>
          <w:szCs w:val="24"/>
          <w:lang w:val="en-NZ" w:eastAsia="en-NZ"/>
        </w:rPr>
        <w:t>Non-resident passive income</w:t>
      </w:r>
      <w:r w:rsidRPr="00DD3E17">
        <w:rPr>
          <w:szCs w:val="24"/>
          <w:lang w:val="en-NZ" w:eastAsia="en-NZ"/>
        </w:rPr>
        <w:t xml:space="preserve"> means income having a source in New Zealand that a non-resident derives and that consists of—</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(a)</w:t>
      </w:r>
      <w:r w:rsidR="00FF2B46">
        <w:rPr>
          <w:szCs w:val="24"/>
          <w:lang w:val="en-NZ" w:eastAsia="en-NZ"/>
        </w:rPr>
        <w:t xml:space="preserve"> </w:t>
      </w:r>
      <w:proofErr w:type="gramStart"/>
      <w:r w:rsidRPr="00DD3E17">
        <w:rPr>
          <w:szCs w:val="24"/>
          <w:lang w:val="en-NZ" w:eastAsia="en-NZ"/>
        </w:rPr>
        <w:t>a</w:t>
      </w:r>
      <w:proofErr w:type="gramEnd"/>
      <w:r w:rsidRPr="00DD3E17">
        <w:rPr>
          <w:szCs w:val="24"/>
          <w:lang w:val="en-NZ" w:eastAsia="en-NZ"/>
        </w:rPr>
        <w:t xml:space="preserve"> dividend other than an investment society dividend:</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(b) </w:t>
      </w:r>
      <w:proofErr w:type="gramStart"/>
      <w:r w:rsidR="008E6DCD" w:rsidRPr="00DD3E17">
        <w:rPr>
          <w:szCs w:val="24"/>
          <w:lang w:val="en-NZ" w:eastAsia="en-NZ"/>
        </w:rPr>
        <w:t>a</w:t>
      </w:r>
      <w:proofErr w:type="gramEnd"/>
      <w:r w:rsidR="008E6DCD" w:rsidRPr="00DD3E17">
        <w:rPr>
          <w:szCs w:val="24"/>
          <w:lang w:val="en-NZ" w:eastAsia="en-NZ"/>
        </w:rPr>
        <w:t xml:space="preserve"> royalty:</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(c) </w:t>
      </w:r>
      <w:proofErr w:type="gramStart"/>
      <w:r w:rsidR="008E6DCD" w:rsidRPr="00DD3E17">
        <w:rPr>
          <w:szCs w:val="24"/>
          <w:lang w:val="en-NZ" w:eastAsia="en-NZ"/>
        </w:rPr>
        <w:t>an</w:t>
      </w:r>
      <w:proofErr w:type="gramEnd"/>
      <w:r w:rsidR="008E6DCD" w:rsidRPr="00DD3E17">
        <w:rPr>
          <w:szCs w:val="24"/>
          <w:lang w:val="en-NZ" w:eastAsia="en-NZ"/>
        </w:rPr>
        <w:t xml:space="preserve"> investment society dividend when the non-resident is not engaged in business in New Zealand through a fixed establishment in New Zealand:</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(d)</w:t>
      </w:r>
      <w:r w:rsidR="00FF2B46">
        <w:rPr>
          <w:szCs w:val="24"/>
          <w:lang w:val="en-NZ" w:eastAsia="en-NZ"/>
        </w:rPr>
        <w:t xml:space="preserve"> </w:t>
      </w:r>
      <w:proofErr w:type="gramStart"/>
      <w:r w:rsidRPr="00DD3E17">
        <w:rPr>
          <w:szCs w:val="24"/>
          <w:lang w:val="en-NZ" w:eastAsia="en-NZ"/>
        </w:rPr>
        <w:t>interest</w:t>
      </w:r>
      <w:proofErr w:type="gramEnd"/>
      <w:r w:rsidRPr="00DD3E17">
        <w:rPr>
          <w:szCs w:val="24"/>
          <w:lang w:val="en-NZ" w:eastAsia="en-NZ"/>
        </w:rPr>
        <w:t xml:space="preserve"> when the non-resident is not engaged in business in New Zealand through a fixed establishment in New Zealand.</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Inclusion: Capital value increase under inflation-indexed instruments</w:t>
      </w:r>
    </w:p>
    <w:p w:rsidR="008E6DCD" w:rsidRPr="00DD3E17" w:rsidRDefault="008E6DCD" w:rsidP="002F05D3">
      <w:pPr>
        <w:shd w:val="clear" w:color="auto" w:fill="FFFFFF"/>
        <w:spacing w:line="288" w:lineRule="atLeast"/>
        <w:ind w:left="567" w:right="465"/>
        <w:jc w:val="left"/>
        <w:rPr>
          <w:szCs w:val="24"/>
          <w:lang w:val="en-NZ" w:eastAsia="en-NZ"/>
        </w:rPr>
      </w:pPr>
      <w:r w:rsidRPr="00DD3E17">
        <w:rPr>
          <w:szCs w:val="24"/>
          <w:lang w:val="en-NZ" w:eastAsia="en-NZ"/>
        </w:rPr>
        <w:t>(1B)</w:t>
      </w:r>
      <w:r w:rsidR="00FF2B46">
        <w:rPr>
          <w:szCs w:val="24"/>
          <w:lang w:val="en-NZ" w:eastAsia="en-NZ"/>
        </w:rPr>
        <w:t xml:space="preserve"> </w:t>
      </w:r>
      <w:r w:rsidRPr="00DD3E17">
        <w:rPr>
          <w:b/>
          <w:bCs/>
          <w:szCs w:val="24"/>
          <w:lang w:val="en-NZ" w:eastAsia="en-NZ"/>
        </w:rPr>
        <w:t>Non-resident passive income</w:t>
      </w:r>
      <w:r w:rsidRPr="00DD3E17">
        <w:rPr>
          <w:szCs w:val="24"/>
          <w:lang w:val="en-NZ" w:eastAsia="en-NZ"/>
        </w:rPr>
        <w:t xml:space="preserve"> includes an amount, arising at the time of a relevant coupon payment (the </w:t>
      </w:r>
      <w:r w:rsidRPr="00DD3E17">
        <w:rPr>
          <w:b/>
          <w:bCs/>
          <w:szCs w:val="24"/>
          <w:lang w:val="en-NZ" w:eastAsia="en-NZ"/>
        </w:rPr>
        <w:t>current coupon payment</w:t>
      </w:r>
      <w:r w:rsidRPr="00DD3E17">
        <w:rPr>
          <w:szCs w:val="24"/>
          <w:lang w:val="en-NZ" w:eastAsia="en-NZ"/>
        </w:rPr>
        <w:t xml:space="preserve">) equal to the amount given by the formula in </w:t>
      </w:r>
      <w:bookmarkStart w:id="60" w:name="DLM6201310"/>
      <w:r w:rsidRPr="00DD3E17">
        <w:rPr>
          <w:szCs w:val="24"/>
          <w:shd w:val="clear" w:color="auto" w:fill="FFFFFF"/>
          <w:lang w:val="en-NZ" w:eastAsia="en-NZ"/>
        </w:rPr>
        <w:t>section RE 18B(4)</w:t>
      </w:r>
      <w:bookmarkEnd w:id="60"/>
      <w:r w:rsidRPr="00DD3E17">
        <w:rPr>
          <w:szCs w:val="24"/>
          <w:lang w:val="en-NZ" w:eastAsia="en-NZ"/>
        </w:rPr>
        <w:t xml:space="preserve"> (Capital value increase under inflation-indexed instruments: RWT cap) in relation to the current coupon payment, if that current coupon payment is—</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(a)</w:t>
      </w:r>
      <w:r w:rsidR="00FF2B46">
        <w:rPr>
          <w:szCs w:val="24"/>
          <w:lang w:val="en-NZ" w:eastAsia="en-NZ"/>
        </w:rPr>
        <w:t xml:space="preserve"> </w:t>
      </w:r>
      <w:proofErr w:type="gramStart"/>
      <w:r w:rsidRPr="00DD3E17">
        <w:rPr>
          <w:szCs w:val="24"/>
          <w:lang w:val="en-NZ" w:eastAsia="en-NZ"/>
        </w:rPr>
        <w:t>non-resident</w:t>
      </w:r>
      <w:proofErr w:type="gramEnd"/>
      <w:r w:rsidRPr="00DD3E17">
        <w:rPr>
          <w:szCs w:val="24"/>
          <w:lang w:val="en-NZ" w:eastAsia="en-NZ"/>
        </w:rPr>
        <w:t xml:space="preserve"> passive income under subsection (1); and</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(b) </w:t>
      </w:r>
      <w:proofErr w:type="gramStart"/>
      <w:r w:rsidR="008E6DCD" w:rsidRPr="00DD3E17">
        <w:rPr>
          <w:szCs w:val="24"/>
          <w:lang w:val="en-NZ" w:eastAsia="en-NZ"/>
        </w:rPr>
        <w:t>in</w:t>
      </w:r>
      <w:proofErr w:type="gramEnd"/>
      <w:r w:rsidR="008E6DCD" w:rsidRPr="00DD3E17">
        <w:rPr>
          <w:szCs w:val="24"/>
          <w:lang w:val="en-NZ" w:eastAsia="en-NZ"/>
        </w:rPr>
        <w:t xml:space="preserve"> relation to an inflation-indexed instrument.</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Exclusions</w:t>
      </w:r>
    </w:p>
    <w:p w:rsidR="008E6DCD" w:rsidRPr="00DD3E17" w:rsidRDefault="008E6DCD" w:rsidP="002F05D3">
      <w:pPr>
        <w:shd w:val="clear" w:color="auto" w:fill="FFFFFF"/>
        <w:spacing w:line="288" w:lineRule="atLeast"/>
        <w:ind w:left="567" w:right="465"/>
        <w:jc w:val="left"/>
        <w:rPr>
          <w:szCs w:val="24"/>
          <w:lang w:val="en-NZ" w:eastAsia="en-NZ"/>
        </w:rPr>
      </w:pPr>
      <w:r w:rsidRPr="00DD3E17">
        <w:rPr>
          <w:szCs w:val="24"/>
          <w:lang w:val="en-NZ" w:eastAsia="en-NZ"/>
        </w:rPr>
        <w:t>(2)</w:t>
      </w:r>
      <w:r w:rsidR="00FF2B46">
        <w:rPr>
          <w:szCs w:val="24"/>
          <w:lang w:val="en-NZ" w:eastAsia="en-NZ"/>
        </w:rPr>
        <w:t xml:space="preserve"> </w:t>
      </w:r>
      <w:r w:rsidRPr="00DD3E17">
        <w:rPr>
          <w:szCs w:val="24"/>
          <w:lang w:val="en-NZ" w:eastAsia="en-NZ"/>
        </w:rPr>
        <w:t>The following amounts derived by a non-resident are excluded from non-resident passive income:</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(a)</w:t>
      </w:r>
      <w:r w:rsidR="00FF2B46">
        <w:rPr>
          <w:szCs w:val="24"/>
          <w:lang w:val="en-NZ" w:eastAsia="en-NZ"/>
        </w:rPr>
        <w:t xml:space="preserve"> </w:t>
      </w:r>
      <w:proofErr w:type="gramStart"/>
      <w:r w:rsidRPr="00DD3E17">
        <w:rPr>
          <w:szCs w:val="24"/>
          <w:lang w:val="en-NZ" w:eastAsia="en-NZ"/>
        </w:rPr>
        <w:t>an</w:t>
      </w:r>
      <w:proofErr w:type="gramEnd"/>
      <w:r w:rsidRPr="00DD3E17">
        <w:rPr>
          <w:szCs w:val="24"/>
          <w:lang w:val="en-NZ" w:eastAsia="en-NZ"/>
        </w:rPr>
        <w:t xml:space="preserve"> amount of exempt income:</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(b) </w:t>
      </w:r>
      <w:proofErr w:type="gramStart"/>
      <w:r w:rsidR="008E6DCD" w:rsidRPr="00DD3E17">
        <w:rPr>
          <w:szCs w:val="24"/>
          <w:lang w:val="en-NZ" w:eastAsia="en-NZ"/>
        </w:rPr>
        <w:t>interest</w:t>
      </w:r>
      <w:proofErr w:type="gramEnd"/>
      <w:r w:rsidR="008E6DCD" w:rsidRPr="00DD3E17">
        <w:rPr>
          <w:szCs w:val="24"/>
          <w:lang w:val="en-NZ" w:eastAsia="en-NZ"/>
        </w:rPr>
        <w:t xml:space="preserve"> arising because </w:t>
      </w:r>
      <w:bookmarkStart w:id="61" w:name="DLM1515059"/>
      <w:r w:rsidR="008E6DCD" w:rsidRPr="00DD3E17">
        <w:rPr>
          <w:szCs w:val="24"/>
          <w:shd w:val="clear" w:color="auto" w:fill="FFFFFF"/>
          <w:lang w:val="en-NZ" w:eastAsia="en-NZ"/>
        </w:rPr>
        <w:t>section EI 2</w:t>
      </w:r>
      <w:bookmarkEnd w:id="61"/>
      <w:r w:rsidR="008E6DCD" w:rsidRPr="00DD3E17">
        <w:rPr>
          <w:szCs w:val="24"/>
          <w:lang w:val="en-NZ" w:eastAsia="en-NZ"/>
        </w:rPr>
        <w:t xml:space="preserve"> (Interest from inflation-indexed instruments) applies to an inflation-indexed instrument:</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(c) </w:t>
      </w:r>
      <w:proofErr w:type="gramStart"/>
      <w:r w:rsidR="008E6DCD" w:rsidRPr="00DD3E17">
        <w:rPr>
          <w:szCs w:val="24"/>
          <w:lang w:val="en-NZ" w:eastAsia="en-NZ"/>
        </w:rPr>
        <w:t>an</w:t>
      </w:r>
      <w:proofErr w:type="gramEnd"/>
      <w:r w:rsidR="008E6DCD" w:rsidRPr="00DD3E17">
        <w:rPr>
          <w:szCs w:val="24"/>
          <w:lang w:val="en-NZ" w:eastAsia="en-NZ"/>
        </w:rPr>
        <w:t xml:space="preserve"> amount of excluded income under </w:t>
      </w:r>
      <w:bookmarkStart w:id="62" w:name="DLM2891825"/>
      <w:r>
        <w:rPr>
          <w:szCs w:val="24"/>
          <w:shd w:val="clear" w:color="auto" w:fill="FFFFFF"/>
          <w:lang w:val="en-NZ" w:eastAsia="en-NZ"/>
        </w:rPr>
        <w:t xml:space="preserve">sections CX </w:t>
      </w:r>
      <w:r w:rsidR="008E6DCD" w:rsidRPr="00DD3E17">
        <w:rPr>
          <w:szCs w:val="24"/>
          <w:shd w:val="clear" w:color="auto" w:fill="FFFFFF"/>
          <w:lang w:val="en-NZ" w:eastAsia="en-NZ"/>
        </w:rPr>
        <w:t>56B</w:t>
      </w:r>
      <w:bookmarkEnd w:id="62"/>
      <w:r w:rsidR="008E6DCD" w:rsidRPr="00DD3E17">
        <w:rPr>
          <w:szCs w:val="24"/>
          <w:lang w:val="en-NZ" w:eastAsia="en-NZ"/>
        </w:rPr>
        <w:t xml:space="preserve"> and </w:t>
      </w:r>
      <w:bookmarkStart w:id="63" w:name="DLM2891827"/>
      <w:r w:rsidR="008E6DCD" w:rsidRPr="00DD3E17">
        <w:rPr>
          <w:szCs w:val="24"/>
          <w:shd w:val="clear" w:color="auto" w:fill="FFFFFF"/>
          <w:lang w:val="en-NZ" w:eastAsia="en-NZ"/>
        </w:rPr>
        <w:t>CX 56C</w:t>
      </w:r>
      <w:bookmarkEnd w:id="63"/>
      <w:r w:rsidR="008E6DCD" w:rsidRPr="00DD3E17">
        <w:rPr>
          <w:szCs w:val="24"/>
          <w:lang w:val="en-NZ" w:eastAsia="en-NZ"/>
        </w:rPr>
        <w:t xml:space="preserve"> (which relate to attributed PIE income), as applicable.</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When subsection (4) applies</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(3) </w:t>
      </w:r>
      <w:r w:rsidR="008E6DCD" w:rsidRPr="00DD3E17">
        <w:rPr>
          <w:szCs w:val="24"/>
          <w:lang w:val="en-NZ" w:eastAsia="en-NZ"/>
        </w:rPr>
        <w:t>Subsection (4) applies in an income year when a person derives non-resident passive income consisting of—</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(a)</w:t>
      </w:r>
      <w:r w:rsidR="00FF2B46">
        <w:rPr>
          <w:szCs w:val="24"/>
          <w:lang w:val="en-NZ" w:eastAsia="en-NZ"/>
        </w:rPr>
        <w:t xml:space="preserve"> </w:t>
      </w:r>
      <w:proofErr w:type="gramStart"/>
      <w:r w:rsidRPr="00DD3E17">
        <w:rPr>
          <w:szCs w:val="24"/>
          <w:lang w:val="en-NZ" w:eastAsia="en-NZ"/>
        </w:rPr>
        <w:t>a</w:t>
      </w:r>
      <w:proofErr w:type="gramEnd"/>
      <w:r w:rsidRPr="00DD3E17">
        <w:rPr>
          <w:szCs w:val="24"/>
          <w:lang w:val="en-NZ" w:eastAsia="en-NZ"/>
        </w:rPr>
        <w:t xml:space="preserve"> dividend other than an investment society dividend:</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(b) </w:t>
      </w:r>
      <w:proofErr w:type="gramStart"/>
      <w:r w:rsidR="008E6DCD" w:rsidRPr="00DD3E17">
        <w:rPr>
          <w:szCs w:val="24"/>
          <w:lang w:val="en-NZ" w:eastAsia="en-NZ"/>
        </w:rPr>
        <w:t>a</w:t>
      </w:r>
      <w:proofErr w:type="gramEnd"/>
      <w:r w:rsidR="008E6DCD" w:rsidRPr="00DD3E17">
        <w:rPr>
          <w:szCs w:val="24"/>
          <w:lang w:val="en-NZ" w:eastAsia="en-NZ"/>
        </w:rPr>
        <w:t xml:space="preserve"> royalty for the use, production, or reproduction of, or for the right to use, produce, or reproduce, a literary, dramatic, musical, or artistic work in which copyright subsists:</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(c) </w:t>
      </w:r>
      <w:r w:rsidR="008E6DCD" w:rsidRPr="00DD3E17">
        <w:rPr>
          <w:szCs w:val="24"/>
          <w:lang w:val="en-NZ" w:eastAsia="en-NZ"/>
        </w:rPr>
        <w:t xml:space="preserve">interest or a royalty derived by a life insurer from a company resident in New Zealand when the interest or royalty is treated as arising as a result of the life insurer’s election under </w:t>
      </w:r>
      <w:bookmarkStart w:id="64" w:name="DLM1515970"/>
      <w:r>
        <w:rPr>
          <w:szCs w:val="24"/>
          <w:shd w:val="clear" w:color="auto" w:fill="FFFFFF"/>
          <w:lang w:val="en-NZ" w:eastAsia="en-NZ"/>
        </w:rPr>
        <w:t xml:space="preserve">section EY </w:t>
      </w:r>
      <w:r w:rsidR="008E6DCD" w:rsidRPr="00DD3E17">
        <w:rPr>
          <w:szCs w:val="24"/>
          <w:shd w:val="clear" w:color="auto" w:fill="FFFFFF"/>
          <w:lang w:val="en-NZ" w:eastAsia="en-NZ"/>
        </w:rPr>
        <w:t>49</w:t>
      </w:r>
      <w:bookmarkEnd w:id="64"/>
      <w:r w:rsidR="008E6DCD" w:rsidRPr="00DD3E17">
        <w:rPr>
          <w:szCs w:val="24"/>
          <w:lang w:val="en-NZ" w:eastAsia="en-NZ"/>
        </w:rPr>
        <w:t xml:space="preserve"> (Non-resident life insurer becoming resident):</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(d) </w:t>
      </w:r>
      <w:proofErr w:type="gramStart"/>
      <w:r w:rsidR="008E6DCD" w:rsidRPr="00DD3E17">
        <w:rPr>
          <w:szCs w:val="24"/>
          <w:lang w:val="en-NZ" w:eastAsia="en-NZ"/>
        </w:rPr>
        <w:t>interest</w:t>
      </w:r>
      <w:proofErr w:type="gramEnd"/>
      <w:r w:rsidR="008E6DCD" w:rsidRPr="00DD3E17">
        <w:rPr>
          <w:szCs w:val="24"/>
          <w:lang w:val="en-NZ" w:eastAsia="en-NZ"/>
        </w:rPr>
        <w:t xml:space="preserve"> or an investment society dividend when the person paying and the person deriving the interest or dividend are not associated persons.</w:t>
      </w:r>
    </w:p>
    <w:p w:rsidR="009B6D39" w:rsidRDefault="009B6D39" w:rsidP="00FF2B46">
      <w:pPr>
        <w:rPr>
          <w:lang w:val="en-NZ" w:eastAsia="en-NZ"/>
        </w:rPr>
      </w:pPr>
    </w:p>
    <w:p w:rsidR="009B6D39" w:rsidRDefault="009B6D39" w:rsidP="00FF2B46">
      <w:pPr>
        <w:rPr>
          <w:lang w:val="en-NZ" w:eastAsia="en-NZ"/>
        </w:rPr>
      </w:pPr>
    </w:p>
    <w:p w:rsidR="009B6D39" w:rsidRDefault="009B6D39" w:rsidP="00FF2B46">
      <w:pPr>
        <w:rPr>
          <w:lang w:val="en-NZ" w:eastAsia="en-NZ"/>
        </w:rPr>
      </w:pPr>
    </w:p>
    <w:p w:rsidR="00FF2B46" w:rsidRDefault="00FF2B46">
      <w:pPr>
        <w:jc w:val="left"/>
        <w:rPr>
          <w:i/>
          <w:lang w:val="en-NZ" w:eastAsia="en-NZ"/>
        </w:rPr>
      </w:pPr>
      <w:r>
        <w:rPr>
          <w:i/>
          <w:lang w:val="en-NZ" w:eastAsia="en-NZ"/>
        </w:rPr>
        <w:br w:type="page"/>
      </w:r>
    </w:p>
    <w:p w:rsidR="008E6DCD" w:rsidRPr="00FF2B46" w:rsidRDefault="008E6DCD" w:rsidP="00FF2B46">
      <w:pPr>
        <w:ind w:left="567"/>
        <w:rPr>
          <w:i/>
          <w:lang w:val="en-NZ" w:eastAsia="en-NZ"/>
        </w:rPr>
      </w:pPr>
      <w:r w:rsidRPr="00FF2B46">
        <w:rPr>
          <w:i/>
          <w:lang w:val="en-NZ" w:eastAsia="en-NZ"/>
        </w:rPr>
        <w:lastRenderedPageBreak/>
        <w:t>Final withholding</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(4) </w:t>
      </w:r>
      <w:r w:rsidR="008E6DCD" w:rsidRPr="00DD3E17">
        <w:rPr>
          <w:szCs w:val="24"/>
          <w:lang w:val="en-NZ" w:eastAsia="en-NZ"/>
        </w:rPr>
        <w:t xml:space="preserve">If the person is a filing taxpayer, the schedular income tax liability for the corresponding tax year under </w:t>
      </w:r>
      <w:bookmarkStart w:id="65" w:name="DLM1512351"/>
      <w:r w:rsidR="008E6DCD" w:rsidRPr="00DD3E17">
        <w:rPr>
          <w:szCs w:val="24"/>
          <w:shd w:val="clear" w:color="auto" w:fill="FFFFFF"/>
          <w:lang w:val="en-NZ" w:eastAsia="en-NZ"/>
        </w:rPr>
        <w:t>section BC</w:t>
      </w:r>
      <w:r>
        <w:rPr>
          <w:szCs w:val="24"/>
          <w:shd w:val="clear" w:color="auto" w:fill="FFFFFF"/>
          <w:lang w:val="en-NZ" w:eastAsia="en-NZ"/>
        </w:rPr>
        <w:t xml:space="preserve"> </w:t>
      </w:r>
      <w:r w:rsidR="008E6DCD" w:rsidRPr="00DD3E17">
        <w:rPr>
          <w:szCs w:val="24"/>
          <w:shd w:val="clear" w:color="auto" w:fill="FFFFFF"/>
          <w:lang w:val="en-NZ" w:eastAsia="en-NZ"/>
        </w:rPr>
        <w:t>7</w:t>
      </w:r>
      <w:bookmarkEnd w:id="65"/>
      <w:r w:rsidR="008E6DCD" w:rsidRPr="00DD3E17">
        <w:rPr>
          <w:szCs w:val="24"/>
          <w:lang w:val="en-NZ" w:eastAsia="en-NZ"/>
        </w:rPr>
        <w:t xml:space="preserve"> (Income tax liability of person with schedular income) for schedular income that is non-resident passive income is determined by the amount of tax required to be withheld under this Part.</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Exception: minimum amount</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(5) </w:t>
      </w:r>
      <w:r w:rsidR="008E6DCD" w:rsidRPr="00DD3E17">
        <w:rPr>
          <w:szCs w:val="24"/>
          <w:lang w:val="en-NZ" w:eastAsia="en-NZ"/>
        </w:rPr>
        <w:t>Despite subsection (4), if a person derives non-resident passive income consisting of interest, investment society dividends, or a royalty other than those described in subsection (3), the person’s income tax liability for the corresponding tax year is the greater of—</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(a) </w:t>
      </w:r>
      <w:r w:rsidR="008E6DCD" w:rsidRPr="00DD3E17">
        <w:rPr>
          <w:szCs w:val="24"/>
          <w:lang w:val="en-NZ" w:eastAsia="en-NZ"/>
        </w:rPr>
        <w:t>the sum of the total non-resident withholding tax (NRWT) for which they are liable and the amount that would be their income tax liability for the tax year if they had not derived non-resident passive income in the tax year:</w:t>
      </w:r>
    </w:p>
    <w:p w:rsidR="008E6DCD" w:rsidRPr="00DD3E17" w:rsidRDefault="00FF2B46" w:rsidP="002F05D3">
      <w:pPr>
        <w:shd w:val="clear" w:color="auto" w:fill="FFFFFF"/>
        <w:spacing w:line="288" w:lineRule="atLeast"/>
        <w:ind w:left="1134" w:right="465"/>
        <w:jc w:val="left"/>
        <w:rPr>
          <w:szCs w:val="24"/>
          <w:lang w:val="en-NZ" w:eastAsia="en-NZ"/>
        </w:rPr>
      </w:pPr>
      <w:r>
        <w:rPr>
          <w:szCs w:val="24"/>
          <w:lang w:val="en-NZ" w:eastAsia="en-NZ"/>
        </w:rPr>
        <w:t xml:space="preserve">(b) </w:t>
      </w:r>
      <w:proofErr w:type="gramStart"/>
      <w:r w:rsidR="008E6DCD" w:rsidRPr="00DD3E17">
        <w:rPr>
          <w:szCs w:val="24"/>
          <w:lang w:val="en-NZ" w:eastAsia="en-NZ"/>
        </w:rPr>
        <w:t>the</w:t>
      </w:r>
      <w:proofErr w:type="gramEnd"/>
      <w:r w:rsidR="008E6DCD" w:rsidRPr="00DD3E17">
        <w:rPr>
          <w:szCs w:val="24"/>
          <w:lang w:val="en-NZ" w:eastAsia="en-NZ"/>
        </w:rPr>
        <w:t xml:space="preserve"> amount that would be their income tax liability in the absence of this subsection.</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Company deriving minimum amount</w:t>
      </w:r>
    </w:p>
    <w:p w:rsidR="008E6DCD" w:rsidRPr="00DD3E17" w:rsidRDefault="008E6DCD" w:rsidP="002F05D3">
      <w:pPr>
        <w:shd w:val="clear" w:color="auto" w:fill="FFFFFF"/>
        <w:spacing w:line="288" w:lineRule="atLeast"/>
        <w:ind w:left="567" w:right="465"/>
        <w:jc w:val="left"/>
        <w:rPr>
          <w:szCs w:val="24"/>
          <w:lang w:val="en-NZ" w:eastAsia="en-NZ"/>
        </w:rPr>
      </w:pPr>
      <w:r w:rsidRPr="00DD3E17">
        <w:rPr>
          <w:szCs w:val="24"/>
          <w:lang w:val="en-NZ" w:eastAsia="en-NZ"/>
        </w:rPr>
        <w:t>(6)</w:t>
      </w:r>
      <w:r w:rsidR="00FF2B46">
        <w:rPr>
          <w:szCs w:val="24"/>
          <w:lang w:val="en-NZ" w:eastAsia="en-NZ"/>
        </w:rPr>
        <w:t xml:space="preserve"> </w:t>
      </w:r>
      <w:r w:rsidRPr="00DD3E17">
        <w:rPr>
          <w:szCs w:val="24"/>
          <w:lang w:val="en-NZ" w:eastAsia="en-NZ"/>
        </w:rPr>
        <w:t>For the purposes of subsection (5) for a company, if the total amount of non-resident passive income and other income derived by the company in the corresponding tax year is not more than $1,000, the income tax liability of the company for the tax year is the sum referred to in subsection (5)(a).</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Application of financial arrangements rules</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(7) </w:t>
      </w:r>
      <w:r w:rsidR="008E6DCD" w:rsidRPr="00DD3E17">
        <w:rPr>
          <w:szCs w:val="24"/>
          <w:lang w:val="en-NZ" w:eastAsia="en-NZ"/>
        </w:rPr>
        <w:t>The financial arrangements rules do not apply to the calculation of an amount of non-resident passive income.</w:t>
      </w:r>
    </w:p>
    <w:p w:rsidR="00FF2B46" w:rsidRDefault="00FF2B46" w:rsidP="00FF2B46">
      <w:pPr>
        <w:rPr>
          <w:lang w:val="en-NZ" w:eastAsia="en-NZ"/>
        </w:rPr>
      </w:pPr>
    </w:p>
    <w:p w:rsidR="001A38BA" w:rsidRPr="00FF2B46" w:rsidRDefault="001A38BA" w:rsidP="00FF2B46">
      <w:pPr>
        <w:rPr>
          <w:b/>
          <w:lang w:val="en-NZ" w:eastAsia="en-NZ"/>
        </w:rPr>
      </w:pPr>
      <w:r w:rsidRPr="00FF2B46">
        <w:rPr>
          <w:b/>
          <w:lang w:val="en-NZ" w:eastAsia="en-NZ"/>
        </w:rPr>
        <w:t>RF 3 Obligation to withhold amounts of tax for non-resident passive income</w:t>
      </w:r>
    </w:p>
    <w:p w:rsidR="001A38BA" w:rsidRPr="001A38BA" w:rsidRDefault="001A38BA" w:rsidP="005F7AD7">
      <w:pPr>
        <w:shd w:val="clear" w:color="auto" w:fill="FFFFFF"/>
        <w:spacing w:before="240" w:line="288" w:lineRule="atLeast"/>
        <w:ind w:left="567"/>
        <w:jc w:val="left"/>
        <w:outlineLvl w:val="5"/>
        <w:rPr>
          <w:bCs/>
          <w:szCs w:val="24"/>
          <w:lang w:val="en-NZ" w:eastAsia="en-NZ"/>
        </w:rPr>
      </w:pPr>
      <w:r w:rsidRPr="001A38BA">
        <w:rPr>
          <w:bCs/>
          <w:i/>
          <w:szCs w:val="24"/>
          <w:lang w:val="en-NZ" w:eastAsia="en-NZ"/>
        </w:rPr>
        <w:t xml:space="preserve">Withholding amount of </w:t>
      </w:r>
      <w:proofErr w:type="gramStart"/>
      <w:r w:rsidRPr="001A38BA">
        <w:rPr>
          <w:bCs/>
          <w:i/>
          <w:szCs w:val="24"/>
          <w:lang w:val="en-NZ" w:eastAsia="en-NZ"/>
        </w:rPr>
        <w:t>tax</w:t>
      </w:r>
      <w:proofErr w:type="gramEnd"/>
      <w:r>
        <w:rPr>
          <w:bCs/>
          <w:i/>
          <w:szCs w:val="24"/>
          <w:lang w:val="en-NZ" w:eastAsia="en-NZ"/>
        </w:rPr>
        <w:br/>
      </w:r>
      <w:r w:rsidR="005F7AD7">
        <w:rPr>
          <w:bCs/>
          <w:szCs w:val="24"/>
          <w:lang w:val="en-NZ" w:eastAsia="en-NZ"/>
        </w:rPr>
        <w:t xml:space="preserve">(1) </w:t>
      </w:r>
      <w:r w:rsidRPr="001A38BA">
        <w:rPr>
          <w:bCs/>
          <w:szCs w:val="24"/>
          <w:lang w:val="en-NZ" w:eastAsia="en-NZ"/>
        </w:rPr>
        <w:t>A person who makes a payment of non-resident passive income must withhold the amount of tax for the payment and pay it to the Commissioner.  The obligation to withhold arises under section RA 6(2) (Withholding and payment obligations for passive income) at the time of payment</w:t>
      </w:r>
    </w:p>
    <w:p w:rsidR="00FF2B46" w:rsidRDefault="00FF2B46" w:rsidP="00FF2B46">
      <w:pPr>
        <w:rPr>
          <w:lang w:val="en-NZ" w:eastAsia="en-NZ"/>
        </w:rPr>
      </w:pPr>
    </w:p>
    <w:p w:rsidR="008E6DCD" w:rsidRPr="00FF2B46" w:rsidRDefault="008E6DCD" w:rsidP="00FF2B46">
      <w:pPr>
        <w:rPr>
          <w:b/>
          <w:lang w:val="en-NZ" w:eastAsia="en-NZ"/>
        </w:rPr>
      </w:pPr>
      <w:r w:rsidRPr="00FF2B46">
        <w:rPr>
          <w:b/>
          <w:lang w:val="en-NZ" w:eastAsia="en-NZ"/>
        </w:rPr>
        <w:t>RF 12 Interest paid by approved issuers or transitional residents</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When this section applies</w:t>
      </w:r>
    </w:p>
    <w:p w:rsidR="008E6DCD" w:rsidRPr="00DD3E17" w:rsidRDefault="008E6DCD" w:rsidP="002F05D3">
      <w:pPr>
        <w:shd w:val="clear" w:color="auto" w:fill="FFFFFF"/>
        <w:spacing w:line="288" w:lineRule="atLeast"/>
        <w:ind w:left="567" w:right="465"/>
        <w:jc w:val="left"/>
        <w:rPr>
          <w:szCs w:val="24"/>
          <w:lang w:val="en-NZ" w:eastAsia="en-NZ"/>
        </w:rPr>
      </w:pPr>
      <w:r w:rsidRPr="00DD3E17">
        <w:rPr>
          <w:szCs w:val="24"/>
          <w:lang w:val="en-NZ" w:eastAsia="en-NZ"/>
        </w:rPr>
        <w:t>(1)</w:t>
      </w:r>
      <w:r w:rsidR="00FF2B46">
        <w:rPr>
          <w:szCs w:val="24"/>
          <w:lang w:val="en-NZ" w:eastAsia="en-NZ"/>
        </w:rPr>
        <w:t xml:space="preserve"> </w:t>
      </w:r>
      <w:r w:rsidRPr="00DD3E17">
        <w:rPr>
          <w:szCs w:val="24"/>
          <w:lang w:val="en-NZ" w:eastAsia="en-NZ"/>
        </w:rPr>
        <w:t>This section applies in relation to an amount of non-resident passive income that consists of—</w:t>
      </w: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t>(a)</w:t>
      </w:r>
      <w:r w:rsidR="00FF2B46">
        <w:rPr>
          <w:szCs w:val="24"/>
          <w:lang w:val="en-NZ" w:eastAsia="en-NZ"/>
        </w:rPr>
        <w:t xml:space="preserve"> </w:t>
      </w:r>
      <w:proofErr w:type="gramStart"/>
      <w:r w:rsidRPr="00DD3E17">
        <w:rPr>
          <w:szCs w:val="24"/>
          <w:lang w:val="en-NZ" w:eastAsia="en-NZ"/>
        </w:rPr>
        <w:t>interest</w:t>
      </w:r>
      <w:proofErr w:type="gramEnd"/>
      <w:r w:rsidRPr="00DD3E17">
        <w:rPr>
          <w:szCs w:val="24"/>
          <w:lang w:val="en-NZ" w:eastAsia="en-NZ"/>
        </w:rPr>
        <w:t xml:space="preserve"> that—</w:t>
      </w:r>
    </w:p>
    <w:p w:rsidR="008E6DCD" w:rsidRPr="00DD3E17" w:rsidRDefault="008E6DCD" w:rsidP="002F05D3">
      <w:pPr>
        <w:shd w:val="clear" w:color="auto" w:fill="FFFFFF"/>
        <w:spacing w:line="288" w:lineRule="atLeast"/>
        <w:ind w:left="1701" w:right="465"/>
        <w:jc w:val="left"/>
        <w:rPr>
          <w:szCs w:val="24"/>
          <w:lang w:val="en-NZ" w:eastAsia="en-NZ"/>
        </w:rPr>
      </w:pPr>
      <w:r w:rsidRPr="00DD3E17">
        <w:rPr>
          <w:szCs w:val="24"/>
          <w:lang w:val="en-NZ" w:eastAsia="en-NZ"/>
        </w:rPr>
        <w:t>(i)</w:t>
      </w:r>
      <w:r w:rsidR="00FF2B46">
        <w:rPr>
          <w:szCs w:val="24"/>
          <w:lang w:val="en-NZ" w:eastAsia="en-NZ"/>
        </w:rPr>
        <w:t xml:space="preserve"> </w:t>
      </w:r>
      <w:proofErr w:type="gramStart"/>
      <w:r w:rsidRPr="00DD3E17">
        <w:rPr>
          <w:szCs w:val="24"/>
          <w:lang w:val="en-NZ" w:eastAsia="en-NZ"/>
        </w:rPr>
        <w:t>is</w:t>
      </w:r>
      <w:proofErr w:type="gramEnd"/>
      <w:r w:rsidRPr="00DD3E17">
        <w:rPr>
          <w:szCs w:val="24"/>
          <w:lang w:val="en-NZ" w:eastAsia="en-NZ"/>
        </w:rPr>
        <w:t xml:space="preserve"> paid by an approved issuer under a registered security; and</w:t>
      </w:r>
    </w:p>
    <w:p w:rsidR="008E6DCD" w:rsidRPr="00DD3E17" w:rsidRDefault="008E6DCD" w:rsidP="002F05D3">
      <w:pPr>
        <w:shd w:val="clear" w:color="auto" w:fill="FFFFFF"/>
        <w:spacing w:line="288" w:lineRule="atLeast"/>
        <w:ind w:left="1701" w:right="465"/>
        <w:jc w:val="left"/>
        <w:rPr>
          <w:szCs w:val="24"/>
          <w:lang w:val="en-NZ" w:eastAsia="en-NZ"/>
        </w:rPr>
      </w:pPr>
      <w:r w:rsidRPr="00DD3E17">
        <w:rPr>
          <w:szCs w:val="24"/>
          <w:lang w:val="en-NZ" w:eastAsia="en-NZ"/>
        </w:rPr>
        <w:t>(ii)</w:t>
      </w:r>
      <w:r w:rsidR="00FF2B46">
        <w:rPr>
          <w:szCs w:val="24"/>
          <w:lang w:val="en-NZ" w:eastAsia="en-NZ"/>
        </w:rPr>
        <w:t xml:space="preserve"> </w:t>
      </w:r>
      <w:r w:rsidRPr="00DD3E17">
        <w:rPr>
          <w:szCs w:val="24"/>
          <w:lang w:val="en-NZ" w:eastAsia="en-NZ"/>
        </w:rPr>
        <w:t>is derived by a person not associated with the approved issuer except by being a beneficiary of a trust established for the main purpose of protecting and enforcing beneficiaries' rights under the registered security; and</w:t>
      </w:r>
    </w:p>
    <w:p w:rsidR="008E6DCD" w:rsidRPr="00FF2B46" w:rsidRDefault="008E6DCD" w:rsidP="00FF2B46">
      <w:pPr>
        <w:pStyle w:val="ListParagraph"/>
        <w:numPr>
          <w:ilvl w:val="0"/>
          <w:numId w:val="30"/>
        </w:numPr>
        <w:shd w:val="clear" w:color="auto" w:fill="FFFFFF"/>
        <w:spacing w:line="288" w:lineRule="atLeast"/>
        <w:ind w:right="465"/>
        <w:jc w:val="left"/>
        <w:rPr>
          <w:szCs w:val="24"/>
          <w:lang w:val="en-NZ" w:eastAsia="en-NZ"/>
        </w:rPr>
      </w:pPr>
      <w:r w:rsidRPr="00FF2B46">
        <w:rPr>
          <w:szCs w:val="24"/>
          <w:lang w:val="en-NZ" w:eastAsia="en-NZ"/>
        </w:rPr>
        <w:t xml:space="preserve">is not a payment to which </w:t>
      </w:r>
      <w:bookmarkStart w:id="66" w:name="DLM2627286"/>
      <w:r w:rsidRPr="00FF2B46">
        <w:rPr>
          <w:szCs w:val="24"/>
          <w:shd w:val="clear" w:color="auto" w:fill="FFFFFF"/>
          <w:lang w:val="en-NZ" w:eastAsia="en-NZ"/>
        </w:rPr>
        <w:t>section RF</w:t>
      </w:r>
      <w:r w:rsidR="00FF2B46">
        <w:rPr>
          <w:szCs w:val="24"/>
          <w:shd w:val="clear" w:color="auto" w:fill="FFFFFF"/>
          <w:lang w:val="en-NZ" w:eastAsia="en-NZ"/>
        </w:rPr>
        <w:t xml:space="preserve"> </w:t>
      </w:r>
      <w:r w:rsidRPr="00FF2B46">
        <w:rPr>
          <w:szCs w:val="24"/>
          <w:shd w:val="clear" w:color="auto" w:fill="FFFFFF"/>
          <w:lang w:val="en-NZ" w:eastAsia="en-NZ"/>
        </w:rPr>
        <w:t>12B</w:t>
      </w:r>
      <w:r w:rsidRPr="00FF2B46">
        <w:rPr>
          <w:szCs w:val="24"/>
          <w:lang w:val="en-NZ" w:eastAsia="en-NZ"/>
        </w:rPr>
        <w:t xml:space="preserve"> applies:</w:t>
      </w:r>
    </w:p>
    <w:p w:rsidR="009B6D39" w:rsidRDefault="009B6D39" w:rsidP="002F05D3">
      <w:pPr>
        <w:shd w:val="clear" w:color="auto" w:fill="FFFFFF"/>
        <w:spacing w:line="288" w:lineRule="atLeast"/>
        <w:ind w:left="1134" w:right="465"/>
        <w:jc w:val="left"/>
        <w:rPr>
          <w:szCs w:val="24"/>
          <w:lang w:val="en-NZ" w:eastAsia="en-NZ"/>
        </w:rPr>
      </w:pPr>
    </w:p>
    <w:p w:rsidR="008E6DCD" w:rsidRPr="00DD3E17" w:rsidRDefault="008E6DCD" w:rsidP="002F05D3">
      <w:pPr>
        <w:shd w:val="clear" w:color="auto" w:fill="FFFFFF"/>
        <w:spacing w:line="288" w:lineRule="atLeast"/>
        <w:ind w:left="1134" w:right="465"/>
        <w:jc w:val="left"/>
        <w:rPr>
          <w:szCs w:val="24"/>
          <w:lang w:val="en-NZ" w:eastAsia="en-NZ"/>
        </w:rPr>
      </w:pPr>
      <w:r w:rsidRPr="00DD3E17">
        <w:rPr>
          <w:szCs w:val="24"/>
          <w:lang w:val="en-NZ" w:eastAsia="en-NZ"/>
        </w:rPr>
        <w:lastRenderedPageBreak/>
        <w:t>(b)</w:t>
      </w:r>
      <w:r w:rsidR="00FF2B46">
        <w:rPr>
          <w:szCs w:val="24"/>
          <w:lang w:val="en-NZ" w:eastAsia="en-NZ"/>
        </w:rPr>
        <w:t xml:space="preserve"> </w:t>
      </w:r>
      <w:proofErr w:type="gramStart"/>
      <w:r w:rsidRPr="00DD3E17">
        <w:rPr>
          <w:szCs w:val="24"/>
          <w:lang w:val="en-NZ" w:eastAsia="en-NZ"/>
        </w:rPr>
        <w:t>interest</w:t>
      </w:r>
      <w:proofErr w:type="gramEnd"/>
      <w:r w:rsidRPr="00DD3E17">
        <w:rPr>
          <w:szCs w:val="24"/>
          <w:lang w:val="en-NZ" w:eastAsia="en-NZ"/>
        </w:rPr>
        <w:t xml:space="preserve"> that—</w:t>
      </w:r>
    </w:p>
    <w:p w:rsidR="008E6DCD" w:rsidRPr="00DD3E17" w:rsidRDefault="008E6DCD" w:rsidP="002F05D3">
      <w:pPr>
        <w:shd w:val="clear" w:color="auto" w:fill="FFFFFF"/>
        <w:spacing w:line="288" w:lineRule="atLeast"/>
        <w:ind w:left="1701" w:right="465"/>
        <w:jc w:val="left"/>
        <w:rPr>
          <w:szCs w:val="24"/>
          <w:lang w:val="en-NZ" w:eastAsia="en-NZ"/>
        </w:rPr>
      </w:pPr>
      <w:r w:rsidRPr="00DD3E17">
        <w:rPr>
          <w:szCs w:val="24"/>
          <w:lang w:val="en-NZ" w:eastAsia="en-NZ"/>
        </w:rPr>
        <w:t>(i)</w:t>
      </w:r>
      <w:r w:rsidR="00FF2B46">
        <w:rPr>
          <w:szCs w:val="24"/>
          <w:lang w:val="en-NZ" w:eastAsia="en-NZ"/>
        </w:rPr>
        <w:t xml:space="preserve"> </w:t>
      </w:r>
      <w:proofErr w:type="gramStart"/>
      <w:r w:rsidRPr="00DD3E17">
        <w:rPr>
          <w:szCs w:val="24"/>
          <w:lang w:val="en-NZ" w:eastAsia="en-NZ"/>
        </w:rPr>
        <w:t>is</w:t>
      </w:r>
      <w:proofErr w:type="gramEnd"/>
      <w:r w:rsidRPr="00DD3E17">
        <w:rPr>
          <w:szCs w:val="24"/>
          <w:lang w:val="en-NZ" w:eastAsia="en-NZ"/>
        </w:rPr>
        <w:t xml:space="preserve"> paid by a transitional resident in relation to money borrowed by them while non-resident; and</w:t>
      </w:r>
    </w:p>
    <w:p w:rsidR="008E6DCD" w:rsidRPr="00DD3E17" w:rsidRDefault="008E6DCD" w:rsidP="002F05D3">
      <w:pPr>
        <w:shd w:val="clear" w:color="auto" w:fill="FFFFFF"/>
        <w:spacing w:line="288" w:lineRule="atLeast"/>
        <w:ind w:left="1701" w:right="465"/>
        <w:jc w:val="left"/>
        <w:rPr>
          <w:szCs w:val="24"/>
          <w:lang w:val="en-NZ" w:eastAsia="en-NZ"/>
        </w:rPr>
      </w:pPr>
      <w:r w:rsidRPr="00DD3E17">
        <w:rPr>
          <w:szCs w:val="24"/>
          <w:lang w:val="en-NZ" w:eastAsia="en-NZ"/>
        </w:rPr>
        <w:t>(ii)</w:t>
      </w:r>
      <w:r w:rsidR="00FF2B46">
        <w:rPr>
          <w:szCs w:val="24"/>
          <w:lang w:val="en-NZ" w:eastAsia="en-NZ"/>
        </w:rPr>
        <w:t xml:space="preserve"> </w:t>
      </w:r>
      <w:proofErr w:type="gramStart"/>
      <w:r w:rsidRPr="00DD3E17">
        <w:rPr>
          <w:szCs w:val="24"/>
          <w:lang w:val="en-NZ" w:eastAsia="en-NZ"/>
        </w:rPr>
        <w:t>is</w:t>
      </w:r>
      <w:proofErr w:type="gramEnd"/>
      <w:r w:rsidRPr="00DD3E17">
        <w:rPr>
          <w:szCs w:val="24"/>
          <w:lang w:val="en-NZ" w:eastAsia="en-NZ"/>
        </w:rPr>
        <w:t xml:space="preserve"> not paid in relation to a business carried on through a fixed establishment in New Zealand; and</w:t>
      </w:r>
    </w:p>
    <w:p w:rsidR="008E6DCD" w:rsidRPr="00DD3E17" w:rsidRDefault="008E6DCD" w:rsidP="002F05D3">
      <w:pPr>
        <w:shd w:val="clear" w:color="auto" w:fill="FFFFFF"/>
        <w:spacing w:line="288" w:lineRule="atLeast"/>
        <w:ind w:left="1701" w:right="465"/>
        <w:jc w:val="left"/>
        <w:rPr>
          <w:szCs w:val="24"/>
          <w:lang w:val="en-NZ" w:eastAsia="en-NZ"/>
        </w:rPr>
      </w:pPr>
      <w:r w:rsidRPr="00DD3E17">
        <w:rPr>
          <w:szCs w:val="24"/>
          <w:lang w:val="en-NZ" w:eastAsia="en-NZ"/>
        </w:rPr>
        <w:t>(iii)</w:t>
      </w:r>
      <w:r w:rsidR="00FF2B46">
        <w:rPr>
          <w:szCs w:val="24"/>
          <w:lang w:val="en-NZ" w:eastAsia="en-NZ"/>
        </w:rPr>
        <w:t xml:space="preserve"> </w:t>
      </w:r>
      <w:proofErr w:type="gramStart"/>
      <w:r w:rsidRPr="00DD3E17">
        <w:rPr>
          <w:szCs w:val="24"/>
          <w:lang w:val="en-NZ" w:eastAsia="en-NZ"/>
        </w:rPr>
        <w:t>is</w:t>
      </w:r>
      <w:proofErr w:type="gramEnd"/>
      <w:r w:rsidRPr="00DD3E17">
        <w:rPr>
          <w:szCs w:val="24"/>
          <w:lang w:val="en-NZ" w:eastAsia="en-NZ"/>
        </w:rPr>
        <w:t xml:space="preserve"> derived by a person not associated with the transitional resident; and</w:t>
      </w:r>
    </w:p>
    <w:p w:rsidR="008E6DCD" w:rsidRPr="00DD3E17" w:rsidRDefault="008E6DCD" w:rsidP="002F05D3">
      <w:pPr>
        <w:shd w:val="clear" w:color="auto" w:fill="FFFFFF"/>
        <w:spacing w:line="288" w:lineRule="atLeast"/>
        <w:ind w:left="1701" w:right="465"/>
        <w:jc w:val="left"/>
        <w:rPr>
          <w:szCs w:val="24"/>
          <w:lang w:val="en-NZ" w:eastAsia="en-NZ"/>
        </w:rPr>
      </w:pPr>
      <w:r w:rsidRPr="00DD3E17">
        <w:rPr>
          <w:szCs w:val="24"/>
          <w:lang w:val="en-NZ" w:eastAsia="en-NZ"/>
        </w:rPr>
        <w:t>(iv)</w:t>
      </w:r>
      <w:r w:rsidR="00FF2B46">
        <w:rPr>
          <w:szCs w:val="24"/>
          <w:lang w:val="en-NZ" w:eastAsia="en-NZ"/>
        </w:rPr>
        <w:t xml:space="preserve"> </w:t>
      </w:r>
      <w:proofErr w:type="gramStart"/>
      <w:r w:rsidRPr="00DD3E17">
        <w:rPr>
          <w:szCs w:val="24"/>
          <w:lang w:val="en-NZ" w:eastAsia="en-NZ"/>
        </w:rPr>
        <w:t>is</w:t>
      </w:r>
      <w:proofErr w:type="gramEnd"/>
      <w:r w:rsidRPr="00DD3E17">
        <w:rPr>
          <w:szCs w:val="24"/>
          <w:lang w:val="en-NZ" w:eastAsia="en-NZ"/>
        </w:rPr>
        <w:t xml:space="preserve"> not a payment to which </w:t>
      </w:r>
      <w:r w:rsidR="00FF2B46">
        <w:rPr>
          <w:szCs w:val="24"/>
          <w:shd w:val="clear" w:color="auto" w:fill="FFFFFF"/>
          <w:lang w:val="en-NZ" w:eastAsia="en-NZ"/>
        </w:rPr>
        <w:t xml:space="preserve">section RF </w:t>
      </w:r>
      <w:r w:rsidRPr="00DD3E17">
        <w:rPr>
          <w:szCs w:val="24"/>
          <w:shd w:val="clear" w:color="auto" w:fill="FFFFFF"/>
          <w:lang w:val="en-NZ" w:eastAsia="en-NZ"/>
        </w:rPr>
        <w:t>12B</w:t>
      </w:r>
      <w:bookmarkEnd w:id="66"/>
      <w:r w:rsidRPr="00DD3E17">
        <w:rPr>
          <w:szCs w:val="24"/>
          <w:lang w:val="en-NZ" w:eastAsia="en-NZ"/>
        </w:rPr>
        <w:t xml:space="preserve"> applies.</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Zero-rating</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(2) </w:t>
      </w:r>
      <w:r w:rsidR="008E6DCD" w:rsidRPr="00DD3E17">
        <w:rPr>
          <w:szCs w:val="24"/>
          <w:lang w:val="en-NZ" w:eastAsia="en-NZ"/>
        </w:rPr>
        <w:t>The rate of NRWT payable on the amount is 0%.</w:t>
      </w:r>
    </w:p>
    <w:p w:rsidR="008E6DCD" w:rsidRPr="00DD3E17" w:rsidRDefault="008E6DCD" w:rsidP="002F05D3">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Interest paid under registered securities</w:t>
      </w:r>
    </w:p>
    <w:p w:rsidR="008E6DCD" w:rsidRPr="00DD3E17" w:rsidRDefault="00FF2B46" w:rsidP="002F05D3">
      <w:pPr>
        <w:shd w:val="clear" w:color="auto" w:fill="FFFFFF"/>
        <w:spacing w:line="288" w:lineRule="atLeast"/>
        <w:ind w:left="567" w:right="465"/>
        <w:jc w:val="left"/>
        <w:rPr>
          <w:szCs w:val="24"/>
          <w:lang w:val="en-NZ" w:eastAsia="en-NZ"/>
        </w:rPr>
      </w:pPr>
      <w:r>
        <w:rPr>
          <w:szCs w:val="24"/>
          <w:lang w:val="en-NZ" w:eastAsia="en-NZ"/>
        </w:rPr>
        <w:t xml:space="preserve">(3) </w:t>
      </w:r>
      <w:r w:rsidR="008E6DCD" w:rsidRPr="00DD3E17">
        <w:rPr>
          <w:szCs w:val="24"/>
          <w:lang w:val="en-NZ" w:eastAsia="en-NZ"/>
        </w:rPr>
        <w:t xml:space="preserve">For the purposes of the NRWT rules, an amount of interest is paid by an approved issuer under a registered security only if it is treated as paid in relation to a registered security under </w:t>
      </w:r>
      <w:bookmarkStart w:id="67" w:name="DLM400872"/>
      <w:r w:rsidR="008E6DCD" w:rsidRPr="00DD3E17">
        <w:rPr>
          <w:szCs w:val="24"/>
          <w:shd w:val="clear" w:color="auto" w:fill="FFFFFF"/>
          <w:lang w:val="en-NZ" w:eastAsia="en-NZ"/>
        </w:rPr>
        <w:t>section 86I</w:t>
      </w:r>
      <w:bookmarkEnd w:id="67"/>
      <w:r w:rsidR="008E6DCD" w:rsidRPr="00DD3E17">
        <w:rPr>
          <w:szCs w:val="24"/>
          <w:lang w:val="en-NZ" w:eastAsia="en-NZ"/>
        </w:rPr>
        <w:t xml:space="preserve"> of the Stamp and Cheque Duties Act 1971.</w:t>
      </w:r>
    </w:p>
    <w:p w:rsidR="00FF2B46" w:rsidRDefault="00FF2B46" w:rsidP="00FF2B46">
      <w:pPr>
        <w:rPr>
          <w:lang w:val="en-NZ" w:eastAsia="en-NZ"/>
        </w:rPr>
      </w:pPr>
    </w:p>
    <w:p w:rsidR="008E6DCD" w:rsidRPr="00FF2B46" w:rsidRDefault="008E6DCD" w:rsidP="00FF2B46">
      <w:pPr>
        <w:rPr>
          <w:b/>
          <w:lang w:val="en-NZ" w:eastAsia="en-NZ"/>
        </w:rPr>
      </w:pPr>
      <w:r w:rsidRPr="00FF2B46">
        <w:rPr>
          <w:b/>
          <w:lang w:val="en-NZ" w:eastAsia="en-NZ"/>
        </w:rPr>
        <w:t xml:space="preserve">YA 1 </w:t>
      </w:r>
      <w:proofErr w:type="gramStart"/>
      <w:r w:rsidRPr="00FF2B46">
        <w:rPr>
          <w:b/>
          <w:lang w:val="en-NZ" w:eastAsia="en-NZ"/>
        </w:rPr>
        <w:t>Definitions</w:t>
      </w:r>
      <w:proofErr w:type="gramEnd"/>
    </w:p>
    <w:p w:rsidR="008E6DCD" w:rsidRPr="00DD3E17" w:rsidRDefault="008E6DCD" w:rsidP="002F05D3">
      <w:pPr>
        <w:shd w:val="clear" w:color="auto" w:fill="FFFFFF"/>
        <w:spacing w:line="288" w:lineRule="atLeast"/>
        <w:ind w:left="567"/>
        <w:jc w:val="left"/>
        <w:rPr>
          <w:szCs w:val="24"/>
          <w:lang w:val="en-NZ" w:eastAsia="en-NZ"/>
        </w:rPr>
      </w:pPr>
      <w:r w:rsidRPr="00DD3E17">
        <w:rPr>
          <w:szCs w:val="24"/>
          <w:lang w:val="en-NZ" w:eastAsia="en-NZ"/>
        </w:rPr>
        <w:t>In this Act, unless the context requires otherwise,—</w:t>
      </w:r>
    </w:p>
    <w:p w:rsidR="008E6DCD" w:rsidRPr="00DD3E17" w:rsidRDefault="008E6DCD" w:rsidP="008E6DCD">
      <w:pPr>
        <w:rPr>
          <w:szCs w:val="24"/>
          <w:lang w:val="en-NZ"/>
        </w:rPr>
      </w:pPr>
    </w:p>
    <w:p w:rsidR="008E6DCD" w:rsidRPr="00DD3E17" w:rsidRDefault="008E6DCD" w:rsidP="002F05D3">
      <w:pPr>
        <w:pStyle w:val="text1"/>
        <w:shd w:val="clear" w:color="auto" w:fill="FFFFFF"/>
        <w:ind w:left="567"/>
        <w:rPr>
          <w:color w:val="auto"/>
        </w:rPr>
      </w:pPr>
      <w:proofErr w:type="gramStart"/>
      <w:r w:rsidRPr="00DD3E17">
        <w:rPr>
          <w:rStyle w:val="HTMLDefinition"/>
          <w:b/>
          <w:bCs/>
          <w:i w:val="0"/>
          <w:iCs w:val="0"/>
          <w:color w:val="auto"/>
        </w:rPr>
        <w:t>interest</w:t>
      </w:r>
      <w:proofErr w:type="gramEnd"/>
      <w:r w:rsidRPr="00DD3E17">
        <w:rPr>
          <w:color w:val="auto"/>
        </w:rPr>
        <w:t>,—</w:t>
      </w:r>
    </w:p>
    <w:p w:rsidR="008E6DCD" w:rsidRPr="00DD3E17" w:rsidRDefault="008E6DCD" w:rsidP="002F05D3">
      <w:pPr>
        <w:pStyle w:val="labelled4"/>
        <w:shd w:val="clear" w:color="auto" w:fill="FFFFFF"/>
        <w:ind w:left="1134"/>
        <w:rPr>
          <w:color w:val="auto"/>
        </w:rPr>
      </w:pPr>
      <w:r w:rsidRPr="00DD3E17">
        <w:rPr>
          <w:rStyle w:val="label"/>
          <w:color w:val="auto"/>
        </w:rPr>
        <w:t>(a)</w:t>
      </w:r>
      <w:r w:rsidR="00483BEB">
        <w:rPr>
          <w:rStyle w:val="spc1"/>
          <w:color w:val="auto"/>
        </w:rPr>
        <w:t xml:space="preserve"> </w:t>
      </w:r>
      <w:proofErr w:type="gramStart"/>
      <w:r w:rsidRPr="00DD3E17">
        <w:rPr>
          <w:color w:val="auto"/>
        </w:rPr>
        <w:t>for</w:t>
      </w:r>
      <w:proofErr w:type="gramEnd"/>
      <w:r w:rsidRPr="00DD3E17">
        <w:rPr>
          <w:color w:val="auto"/>
        </w:rPr>
        <w:t xml:space="preserve"> a person’s income,—</w:t>
      </w:r>
    </w:p>
    <w:p w:rsidR="008E6DCD" w:rsidRPr="00DD3E17" w:rsidRDefault="008E6DCD" w:rsidP="002F05D3">
      <w:pPr>
        <w:pStyle w:val="labelled4"/>
        <w:shd w:val="clear" w:color="auto" w:fill="FFFFFF"/>
        <w:ind w:left="1701"/>
        <w:rPr>
          <w:color w:val="auto"/>
        </w:rPr>
      </w:pPr>
      <w:r w:rsidRPr="00DD3E17">
        <w:rPr>
          <w:rStyle w:val="label"/>
          <w:color w:val="auto"/>
        </w:rPr>
        <w:t>(i)</w:t>
      </w:r>
      <w:r w:rsidR="00483BEB">
        <w:rPr>
          <w:rStyle w:val="label"/>
          <w:color w:val="auto"/>
        </w:rPr>
        <w:t xml:space="preserve"> </w:t>
      </w:r>
      <w:r w:rsidRPr="00DD3E17">
        <w:rPr>
          <w:color w:val="auto"/>
        </w:rPr>
        <w:t>means a payment made to the person by another person for money lent to any person, whether or not the payment is periodical and however it is described or calculated; and</w:t>
      </w:r>
    </w:p>
    <w:p w:rsidR="008E6DCD" w:rsidRPr="00DD3E17" w:rsidRDefault="008E6DCD" w:rsidP="002F05D3">
      <w:pPr>
        <w:pStyle w:val="labelled4"/>
        <w:shd w:val="clear" w:color="auto" w:fill="FFFFFF"/>
        <w:ind w:left="1701"/>
        <w:rPr>
          <w:color w:val="auto"/>
        </w:rPr>
      </w:pPr>
      <w:r w:rsidRPr="00DD3E17">
        <w:rPr>
          <w:rStyle w:val="label"/>
          <w:color w:val="auto"/>
        </w:rPr>
        <w:t>(ii)</w:t>
      </w:r>
      <w:r w:rsidR="00483BEB">
        <w:rPr>
          <w:rStyle w:val="label"/>
          <w:color w:val="auto"/>
        </w:rPr>
        <w:t xml:space="preserve"> </w:t>
      </w:r>
      <w:proofErr w:type="gramStart"/>
      <w:r w:rsidRPr="00DD3E17">
        <w:rPr>
          <w:color w:val="auto"/>
        </w:rPr>
        <w:t>does</w:t>
      </w:r>
      <w:proofErr w:type="gramEnd"/>
      <w:r w:rsidRPr="00DD3E17">
        <w:rPr>
          <w:color w:val="auto"/>
        </w:rPr>
        <w:t xml:space="preserve"> not include a redemption payment; and</w:t>
      </w:r>
    </w:p>
    <w:p w:rsidR="008E6DCD" w:rsidRPr="00DD3E17" w:rsidRDefault="008E6DCD" w:rsidP="002F05D3">
      <w:pPr>
        <w:pStyle w:val="labelled4"/>
        <w:shd w:val="clear" w:color="auto" w:fill="FFFFFF"/>
        <w:ind w:left="1701"/>
        <w:rPr>
          <w:color w:val="auto"/>
        </w:rPr>
      </w:pPr>
      <w:r w:rsidRPr="00DD3E17">
        <w:rPr>
          <w:rStyle w:val="label"/>
          <w:color w:val="auto"/>
        </w:rPr>
        <w:t>(iii)</w:t>
      </w:r>
      <w:r w:rsidR="00483BEB">
        <w:rPr>
          <w:rStyle w:val="label"/>
          <w:color w:val="auto"/>
        </w:rPr>
        <w:t xml:space="preserve"> </w:t>
      </w:r>
      <w:proofErr w:type="gramStart"/>
      <w:r w:rsidRPr="00DD3E17">
        <w:rPr>
          <w:color w:val="auto"/>
        </w:rPr>
        <w:t>does</w:t>
      </w:r>
      <w:proofErr w:type="gramEnd"/>
      <w:r w:rsidRPr="00DD3E17">
        <w:rPr>
          <w:color w:val="auto"/>
        </w:rPr>
        <w:t xml:space="preserve"> not include a repayment of money lent:</w:t>
      </w:r>
    </w:p>
    <w:p w:rsidR="008E6DCD" w:rsidRPr="00DD3E17" w:rsidRDefault="008E6DCD" w:rsidP="002F05D3">
      <w:pPr>
        <w:pStyle w:val="labelled4"/>
        <w:shd w:val="clear" w:color="auto" w:fill="FFFFFF"/>
        <w:ind w:left="1134"/>
        <w:rPr>
          <w:color w:val="auto"/>
        </w:rPr>
      </w:pPr>
      <w:r w:rsidRPr="00DD3E17">
        <w:rPr>
          <w:rStyle w:val="label"/>
          <w:color w:val="auto"/>
        </w:rPr>
        <w:t>(b)</w:t>
      </w:r>
      <w:r w:rsidR="00483BEB">
        <w:rPr>
          <w:rStyle w:val="label"/>
          <w:color w:val="auto"/>
        </w:rPr>
        <w:t xml:space="preserve"> </w:t>
      </w:r>
      <w:proofErr w:type="gramStart"/>
      <w:r w:rsidRPr="00DD3E17">
        <w:rPr>
          <w:color w:val="auto"/>
        </w:rPr>
        <w:t>for</w:t>
      </w:r>
      <w:proofErr w:type="gramEnd"/>
      <w:r w:rsidRPr="00DD3E17">
        <w:rPr>
          <w:color w:val="auto"/>
        </w:rPr>
        <w:t xml:space="preserve"> the RWT rules and the NRWT rules, includes a redemption payment:</w:t>
      </w:r>
    </w:p>
    <w:p w:rsidR="008E6DCD" w:rsidRPr="00DD3E17" w:rsidRDefault="008E6DCD" w:rsidP="002F05D3">
      <w:pPr>
        <w:pStyle w:val="labelled4"/>
        <w:shd w:val="clear" w:color="auto" w:fill="FFFFFF"/>
        <w:ind w:left="1134"/>
        <w:rPr>
          <w:color w:val="auto"/>
        </w:rPr>
      </w:pPr>
      <w:r w:rsidRPr="00DD3E17">
        <w:rPr>
          <w:rStyle w:val="label"/>
          <w:color w:val="auto"/>
        </w:rPr>
        <w:t>(c)</w:t>
      </w:r>
      <w:r w:rsidR="00483BEB">
        <w:rPr>
          <w:rStyle w:val="label"/>
          <w:color w:val="auto"/>
        </w:rPr>
        <w:t xml:space="preserve"> </w:t>
      </w:r>
      <w:proofErr w:type="gramStart"/>
      <w:r w:rsidRPr="00DD3E17">
        <w:rPr>
          <w:color w:val="auto"/>
        </w:rPr>
        <w:t>in</w:t>
      </w:r>
      <w:proofErr w:type="gramEnd"/>
      <w:r w:rsidRPr="00DD3E17">
        <w:rPr>
          <w:color w:val="auto"/>
        </w:rPr>
        <w:t xml:space="preserve"> </w:t>
      </w:r>
      <w:bookmarkStart w:id="68" w:name="DLM1513584"/>
      <w:r w:rsidRPr="00DD3E17">
        <w:rPr>
          <w:color w:val="auto"/>
          <w:shd w:val="clear" w:color="auto" w:fill="FFFFFF"/>
        </w:rPr>
        <w:t>sections DB 6</w:t>
      </w:r>
      <w:bookmarkEnd w:id="68"/>
      <w:r w:rsidRPr="00DD3E17">
        <w:rPr>
          <w:color w:val="auto"/>
        </w:rPr>
        <w:t xml:space="preserve"> (Interest: not capital expenditure), </w:t>
      </w:r>
      <w:bookmarkStart w:id="69" w:name="DLM1513586"/>
      <w:r w:rsidR="00483BEB">
        <w:rPr>
          <w:color w:val="auto"/>
          <w:shd w:val="clear" w:color="auto" w:fill="FFFFFF"/>
        </w:rPr>
        <w:t xml:space="preserve">DB </w:t>
      </w:r>
      <w:r w:rsidRPr="00DD3E17">
        <w:rPr>
          <w:color w:val="auto"/>
          <w:shd w:val="clear" w:color="auto" w:fill="FFFFFF"/>
        </w:rPr>
        <w:t>7</w:t>
      </w:r>
      <w:bookmarkEnd w:id="69"/>
      <w:r w:rsidRPr="00DD3E17">
        <w:rPr>
          <w:color w:val="auto"/>
        </w:rPr>
        <w:t xml:space="preserve"> (Interest: most companies need no nexus with income), and </w:t>
      </w:r>
      <w:bookmarkStart w:id="70" w:name="DLM1513590"/>
      <w:r w:rsidR="00483BEB">
        <w:rPr>
          <w:color w:val="auto"/>
          <w:shd w:val="clear" w:color="auto" w:fill="FFFFFF"/>
        </w:rPr>
        <w:t xml:space="preserve">DB </w:t>
      </w:r>
      <w:r w:rsidRPr="00DD3E17">
        <w:rPr>
          <w:color w:val="auto"/>
          <w:shd w:val="clear" w:color="auto" w:fill="FFFFFF"/>
        </w:rPr>
        <w:t>8</w:t>
      </w:r>
      <w:bookmarkEnd w:id="70"/>
      <w:r w:rsidRPr="00DD3E17">
        <w:rPr>
          <w:color w:val="auto"/>
        </w:rPr>
        <w:t xml:space="preserve"> (Interest: money borrowed to acquire shares in group companies),—</w:t>
      </w:r>
    </w:p>
    <w:p w:rsidR="008E6DCD" w:rsidRPr="00DD3E17" w:rsidRDefault="008E6DCD" w:rsidP="002F05D3">
      <w:pPr>
        <w:pStyle w:val="labelled4"/>
        <w:shd w:val="clear" w:color="auto" w:fill="FFFFFF"/>
        <w:ind w:left="1701"/>
        <w:rPr>
          <w:color w:val="auto"/>
        </w:rPr>
      </w:pPr>
      <w:r w:rsidRPr="00DD3E17">
        <w:rPr>
          <w:rStyle w:val="label"/>
          <w:color w:val="auto"/>
        </w:rPr>
        <w:t>(i)</w:t>
      </w:r>
      <w:r w:rsidR="00483BEB">
        <w:rPr>
          <w:rStyle w:val="label"/>
          <w:color w:val="auto"/>
        </w:rPr>
        <w:t xml:space="preserve"> </w:t>
      </w:r>
      <w:proofErr w:type="gramStart"/>
      <w:r w:rsidRPr="00DD3E17">
        <w:rPr>
          <w:color w:val="auto"/>
        </w:rPr>
        <w:t>includes</w:t>
      </w:r>
      <w:proofErr w:type="gramEnd"/>
      <w:r w:rsidRPr="00DD3E17">
        <w:rPr>
          <w:color w:val="auto"/>
        </w:rPr>
        <w:t xml:space="preserve"> expenditure incurred under the financial arrangements rules or the old financial arrangements rules; and</w:t>
      </w:r>
    </w:p>
    <w:p w:rsidR="008E6DCD" w:rsidRPr="00DD3E17" w:rsidRDefault="008E6DCD" w:rsidP="002F05D3">
      <w:pPr>
        <w:pStyle w:val="labelled4"/>
        <w:shd w:val="clear" w:color="auto" w:fill="FFFFFF"/>
        <w:ind w:left="1701"/>
        <w:rPr>
          <w:color w:val="auto"/>
        </w:rPr>
      </w:pPr>
      <w:r w:rsidRPr="00DD3E17">
        <w:rPr>
          <w:rStyle w:val="label"/>
          <w:color w:val="auto"/>
        </w:rPr>
        <w:t>(ii)</w:t>
      </w:r>
      <w:r w:rsidR="00483BEB">
        <w:rPr>
          <w:rStyle w:val="label"/>
          <w:color w:val="auto"/>
        </w:rPr>
        <w:t xml:space="preserve"> </w:t>
      </w:r>
      <w:proofErr w:type="gramStart"/>
      <w:r w:rsidRPr="00DD3E17">
        <w:rPr>
          <w:color w:val="auto"/>
        </w:rPr>
        <w:t>does</w:t>
      </w:r>
      <w:proofErr w:type="gramEnd"/>
      <w:r w:rsidRPr="00DD3E17">
        <w:rPr>
          <w:color w:val="auto"/>
        </w:rPr>
        <w:t xml:space="preserve"> not include interest to which </w:t>
      </w:r>
      <w:bookmarkStart w:id="71" w:name="DLM1513572"/>
      <w:r w:rsidRPr="00DD3E17">
        <w:rPr>
          <w:color w:val="auto"/>
          <w:shd w:val="clear" w:color="auto" w:fill="FFFFFF"/>
        </w:rPr>
        <w:t>section DB</w:t>
      </w:r>
      <w:r w:rsidR="00483BEB">
        <w:rPr>
          <w:color w:val="auto"/>
          <w:shd w:val="clear" w:color="auto" w:fill="FFFFFF"/>
        </w:rPr>
        <w:t xml:space="preserve"> </w:t>
      </w:r>
      <w:r w:rsidRPr="00DD3E17">
        <w:rPr>
          <w:color w:val="auto"/>
          <w:shd w:val="clear" w:color="auto" w:fill="FFFFFF"/>
        </w:rPr>
        <w:t>1(1)(e)</w:t>
      </w:r>
      <w:bookmarkEnd w:id="71"/>
      <w:r w:rsidRPr="00DD3E17">
        <w:rPr>
          <w:color w:val="auto"/>
        </w:rPr>
        <w:t xml:space="preserve"> (Taxes, other than GST, and penalties) applies:</w:t>
      </w:r>
    </w:p>
    <w:p w:rsidR="008E6DCD" w:rsidRPr="00DD3E17" w:rsidRDefault="008E6DCD" w:rsidP="002F05D3">
      <w:pPr>
        <w:pStyle w:val="labelled4"/>
        <w:shd w:val="clear" w:color="auto" w:fill="FFFFFF"/>
        <w:ind w:left="1134"/>
        <w:rPr>
          <w:color w:val="auto"/>
        </w:rPr>
      </w:pPr>
      <w:r w:rsidRPr="00DD3E17">
        <w:rPr>
          <w:rStyle w:val="label"/>
          <w:color w:val="auto"/>
        </w:rPr>
        <w:t>(d)</w:t>
      </w:r>
      <w:r w:rsidR="00483BEB">
        <w:rPr>
          <w:rStyle w:val="label"/>
          <w:color w:val="auto"/>
        </w:rPr>
        <w:t xml:space="preserve"> </w:t>
      </w:r>
      <w:proofErr w:type="gramStart"/>
      <w:r w:rsidRPr="00DD3E17">
        <w:rPr>
          <w:color w:val="auto"/>
        </w:rPr>
        <w:t>for</w:t>
      </w:r>
      <w:proofErr w:type="gramEnd"/>
      <w:r w:rsidRPr="00DD3E17">
        <w:rPr>
          <w:color w:val="auto"/>
        </w:rPr>
        <w:t xml:space="preserve"> land, has the same meaning as </w:t>
      </w:r>
      <w:r w:rsidRPr="00DD3E17">
        <w:rPr>
          <w:rStyle w:val="HTMLDefinition"/>
          <w:b/>
          <w:bCs/>
          <w:i w:val="0"/>
          <w:iCs w:val="0"/>
          <w:color w:val="auto"/>
        </w:rPr>
        <w:t>estate</w:t>
      </w:r>
    </w:p>
    <w:p w:rsidR="008E6DCD" w:rsidRPr="00DD3E17" w:rsidRDefault="008E6DCD" w:rsidP="008E6DCD">
      <w:pPr>
        <w:rPr>
          <w:szCs w:val="24"/>
          <w:lang w:val="en-NZ"/>
        </w:rPr>
      </w:pPr>
    </w:p>
    <w:p w:rsidR="008E6DCD" w:rsidRPr="00DD3E17" w:rsidRDefault="008E6DCD" w:rsidP="002F05D3">
      <w:pPr>
        <w:pStyle w:val="text1"/>
        <w:shd w:val="clear" w:color="auto" w:fill="FFFFFF"/>
        <w:ind w:left="567"/>
        <w:rPr>
          <w:color w:val="auto"/>
        </w:rPr>
      </w:pPr>
      <w:proofErr w:type="gramStart"/>
      <w:r w:rsidRPr="00DD3E17">
        <w:rPr>
          <w:rStyle w:val="HTMLDefinition"/>
          <w:b/>
          <w:bCs/>
          <w:i w:val="0"/>
          <w:iCs w:val="0"/>
          <w:color w:val="auto"/>
        </w:rPr>
        <w:t>money</w:t>
      </w:r>
      <w:proofErr w:type="gramEnd"/>
      <w:r w:rsidRPr="00DD3E17">
        <w:rPr>
          <w:rStyle w:val="HTMLDefinition"/>
          <w:b/>
          <w:bCs/>
          <w:i w:val="0"/>
          <w:iCs w:val="0"/>
          <w:color w:val="auto"/>
        </w:rPr>
        <w:t xml:space="preserve"> lent</w:t>
      </w:r>
      <w:r w:rsidRPr="00DD3E17">
        <w:rPr>
          <w:color w:val="auto"/>
        </w:rPr>
        <w:t xml:space="preserve"> means—</w:t>
      </w:r>
    </w:p>
    <w:p w:rsidR="008E6DCD" w:rsidRPr="00DD3E17" w:rsidRDefault="008E6DCD" w:rsidP="002F05D3">
      <w:pPr>
        <w:pStyle w:val="labelled4"/>
        <w:shd w:val="clear" w:color="auto" w:fill="FFFFFF"/>
        <w:ind w:left="1134"/>
        <w:rPr>
          <w:color w:val="auto"/>
        </w:rPr>
      </w:pPr>
      <w:r w:rsidRPr="00DD3E17">
        <w:rPr>
          <w:rStyle w:val="label"/>
          <w:color w:val="auto"/>
        </w:rPr>
        <w:t>(a)</w:t>
      </w:r>
      <w:r w:rsidR="00483BEB">
        <w:rPr>
          <w:rStyle w:val="spc1"/>
          <w:color w:val="auto"/>
        </w:rPr>
        <w:t xml:space="preserve"> </w:t>
      </w:r>
      <w:r w:rsidRPr="00DD3E17">
        <w:rPr>
          <w:color w:val="auto"/>
        </w:rPr>
        <w:t>an amount of money that a person lends in some way, including by depositing it in an account, whether or not the lending is secured or evidenced in writing:</w:t>
      </w:r>
    </w:p>
    <w:p w:rsidR="008E6DCD" w:rsidRPr="00DD3E17" w:rsidRDefault="008E6DCD" w:rsidP="002F05D3">
      <w:pPr>
        <w:pStyle w:val="labelled4"/>
        <w:shd w:val="clear" w:color="auto" w:fill="FFFFFF"/>
        <w:ind w:left="1134"/>
        <w:rPr>
          <w:color w:val="auto"/>
        </w:rPr>
      </w:pPr>
      <w:r w:rsidRPr="00DD3E17">
        <w:rPr>
          <w:rStyle w:val="label"/>
          <w:color w:val="auto"/>
        </w:rPr>
        <w:t>(b)</w:t>
      </w:r>
      <w:r w:rsidR="00483BEB">
        <w:rPr>
          <w:rStyle w:val="spc1"/>
          <w:color w:val="auto"/>
        </w:rPr>
        <w:t xml:space="preserve"> </w:t>
      </w:r>
      <w:r w:rsidRPr="00DD3E17">
        <w:rPr>
          <w:color w:val="auto"/>
        </w:rPr>
        <w:t>an amount of credit that a person gives, including by not enforcing a debt, whether or not the giving is secured or evidenced in writing:</w:t>
      </w:r>
    </w:p>
    <w:p w:rsidR="008E6DCD" w:rsidRPr="00DD3E17" w:rsidRDefault="008E6DCD" w:rsidP="002F05D3">
      <w:pPr>
        <w:pStyle w:val="labelled4"/>
        <w:shd w:val="clear" w:color="auto" w:fill="FFFFFF"/>
        <w:ind w:left="1134"/>
        <w:rPr>
          <w:color w:val="auto"/>
        </w:rPr>
      </w:pPr>
      <w:r w:rsidRPr="00DD3E17">
        <w:rPr>
          <w:rStyle w:val="label"/>
          <w:color w:val="auto"/>
        </w:rPr>
        <w:t>(c)</w:t>
      </w:r>
      <w:r w:rsidR="00483BEB">
        <w:rPr>
          <w:rStyle w:val="spc1"/>
          <w:color w:val="auto"/>
        </w:rPr>
        <w:t xml:space="preserve"> </w:t>
      </w:r>
      <w:proofErr w:type="gramStart"/>
      <w:r w:rsidRPr="00DD3E17">
        <w:rPr>
          <w:color w:val="auto"/>
        </w:rPr>
        <w:t>an</w:t>
      </w:r>
      <w:proofErr w:type="gramEnd"/>
      <w:r w:rsidRPr="00DD3E17">
        <w:rPr>
          <w:color w:val="auto"/>
        </w:rPr>
        <w:t xml:space="preserve"> amount of money that a person lends, or credit that a person gives, under an obligation or arrangement, whether or not secured or evidenced in writing:</w:t>
      </w:r>
    </w:p>
    <w:p w:rsidR="009B6D39" w:rsidRDefault="009B6D39" w:rsidP="002F05D3">
      <w:pPr>
        <w:pStyle w:val="labelled4"/>
        <w:shd w:val="clear" w:color="auto" w:fill="FFFFFF"/>
        <w:ind w:left="1134"/>
        <w:rPr>
          <w:rStyle w:val="label"/>
          <w:color w:val="auto"/>
        </w:rPr>
      </w:pPr>
    </w:p>
    <w:p w:rsidR="009B6D39" w:rsidRDefault="009B6D39" w:rsidP="002F05D3">
      <w:pPr>
        <w:pStyle w:val="labelled4"/>
        <w:shd w:val="clear" w:color="auto" w:fill="FFFFFF"/>
        <w:ind w:left="1134"/>
        <w:rPr>
          <w:rStyle w:val="label"/>
          <w:color w:val="auto"/>
        </w:rPr>
      </w:pPr>
    </w:p>
    <w:p w:rsidR="008E6DCD" w:rsidRPr="00DD3E17" w:rsidRDefault="008E6DCD" w:rsidP="002F05D3">
      <w:pPr>
        <w:pStyle w:val="labelled4"/>
        <w:shd w:val="clear" w:color="auto" w:fill="FFFFFF"/>
        <w:ind w:left="1134"/>
        <w:rPr>
          <w:color w:val="auto"/>
        </w:rPr>
      </w:pPr>
      <w:r w:rsidRPr="00DD3E17">
        <w:rPr>
          <w:rStyle w:val="label"/>
          <w:color w:val="auto"/>
        </w:rPr>
        <w:lastRenderedPageBreak/>
        <w:t>(d)</w:t>
      </w:r>
      <w:r w:rsidR="00483BEB">
        <w:rPr>
          <w:rStyle w:val="label"/>
          <w:color w:val="auto"/>
        </w:rPr>
        <w:t xml:space="preserve"> </w:t>
      </w:r>
      <w:proofErr w:type="gramStart"/>
      <w:r w:rsidRPr="00DD3E17">
        <w:rPr>
          <w:color w:val="auto"/>
        </w:rPr>
        <w:t>an</w:t>
      </w:r>
      <w:proofErr w:type="gramEnd"/>
      <w:r w:rsidRPr="00DD3E17">
        <w:rPr>
          <w:color w:val="auto"/>
        </w:rPr>
        <w:t xml:space="preserve"> amount of money that goes from a person (</w:t>
      </w:r>
      <w:r w:rsidRPr="00DD3E17">
        <w:rPr>
          <w:rStyle w:val="HTMLDefinition"/>
          <w:b/>
          <w:bCs/>
          <w:i w:val="0"/>
          <w:iCs w:val="0"/>
          <w:color w:val="auto"/>
        </w:rPr>
        <w:t>person A</w:t>
      </w:r>
      <w:r w:rsidRPr="00DD3E17">
        <w:rPr>
          <w:color w:val="auto"/>
        </w:rPr>
        <w:t>) to another person (</w:t>
      </w:r>
      <w:r w:rsidRPr="00DD3E17">
        <w:rPr>
          <w:rStyle w:val="HTMLDefinition"/>
          <w:b/>
          <w:bCs/>
          <w:i w:val="0"/>
          <w:iCs w:val="0"/>
          <w:color w:val="auto"/>
        </w:rPr>
        <w:t>person B</w:t>
      </w:r>
      <w:r w:rsidRPr="00DD3E17">
        <w:rPr>
          <w:color w:val="auto"/>
        </w:rPr>
        <w:t>) in consideration for person B’s promise to pay person A an amount of money and that is less than the amount that person B promises to pay person A. For the purposes of this paragraph,—</w:t>
      </w:r>
    </w:p>
    <w:p w:rsidR="008E6DCD" w:rsidRPr="00DD3E17" w:rsidRDefault="008E6DCD" w:rsidP="002F05D3">
      <w:pPr>
        <w:pStyle w:val="labelled4"/>
        <w:shd w:val="clear" w:color="auto" w:fill="FFFFFF"/>
        <w:ind w:left="1701"/>
        <w:rPr>
          <w:color w:val="auto"/>
        </w:rPr>
      </w:pPr>
      <w:r w:rsidRPr="00DD3E17">
        <w:rPr>
          <w:rStyle w:val="label"/>
          <w:color w:val="auto"/>
        </w:rPr>
        <w:t>(i)</w:t>
      </w:r>
      <w:r w:rsidR="00483BEB">
        <w:rPr>
          <w:rStyle w:val="label"/>
          <w:color w:val="auto"/>
        </w:rPr>
        <w:t xml:space="preserve"> </w:t>
      </w:r>
      <w:proofErr w:type="gramStart"/>
      <w:r w:rsidRPr="00DD3E17">
        <w:rPr>
          <w:color w:val="auto"/>
        </w:rPr>
        <w:t>money</w:t>
      </w:r>
      <w:proofErr w:type="gramEnd"/>
      <w:r w:rsidRPr="00DD3E17">
        <w:rPr>
          <w:color w:val="auto"/>
        </w:rPr>
        <w:t xml:space="preserve"> goes from person A when it is paid to person B:</w:t>
      </w:r>
    </w:p>
    <w:p w:rsidR="008E6DCD" w:rsidRPr="00DD3E17" w:rsidRDefault="008E6DCD" w:rsidP="002F05D3">
      <w:pPr>
        <w:pStyle w:val="labelled4"/>
        <w:shd w:val="clear" w:color="auto" w:fill="FFFFFF"/>
        <w:ind w:left="1701"/>
        <w:rPr>
          <w:color w:val="auto"/>
        </w:rPr>
      </w:pPr>
      <w:r w:rsidRPr="00DD3E17">
        <w:rPr>
          <w:rStyle w:val="label"/>
          <w:color w:val="auto"/>
        </w:rPr>
        <w:t>(ii)</w:t>
      </w:r>
      <w:r w:rsidR="00483BEB">
        <w:rPr>
          <w:rStyle w:val="label"/>
          <w:color w:val="auto"/>
        </w:rPr>
        <w:t xml:space="preserve"> </w:t>
      </w:r>
      <w:proofErr w:type="gramStart"/>
      <w:r w:rsidRPr="00DD3E17">
        <w:rPr>
          <w:color w:val="auto"/>
        </w:rPr>
        <w:t>person</w:t>
      </w:r>
      <w:proofErr w:type="gramEnd"/>
      <w:r w:rsidRPr="00DD3E17">
        <w:rPr>
          <w:color w:val="auto"/>
        </w:rPr>
        <w:t xml:space="preserve"> B’s promise is not required to be secured or evidenced in writing:</w:t>
      </w:r>
    </w:p>
    <w:p w:rsidR="008E6DCD" w:rsidRDefault="008E6DCD" w:rsidP="002F05D3">
      <w:pPr>
        <w:pStyle w:val="labelled4"/>
        <w:shd w:val="clear" w:color="auto" w:fill="FFFFFF"/>
        <w:ind w:left="1701"/>
        <w:rPr>
          <w:color w:val="auto"/>
        </w:rPr>
      </w:pPr>
      <w:r w:rsidRPr="00DD3E17">
        <w:rPr>
          <w:rStyle w:val="label"/>
          <w:color w:val="auto"/>
        </w:rPr>
        <w:t>(iii)</w:t>
      </w:r>
      <w:r w:rsidR="00483BEB">
        <w:rPr>
          <w:rStyle w:val="label"/>
          <w:color w:val="auto"/>
        </w:rPr>
        <w:t xml:space="preserve"> </w:t>
      </w:r>
      <w:proofErr w:type="gramStart"/>
      <w:r w:rsidRPr="00DD3E17">
        <w:rPr>
          <w:color w:val="auto"/>
        </w:rPr>
        <w:t>person</w:t>
      </w:r>
      <w:proofErr w:type="gramEnd"/>
      <w:r w:rsidRPr="00DD3E17">
        <w:rPr>
          <w:color w:val="auto"/>
        </w:rPr>
        <w:t xml:space="preserve"> B includes any other person with whom person B is an associated person</w:t>
      </w:r>
    </w:p>
    <w:p w:rsidR="006279F9" w:rsidRDefault="006279F9" w:rsidP="006279F9">
      <w:pPr>
        <w:pStyle w:val="labelled4"/>
        <w:shd w:val="clear" w:color="auto" w:fill="FFFFFF"/>
        <w:rPr>
          <w:color w:val="auto"/>
        </w:rPr>
      </w:pPr>
    </w:p>
    <w:p w:rsidR="006279F9" w:rsidRPr="006279F9" w:rsidRDefault="006279F9" w:rsidP="006279F9">
      <w:pPr>
        <w:pStyle w:val="labelled4"/>
        <w:shd w:val="clear" w:color="auto" w:fill="FFFFFF"/>
        <w:ind w:left="567"/>
        <w:rPr>
          <w:color w:val="auto"/>
        </w:rPr>
      </w:pPr>
      <w:proofErr w:type="gramStart"/>
      <w:r w:rsidRPr="006279F9">
        <w:rPr>
          <w:b/>
          <w:color w:val="auto"/>
        </w:rPr>
        <w:t>pay</w:t>
      </w:r>
      <w:proofErr w:type="gramEnd"/>
      <w:r w:rsidRPr="006279F9">
        <w:rPr>
          <w:color w:val="auto"/>
        </w:rPr>
        <w:t>,</w:t>
      </w:r>
      <w:r w:rsidR="001A318D">
        <w:rPr>
          <w:color w:val="auto"/>
        </w:rPr>
        <w:t xml:space="preserve"> </w:t>
      </w:r>
      <w:r w:rsidRPr="006279F9">
        <w:rPr>
          <w:color w:val="auto"/>
        </w:rPr>
        <w:t>—</w:t>
      </w:r>
    </w:p>
    <w:p w:rsidR="006279F9" w:rsidRPr="006279F9" w:rsidRDefault="006279F9" w:rsidP="006279F9">
      <w:pPr>
        <w:pStyle w:val="labelled4"/>
        <w:shd w:val="clear" w:color="auto" w:fill="FFFFFF"/>
        <w:ind w:left="1134"/>
        <w:rPr>
          <w:color w:val="auto"/>
        </w:rPr>
      </w:pPr>
      <w:r w:rsidRPr="006279F9">
        <w:rPr>
          <w:color w:val="auto"/>
        </w:rPr>
        <w:t xml:space="preserve">(a) </w:t>
      </w:r>
      <w:proofErr w:type="gramStart"/>
      <w:r w:rsidRPr="006279F9">
        <w:rPr>
          <w:color w:val="auto"/>
        </w:rPr>
        <w:t>for</w:t>
      </w:r>
      <w:proofErr w:type="gramEnd"/>
      <w:r w:rsidRPr="006279F9">
        <w:rPr>
          <w:color w:val="auto"/>
        </w:rPr>
        <w:t xml:space="preserve"> an amount and a person, includes— </w:t>
      </w:r>
    </w:p>
    <w:p w:rsidR="006279F9" w:rsidRPr="006279F9" w:rsidRDefault="006279F9" w:rsidP="006279F9">
      <w:pPr>
        <w:pStyle w:val="labelled4"/>
        <w:shd w:val="clear" w:color="auto" w:fill="FFFFFF"/>
        <w:ind w:left="1701"/>
        <w:rPr>
          <w:color w:val="auto"/>
        </w:rPr>
      </w:pPr>
      <w:r w:rsidRPr="006279F9">
        <w:rPr>
          <w:color w:val="auto"/>
        </w:rPr>
        <w:t xml:space="preserve">(i) </w:t>
      </w:r>
      <w:proofErr w:type="gramStart"/>
      <w:r w:rsidRPr="006279F9">
        <w:rPr>
          <w:color w:val="auto"/>
        </w:rPr>
        <w:t>to</w:t>
      </w:r>
      <w:proofErr w:type="gramEnd"/>
      <w:r w:rsidRPr="006279F9">
        <w:rPr>
          <w:color w:val="auto"/>
        </w:rPr>
        <w:t xml:space="preserve"> distribute the amount to them:</w:t>
      </w:r>
    </w:p>
    <w:p w:rsidR="006279F9" w:rsidRPr="006279F9" w:rsidRDefault="006279F9" w:rsidP="006279F9">
      <w:pPr>
        <w:pStyle w:val="labelled4"/>
        <w:shd w:val="clear" w:color="auto" w:fill="FFFFFF"/>
        <w:ind w:left="1701"/>
        <w:rPr>
          <w:color w:val="auto"/>
        </w:rPr>
      </w:pPr>
      <w:r w:rsidRPr="006279F9">
        <w:rPr>
          <w:color w:val="auto"/>
        </w:rPr>
        <w:t xml:space="preserve">(ii) </w:t>
      </w:r>
      <w:proofErr w:type="gramStart"/>
      <w:r w:rsidRPr="006279F9">
        <w:rPr>
          <w:color w:val="auto"/>
        </w:rPr>
        <w:t>to</w:t>
      </w:r>
      <w:proofErr w:type="gramEnd"/>
      <w:r w:rsidRPr="006279F9">
        <w:rPr>
          <w:color w:val="auto"/>
        </w:rPr>
        <w:t xml:space="preserve"> credit them for the amount:</w:t>
      </w:r>
    </w:p>
    <w:p w:rsidR="006279F9" w:rsidRPr="006279F9" w:rsidRDefault="006279F9" w:rsidP="006279F9">
      <w:pPr>
        <w:pStyle w:val="labelled4"/>
        <w:shd w:val="clear" w:color="auto" w:fill="FFFFFF"/>
        <w:ind w:left="1701"/>
        <w:rPr>
          <w:color w:val="auto"/>
        </w:rPr>
      </w:pPr>
      <w:r w:rsidRPr="006279F9">
        <w:rPr>
          <w:color w:val="auto"/>
        </w:rPr>
        <w:t xml:space="preserve">(iii) </w:t>
      </w:r>
      <w:proofErr w:type="gramStart"/>
      <w:r w:rsidRPr="006279F9">
        <w:rPr>
          <w:color w:val="auto"/>
        </w:rPr>
        <w:t>to</w:t>
      </w:r>
      <w:proofErr w:type="gramEnd"/>
      <w:r w:rsidRPr="006279F9">
        <w:rPr>
          <w:color w:val="auto"/>
        </w:rPr>
        <w:t xml:space="preserve"> deal with the amount in their interest or on their behalf, in some other way:</w:t>
      </w:r>
    </w:p>
    <w:p w:rsidR="006279F9" w:rsidRPr="006279F9" w:rsidRDefault="006279F9" w:rsidP="006279F9">
      <w:pPr>
        <w:pStyle w:val="labelled4"/>
        <w:shd w:val="clear" w:color="auto" w:fill="FFFFFF"/>
        <w:ind w:left="1134"/>
        <w:rPr>
          <w:color w:val="auto"/>
        </w:rPr>
      </w:pPr>
      <w:r w:rsidRPr="006279F9">
        <w:rPr>
          <w:color w:val="auto"/>
        </w:rPr>
        <w:t>(b)</w:t>
      </w:r>
      <w:r>
        <w:rPr>
          <w:color w:val="auto"/>
        </w:rPr>
        <w:t xml:space="preserve"> …</w:t>
      </w:r>
      <w:r w:rsidR="00EB2246">
        <w:rPr>
          <w:color w:val="auto"/>
        </w:rPr>
        <w:t xml:space="preserve"> </w:t>
      </w:r>
      <w:r w:rsidR="00EB2246" w:rsidRPr="00EB2246">
        <w:rPr>
          <w:color w:val="auto"/>
        </w:rPr>
        <w:t>[</w:t>
      </w:r>
      <w:r w:rsidR="00292734">
        <w:rPr>
          <w:color w:val="auto"/>
        </w:rPr>
        <w:t>Other definitions covered in this Section are</w:t>
      </w:r>
      <w:r w:rsidR="00EB2246">
        <w:rPr>
          <w:color w:val="auto"/>
        </w:rPr>
        <w:t xml:space="preserve"> not relevant for this purpose.]</w:t>
      </w:r>
    </w:p>
    <w:p w:rsidR="00483BEB" w:rsidRDefault="00483BEB" w:rsidP="00483BEB">
      <w:pPr>
        <w:rPr>
          <w:lang w:val="en-NZ" w:eastAsia="en-NZ"/>
        </w:rPr>
      </w:pPr>
    </w:p>
    <w:p w:rsidR="002F05D3" w:rsidRPr="00483BEB" w:rsidRDefault="002F05D3" w:rsidP="00483BEB">
      <w:pPr>
        <w:rPr>
          <w:b/>
          <w:lang w:val="en-NZ" w:eastAsia="en-NZ"/>
        </w:rPr>
      </w:pPr>
      <w:r w:rsidRPr="00483BEB">
        <w:rPr>
          <w:b/>
          <w:lang w:val="en-NZ" w:eastAsia="en-NZ"/>
        </w:rPr>
        <w:t>YD 4 Classes of income treated as having New Zealand source</w:t>
      </w:r>
    </w:p>
    <w:p w:rsidR="002F05D3" w:rsidRPr="00DD3E17" w:rsidRDefault="002F05D3" w:rsidP="00DD3E17">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What this section does</w:t>
      </w:r>
    </w:p>
    <w:p w:rsidR="002F05D3" w:rsidRPr="00DD3E17" w:rsidRDefault="00483BEB" w:rsidP="00DD3E17">
      <w:pPr>
        <w:shd w:val="clear" w:color="auto" w:fill="FFFFFF"/>
        <w:spacing w:line="288" w:lineRule="atLeast"/>
        <w:ind w:left="567" w:right="465"/>
        <w:jc w:val="left"/>
        <w:rPr>
          <w:szCs w:val="24"/>
          <w:lang w:val="en-NZ" w:eastAsia="en-NZ"/>
        </w:rPr>
      </w:pPr>
      <w:r>
        <w:rPr>
          <w:szCs w:val="24"/>
          <w:lang w:val="en-NZ" w:eastAsia="en-NZ"/>
        </w:rPr>
        <w:t xml:space="preserve">(1) </w:t>
      </w:r>
      <w:r w:rsidR="002F05D3" w:rsidRPr="00DD3E17">
        <w:rPr>
          <w:szCs w:val="24"/>
          <w:lang w:val="en-NZ" w:eastAsia="en-NZ"/>
        </w:rPr>
        <w:t>This section lists the types of income that are treated as having a source in New Zealand for the purposes of this Act.</w:t>
      </w:r>
    </w:p>
    <w:p w:rsidR="002F05D3" w:rsidRPr="00DD3E17" w:rsidRDefault="002F05D3" w:rsidP="00DD3E17">
      <w:pPr>
        <w:shd w:val="clear" w:color="auto" w:fill="FFFFFF"/>
        <w:spacing w:before="240" w:line="288" w:lineRule="atLeast"/>
        <w:ind w:left="567"/>
        <w:jc w:val="left"/>
        <w:outlineLvl w:val="6"/>
        <w:rPr>
          <w:i/>
          <w:iCs/>
          <w:szCs w:val="24"/>
          <w:lang w:val="en-NZ" w:eastAsia="en-NZ"/>
        </w:rPr>
      </w:pPr>
      <w:r w:rsidRPr="00DD3E17">
        <w:rPr>
          <w:i/>
          <w:iCs/>
          <w:szCs w:val="24"/>
          <w:lang w:val="en-NZ" w:eastAsia="en-NZ"/>
        </w:rPr>
        <w:t>Income from debt instruments</w:t>
      </w:r>
    </w:p>
    <w:p w:rsidR="002F05D3" w:rsidRPr="00DD3E17" w:rsidRDefault="00483BEB" w:rsidP="00DD3E17">
      <w:pPr>
        <w:shd w:val="clear" w:color="auto" w:fill="FFFFFF"/>
        <w:spacing w:line="288" w:lineRule="atLeast"/>
        <w:ind w:left="567" w:right="465"/>
        <w:jc w:val="left"/>
        <w:rPr>
          <w:szCs w:val="24"/>
          <w:lang w:val="en-NZ" w:eastAsia="en-NZ"/>
        </w:rPr>
      </w:pPr>
      <w:r>
        <w:rPr>
          <w:szCs w:val="24"/>
          <w:lang w:val="en-NZ" w:eastAsia="en-NZ"/>
        </w:rPr>
        <w:t xml:space="preserve">(11) </w:t>
      </w:r>
      <w:r w:rsidR="002F05D3" w:rsidRPr="00DD3E17">
        <w:rPr>
          <w:szCs w:val="24"/>
          <w:lang w:val="en-NZ" w:eastAsia="en-NZ"/>
        </w:rPr>
        <w:t>The following amounts have a source in New Zealand—</w:t>
      </w:r>
    </w:p>
    <w:p w:rsidR="002F05D3" w:rsidRPr="00DD3E17" w:rsidRDefault="00483BEB" w:rsidP="00DD3E17">
      <w:pPr>
        <w:shd w:val="clear" w:color="auto" w:fill="FFFFFF"/>
        <w:spacing w:line="288" w:lineRule="atLeast"/>
        <w:ind w:left="1134" w:right="465"/>
        <w:jc w:val="left"/>
        <w:rPr>
          <w:szCs w:val="24"/>
          <w:lang w:val="en-NZ" w:eastAsia="en-NZ"/>
        </w:rPr>
      </w:pPr>
      <w:r>
        <w:rPr>
          <w:szCs w:val="24"/>
          <w:lang w:val="en-NZ" w:eastAsia="en-NZ"/>
        </w:rPr>
        <w:t xml:space="preserve">(a) </w:t>
      </w:r>
      <w:proofErr w:type="gramStart"/>
      <w:r w:rsidR="002F05D3" w:rsidRPr="00DD3E17">
        <w:rPr>
          <w:szCs w:val="24"/>
          <w:lang w:val="en-NZ" w:eastAsia="en-NZ"/>
        </w:rPr>
        <w:t>interest</w:t>
      </w:r>
      <w:proofErr w:type="gramEnd"/>
      <w:r w:rsidR="002F05D3" w:rsidRPr="00DD3E17">
        <w:rPr>
          <w:szCs w:val="24"/>
          <w:lang w:val="en-NZ" w:eastAsia="en-NZ"/>
        </w:rPr>
        <w:t xml:space="preserve"> or a redemption payment derived from money lent in New Zealand:</w:t>
      </w:r>
    </w:p>
    <w:p w:rsidR="002F05D3" w:rsidRPr="00DD3E17" w:rsidRDefault="00483BEB" w:rsidP="00DD3E17">
      <w:pPr>
        <w:shd w:val="clear" w:color="auto" w:fill="FFFFFF"/>
        <w:spacing w:line="288" w:lineRule="atLeast"/>
        <w:ind w:left="1134" w:right="465"/>
        <w:jc w:val="left"/>
        <w:rPr>
          <w:szCs w:val="24"/>
          <w:lang w:val="en-NZ" w:eastAsia="en-NZ"/>
        </w:rPr>
      </w:pPr>
      <w:r>
        <w:rPr>
          <w:szCs w:val="24"/>
          <w:lang w:val="en-NZ" w:eastAsia="en-NZ"/>
        </w:rPr>
        <w:t xml:space="preserve">(b) </w:t>
      </w:r>
      <w:proofErr w:type="gramStart"/>
      <w:r w:rsidR="002F05D3" w:rsidRPr="00DD3E17">
        <w:rPr>
          <w:szCs w:val="24"/>
          <w:lang w:val="en-NZ" w:eastAsia="en-NZ"/>
        </w:rPr>
        <w:t>interest</w:t>
      </w:r>
      <w:proofErr w:type="gramEnd"/>
      <w:r w:rsidR="002F05D3" w:rsidRPr="00DD3E17">
        <w:rPr>
          <w:szCs w:val="24"/>
          <w:lang w:val="en-NZ" w:eastAsia="en-NZ"/>
        </w:rPr>
        <w:t xml:space="preserve"> or a redemption payment derived from money lent outside New Zealand—</w:t>
      </w:r>
    </w:p>
    <w:p w:rsidR="002F05D3" w:rsidRPr="00DD3E17" w:rsidRDefault="00483BEB" w:rsidP="00DD3E17">
      <w:pPr>
        <w:shd w:val="clear" w:color="auto" w:fill="FFFFFF"/>
        <w:spacing w:line="288" w:lineRule="atLeast"/>
        <w:ind w:left="1701" w:right="465"/>
        <w:jc w:val="left"/>
        <w:rPr>
          <w:szCs w:val="24"/>
          <w:lang w:val="en-NZ" w:eastAsia="en-NZ"/>
        </w:rPr>
      </w:pPr>
      <w:r>
        <w:rPr>
          <w:szCs w:val="24"/>
          <w:lang w:val="en-NZ" w:eastAsia="en-NZ"/>
        </w:rPr>
        <w:t xml:space="preserve">(i) </w:t>
      </w:r>
      <w:proofErr w:type="gramStart"/>
      <w:r w:rsidR="002F05D3" w:rsidRPr="00DD3E17">
        <w:rPr>
          <w:szCs w:val="24"/>
          <w:lang w:val="en-NZ" w:eastAsia="en-NZ"/>
        </w:rPr>
        <w:t>to</w:t>
      </w:r>
      <w:proofErr w:type="gramEnd"/>
      <w:r w:rsidR="002F05D3" w:rsidRPr="00DD3E17">
        <w:rPr>
          <w:szCs w:val="24"/>
          <w:lang w:val="en-NZ" w:eastAsia="en-NZ"/>
        </w:rPr>
        <w:t xml:space="preserve"> a New Zealand resident, unless the money is used by them for the purposes of a business they carry on outside New Zealand through a fixed establishment outside New Zealand:</w:t>
      </w:r>
    </w:p>
    <w:p w:rsidR="002F05D3" w:rsidRPr="00DD3E17" w:rsidRDefault="00483BEB" w:rsidP="00DD3E17">
      <w:pPr>
        <w:shd w:val="clear" w:color="auto" w:fill="FFFFFF"/>
        <w:spacing w:line="288" w:lineRule="atLeast"/>
        <w:ind w:left="1701" w:right="465"/>
        <w:jc w:val="left"/>
        <w:rPr>
          <w:szCs w:val="24"/>
          <w:lang w:val="en-NZ" w:eastAsia="en-NZ"/>
        </w:rPr>
      </w:pPr>
      <w:r>
        <w:rPr>
          <w:szCs w:val="24"/>
          <w:lang w:val="en-NZ" w:eastAsia="en-NZ"/>
        </w:rPr>
        <w:t xml:space="preserve">(ii) </w:t>
      </w:r>
      <w:proofErr w:type="gramStart"/>
      <w:r w:rsidR="002F05D3" w:rsidRPr="00DD3E17">
        <w:rPr>
          <w:szCs w:val="24"/>
          <w:lang w:val="en-NZ" w:eastAsia="en-NZ"/>
        </w:rPr>
        <w:t>to</w:t>
      </w:r>
      <w:proofErr w:type="gramEnd"/>
      <w:r w:rsidR="002F05D3" w:rsidRPr="00DD3E17">
        <w:rPr>
          <w:szCs w:val="24"/>
          <w:lang w:val="en-NZ" w:eastAsia="en-NZ"/>
        </w:rPr>
        <w:t xml:space="preserve"> a non-resident, if the money is used by them for the purposes of a business they carry on in New Zealand through a fixed establishment in New Zealand:</w:t>
      </w:r>
    </w:p>
    <w:p w:rsidR="002F05D3" w:rsidRPr="00DD3E17" w:rsidRDefault="00483BEB" w:rsidP="00DD3E17">
      <w:pPr>
        <w:shd w:val="clear" w:color="auto" w:fill="FFFFFF"/>
        <w:spacing w:line="288" w:lineRule="atLeast"/>
        <w:ind w:left="1134" w:right="465"/>
        <w:jc w:val="left"/>
        <w:rPr>
          <w:szCs w:val="24"/>
          <w:lang w:val="en-NZ" w:eastAsia="en-NZ"/>
        </w:rPr>
      </w:pPr>
      <w:r>
        <w:rPr>
          <w:szCs w:val="24"/>
          <w:lang w:val="en-NZ" w:eastAsia="en-NZ"/>
        </w:rPr>
        <w:t xml:space="preserve">(c) </w:t>
      </w:r>
      <w:proofErr w:type="gramStart"/>
      <w:r w:rsidR="002F05D3" w:rsidRPr="00DD3E17">
        <w:rPr>
          <w:szCs w:val="24"/>
          <w:lang w:val="en-NZ" w:eastAsia="en-NZ"/>
        </w:rPr>
        <w:t>income</w:t>
      </w:r>
      <w:proofErr w:type="gramEnd"/>
      <w:r w:rsidR="002F05D3" w:rsidRPr="00DD3E17">
        <w:rPr>
          <w:szCs w:val="24"/>
          <w:lang w:val="en-NZ" w:eastAsia="en-NZ"/>
        </w:rPr>
        <w:t xml:space="preserve"> from securities issued by the government of New Zealand:</w:t>
      </w:r>
    </w:p>
    <w:p w:rsidR="002F05D3" w:rsidRPr="00DD3E17" w:rsidRDefault="00483BEB" w:rsidP="00DD3E17">
      <w:pPr>
        <w:shd w:val="clear" w:color="auto" w:fill="FFFFFF"/>
        <w:spacing w:line="288" w:lineRule="atLeast"/>
        <w:ind w:left="1134" w:right="465"/>
        <w:jc w:val="left"/>
        <w:rPr>
          <w:szCs w:val="24"/>
          <w:lang w:val="en-NZ" w:eastAsia="en-NZ"/>
        </w:rPr>
      </w:pPr>
      <w:r>
        <w:rPr>
          <w:szCs w:val="24"/>
          <w:lang w:val="en-NZ" w:eastAsia="en-NZ"/>
        </w:rPr>
        <w:t xml:space="preserve">(d) </w:t>
      </w:r>
      <w:proofErr w:type="gramStart"/>
      <w:r w:rsidR="002F05D3" w:rsidRPr="00DD3E17">
        <w:rPr>
          <w:szCs w:val="24"/>
          <w:lang w:val="en-NZ" w:eastAsia="en-NZ"/>
        </w:rPr>
        <w:t>income</w:t>
      </w:r>
      <w:proofErr w:type="gramEnd"/>
      <w:r w:rsidR="002F05D3" w:rsidRPr="00DD3E17">
        <w:rPr>
          <w:szCs w:val="24"/>
          <w:lang w:val="en-NZ" w:eastAsia="en-NZ"/>
        </w:rPr>
        <w:t xml:space="preserve"> derived from debentures issued by a local authority or public authority:</w:t>
      </w:r>
    </w:p>
    <w:p w:rsidR="002F05D3" w:rsidRPr="00DD3E17" w:rsidRDefault="00483BEB" w:rsidP="00DD3E17">
      <w:pPr>
        <w:shd w:val="clear" w:color="auto" w:fill="FFFFFF"/>
        <w:spacing w:line="288" w:lineRule="atLeast"/>
        <w:ind w:left="1134" w:right="465"/>
        <w:jc w:val="left"/>
        <w:rPr>
          <w:szCs w:val="24"/>
          <w:lang w:val="en-NZ" w:eastAsia="en-NZ"/>
        </w:rPr>
      </w:pPr>
      <w:r>
        <w:rPr>
          <w:szCs w:val="24"/>
          <w:lang w:val="en-NZ" w:eastAsia="en-NZ"/>
        </w:rPr>
        <w:t xml:space="preserve">(e) </w:t>
      </w:r>
      <w:proofErr w:type="gramStart"/>
      <w:r w:rsidR="002F05D3" w:rsidRPr="00DD3E17">
        <w:rPr>
          <w:szCs w:val="24"/>
          <w:lang w:val="en-NZ" w:eastAsia="en-NZ"/>
        </w:rPr>
        <w:t>income</w:t>
      </w:r>
      <w:proofErr w:type="gramEnd"/>
      <w:r w:rsidR="002F05D3" w:rsidRPr="00DD3E17">
        <w:rPr>
          <w:szCs w:val="24"/>
          <w:lang w:val="en-NZ" w:eastAsia="en-NZ"/>
        </w:rPr>
        <w:t xml:space="preserve"> derived from a mortgage of land in New Zealand.</w:t>
      </w:r>
    </w:p>
    <w:p w:rsidR="007411C0" w:rsidRDefault="007411C0">
      <w:pPr>
        <w:jc w:val="left"/>
        <w:rPr>
          <w:szCs w:val="24"/>
          <w:lang w:val="en-NZ" w:eastAsia="en-NZ"/>
        </w:rPr>
      </w:pPr>
      <w:r>
        <w:br w:type="page"/>
      </w:r>
    </w:p>
    <w:p w:rsidR="007411C0" w:rsidRDefault="007411C0" w:rsidP="00882B06">
      <w:pPr>
        <w:pStyle w:val="Chapterheading"/>
        <w:rPr>
          <w:lang w:val="en-NZ"/>
        </w:rPr>
      </w:pPr>
      <w:bookmarkStart w:id="72" w:name="_Toc418756731"/>
      <w:r>
        <w:rPr>
          <w:lang w:val="en-NZ"/>
        </w:rPr>
        <w:lastRenderedPageBreak/>
        <w:t>APPENDIX 2</w:t>
      </w:r>
      <w:bookmarkEnd w:id="72"/>
    </w:p>
    <w:p w:rsidR="007411C0" w:rsidRDefault="007411C0" w:rsidP="00882B06">
      <w:pPr>
        <w:pStyle w:val="Chapterheading"/>
        <w:rPr>
          <w:lang w:val="en-NZ"/>
        </w:rPr>
      </w:pPr>
    </w:p>
    <w:p w:rsidR="007411C0" w:rsidRPr="00AE1C04" w:rsidRDefault="00882B06" w:rsidP="00882B06">
      <w:pPr>
        <w:pStyle w:val="Chapterheading"/>
        <w:rPr>
          <w:lang w:val="en-NZ"/>
        </w:rPr>
      </w:pPr>
      <w:bookmarkStart w:id="73" w:name="_Toc418756732"/>
      <w:r>
        <w:rPr>
          <w:caps w:val="0"/>
          <w:lang w:val="en-NZ"/>
        </w:rPr>
        <w:t>Non-resident owning body</w:t>
      </w:r>
      <w:bookmarkEnd w:id="73"/>
    </w:p>
    <w:p w:rsidR="007411C0" w:rsidRPr="00AE1C04" w:rsidRDefault="007411C0" w:rsidP="00483BEB"/>
    <w:p w:rsidR="007411C0" w:rsidRPr="004510BF" w:rsidRDefault="007411C0" w:rsidP="00483BEB"/>
    <w:p w:rsidR="007411C0" w:rsidRPr="00C43A88" w:rsidRDefault="007411C0" w:rsidP="007411C0">
      <w:pPr>
        <w:pBdr>
          <w:top w:val="single" w:sz="4" w:space="10" w:color="auto"/>
          <w:left w:val="single" w:sz="4" w:space="10" w:color="auto"/>
          <w:bottom w:val="single" w:sz="4" w:space="10" w:color="auto"/>
          <w:right w:val="single" w:sz="4" w:space="10" w:color="auto"/>
        </w:pBdr>
        <w:rPr>
          <w:snapToGrid w:val="0"/>
          <w:lang w:eastAsia="en-US"/>
        </w:rPr>
      </w:pPr>
      <w:r w:rsidRPr="00C43A88">
        <w:rPr>
          <w:snapToGrid w:val="0"/>
          <w:lang w:eastAsia="en-US"/>
        </w:rPr>
        <w:t xml:space="preserve">The </w:t>
      </w:r>
      <w:r>
        <w:rPr>
          <w:snapToGrid w:val="0"/>
          <w:lang w:eastAsia="en-US"/>
        </w:rPr>
        <w:t xml:space="preserve">2014 amendments to section FE 4 of the Income Tax Act 2007 introduced the concept of a non-resident owning body.  A similar amendment is </w:t>
      </w:r>
      <w:r w:rsidR="005946ED">
        <w:rPr>
          <w:snapToGrid w:val="0"/>
          <w:lang w:eastAsia="en-US"/>
        </w:rPr>
        <w:t xml:space="preserve">suggested </w:t>
      </w:r>
      <w:proofErr w:type="gramStart"/>
      <w:r>
        <w:rPr>
          <w:snapToGrid w:val="0"/>
          <w:lang w:eastAsia="en-US"/>
        </w:rPr>
        <w:t>for  investors</w:t>
      </w:r>
      <w:proofErr w:type="gramEnd"/>
      <w:r>
        <w:rPr>
          <w:snapToGrid w:val="0"/>
          <w:lang w:eastAsia="en-US"/>
        </w:rPr>
        <w:t xml:space="preserve"> </w:t>
      </w:r>
      <w:r w:rsidR="00F42308">
        <w:rPr>
          <w:snapToGrid w:val="0"/>
          <w:lang w:eastAsia="en-US"/>
        </w:rPr>
        <w:t>acting together and</w:t>
      </w:r>
      <w:r>
        <w:rPr>
          <w:snapToGrid w:val="0"/>
          <w:lang w:eastAsia="en-US"/>
        </w:rPr>
        <w:t xml:space="preserve"> the AIL rules</w:t>
      </w:r>
      <w:r w:rsidR="009B6D39">
        <w:rPr>
          <w:snapToGrid w:val="0"/>
          <w:lang w:eastAsia="en-US"/>
        </w:rPr>
        <w:t>.</w:t>
      </w:r>
    </w:p>
    <w:p w:rsidR="007411C0" w:rsidRDefault="007411C0" w:rsidP="007411C0">
      <w:pPr>
        <w:rPr>
          <w:lang w:val="en-NZ"/>
        </w:rPr>
      </w:pPr>
    </w:p>
    <w:p w:rsidR="00882B06" w:rsidRDefault="00882B06" w:rsidP="007411C0">
      <w:pPr>
        <w:rPr>
          <w:lang w:val="en-NZ"/>
        </w:rPr>
      </w:pPr>
    </w:p>
    <w:p w:rsidR="007411C0" w:rsidRPr="007411C0" w:rsidRDefault="007411C0" w:rsidP="007411C0">
      <w:pPr>
        <w:pStyle w:val="labelled4"/>
        <w:shd w:val="clear" w:color="auto" w:fill="FFFFFF"/>
        <w:ind w:left="567"/>
        <w:rPr>
          <w:color w:val="auto"/>
        </w:rPr>
      </w:pPr>
      <w:r w:rsidRPr="007411C0">
        <w:rPr>
          <w:b/>
          <w:color w:val="auto"/>
        </w:rPr>
        <w:t>non-resident owning body</w:t>
      </w:r>
      <w:r w:rsidRPr="007411C0">
        <w:rPr>
          <w:color w:val="auto"/>
        </w:rPr>
        <w:t>, for a company and an income year, means a group consisting of 2 or more members who are each a non-resident or a person meeting the requirements of section FE 2(1</w:t>
      </w:r>
      <w:proofErr w:type="gramStart"/>
      <w:r w:rsidRPr="007411C0">
        <w:rPr>
          <w:color w:val="auto"/>
        </w:rPr>
        <w:t>)(</w:t>
      </w:r>
      <w:proofErr w:type="gramEnd"/>
      <w:r w:rsidRPr="007411C0">
        <w:rPr>
          <w:color w:val="auto"/>
        </w:rPr>
        <w:t>cc), (d), or (db) and who each hold ownership interests in the company or have a linked trustee holding ownership interests in the company such that,—</w:t>
      </w:r>
    </w:p>
    <w:p w:rsidR="007411C0" w:rsidRPr="007411C0" w:rsidRDefault="007411C0" w:rsidP="00483BEB"/>
    <w:p w:rsidR="007411C0" w:rsidRPr="007411C0" w:rsidRDefault="007411C0" w:rsidP="007411C0">
      <w:pPr>
        <w:pStyle w:val="labelled4"/>
        <w:shd w:val="clear" w:color="auto" w:fill="FFFFFF"/>
        <w:ind w:left="1134"/>
        <w:rPr>
          <w:color w:val="auto"/>
        </w:rPr>
      </w:pPr>
      <w:r w:rsidRPr="007411C0">
        <w:rPr>
          <w:color w:val="auto"/>
        </w:rPr>
        <w:t xml:space="preserve">(a) </w:t>
      </w:r>
      <w:proofErr w:type="gramStart"/>
      <w:r w:rsidRPr="007411C0">
        <w:rPr>
          <w:color w:val="auto"/>
        </w:rPr>
        <w:t>if</w:t>
      </w:r>
      <w:proofErr w:type="gramEnd"/>
      <w:r w:rsidRPr="007411C0">
        <w:rPr>
          <w:color w:val="auto"/>
        </w:rPr>
        <w:t xml:space="preserve"> the company, for each member of the group, owes money to the member (the member debt), or to the member’s linked trustee (the trustee debt), or to a company (the subsidiary) in which the member or a linked trustee has ownership interests (the subsidiary debt),—</w:t>
      </w:r>
    </w:p>
    <w:p w:rsidR="007411C0" w:rsidRPr="007411C0" w:rsidRDefault="007411C0" w:rsidP="00483BEB"/>
    <w:p w:rsidR="007411C0" w:rsidRPr="007411C0" w:rsidRDefault="007411C0" w:rsidP="007411C0">
      <w:pPr>
        <w:pStyle w:val="labelled4"/>
        <w:shd w:val="clear" w:color="auto" w:fill="FFFFFF"/>
        <w:ind w:left="1701"/>
        <w:rPr>
          <w:color w:val="auto"/>
        </w:rPr>
      </w:pPr>
      <w:r w:rsidRPr="007411C0">
        <w:rPr>
          <w:color w:val="auto"/>
        </w:rPr>
        <w:t xml:space="preserve">(i) </w:t>
      </w:r>
      <w:proofErr w:type="gramStart"/>
      <w:r w:rsidRPr="007411C0">
        <w:rPr>
          <w:color w:val="auto"/>
        </w:rPr>
        <w:t>the</w:t>
      </w:r>
      <w:proofErr w:type="gramEnd"/>
      <w:r w:rsidRPr="007411C0">
        <w:rPr>
          <w:color w:val="auto"/>
        </w:rPr>
        <w:t xml:space="preserve"> member debt for a member, expressed as a fraction of the total member debt for the company, corresponds to the ownership interests or direct ownership interests held by the member, expressed as a fraction of the ownership interests or direct ownership interests held by the members of the group:</w:t>
      </w:r>
    </w:p>
    <w:p w:rsidR="007411C0" w:rsidRPr="007411C0" w:rsidRDefault="007411C0" w:rsidP="00483BEB"/>
    <w:p w:rsidR="007411C0" w:rsidRPr="007411C0" w:rsidRDefault="007411C0" w:rsidP="007411C0">
      <w:pPr>
        <w:pStyle w:val="labelled4"/>
        <w:shd w:val="clear" w:color="auto" w:fill="FFFFFF"/>
        <w:ind w:left="1701"/>
        <w:rPr>
          <w:color w:val="auto"/>
        </w:rPr>
      </w:pPr>
      <w:r w:rsidRPr="007411C0">
        <w:rPr>
          <w:color w:val="auto"/>
        </w:rPr>
        <w:t>(ii) the requirements of subparagraph (i) would be met if each of 1 or more members of the group were treated as holding the ownership interests in the company held by the member, and by linked trustees, and were treated as being owed the member debt, the trustee debt, and an amount for a subsidiary debt equal to the product of the subsidiary debt and the ownership interest held in the subsidiary:</w:t>
      </w:r>
    </w:p>
    <w:p w:rsidR="007411C0" w:rsidRPr="007411C0" w:rsidRDefault="007411C0" w:rsidP="00483BEB"/>
    <w:p w:rsidR="007411C0" w:rsidRPr="007411C0" w:rsidRDefault="007411C0" w:rsidP="007411C0">
      <w:pPr>
        <w:pStyle w:val="labelled4"/>
        <w:shd w:val="clear" w:color="auto" w:fill="FFFFFF"/>
        <w:ind w:left="567"/>
        <w:rPr>
          <w:color w:val="auto"/>
        </w:rPr>
      </w:pPr>
      <w:r w:rsidRPr="007411C0">
        <w:rPr>
          <w:color w:val="auto"/>
        </w:rPr>
        <w:t>(b) the company is not a widely-held company and the company is funded for the income year under an arrangement between the members of the group concerning debt (the member-linked funding) under financial arrangements meeting the requirements of section FE 18(3B)(b)(i) to (iii) for the members:</w:t>
      </w:r>
    </w:p>
    <w:p w:rsidR="007411C0" w:rsidRPr="007411C0" w:rsidRDefault="007411C0" w:rsidP="00483BEB"/>
    <w:p w:rsidR="007411C0" w:rsidRPr="007411C0" w:rsidRDefault="007411C0" w:rsidP="007411C0">
      <w:pPr>
        <w:pStyle w:val="labelled4"/>
        <w:shd w:val="clear" w:color="auto" w:fill="FFFFFF"/>
        <w:ind w:left="567"/>
        <w:rPr>
          <w:color w:val="auto"/>
        </w:rPr>
      </w:pPr>
      <w:r w:rsidRPr="007411C0">
        <w:rPr>
          <w:color w:val="auto"/>
        </w:rPr>
        <w:t xml:space="preserve">(c) </w:t>
      </w:r>
      <w:proofErr w:type="gramStart"/>
      <w:r w:rsidRPr="007411C0">
        <w:rPr>
          <w:color w:val="auto"/>
        </w:rPr>
        <w:t>the</w:t>
      </w:r>
      <w:proofErr w:type="gramEnd"/>
      <w:r w:rsidRPr="007411C0">
        <w:rPr>
          <w:color w:val="auto"/>
        </w:rPr>
        <w:t xml:space="preserve"> company has member-linked funding provided in a way recommended to, or implemented for, the members as a group by a person</w:t>
      </w:r>
    </w:p>
    <w:sectPr w:rsidR="007411C0" w:rsidRPr="007411C0" w:rsidSect="00E579AC">
      <w:pgSz w:w="11906" w:h="16838" w:code="9"/>
      <w:pgMar w:top="1134" w:right="1797" w:bottom="1134" w:left="1797" w:header="709" w:footer="425"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431">
      <wne:acd wne:acdName="acd2"/>
    </wne:keymap>
    <wne:keymap wne:kcmPrimary="0432">
      <wne:acd wne:acdName="acd1"/>
    </wne:keymap>
    <wne:keymap wne:kcmPrimary="0435">
      <wne:acd wne:acdName="acd4"/>
    </wne:keymap>
    <wne:keymap wne:kcmPrimary="0436">
      <wne:acd wne:acdName="acd5"/>
    </wne:keymap>
    <wne:keymap wne:kcmPrimary="04BE">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DAGgAYQBwAHQAZQByACAAaABlAGEAZABpAG4AZwA=" wne:acdName="acd0" wne:fciIndexBasedOn="0065"/>
    <wne:acd wne:argValue="AQAAAAIA" wne:acdName="acd1" wne:fciIndexBasedOn="0065"/>
    <wne:acd wne:argValue="AQAAAAEA" wne:acdName="acd2" wne:fciIndexBasedOn="0065"/>
    <wne:acd wne:argValue="AgBCAHUAbABsAGUAdABzAA==" wne:acdName="acd3" wne:fciIndexBasedOn="0065"/>
    <wne:acd wne:argValue="AgBDAGgAYQBwAHQAZQByACAANQA=" wne:acdName="acd4" wne:fciIndexBasedOn="0065"/>
    <wne:acd wne:argValue="AgBDAGgAYQBwAHQAZQByACAANg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E7" w:rsidRDefault="00A62BE7">
      <w:r>
        <w:separator/>
      </w:r>
    </w:p>
  </w:endnote>
  <w:endnote w:type="continuationSeparator" w:id="0">
    <w:p w:rsidR="00A62BE7" w:rsidRDefault="00A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E7" w:rsidRDefault="00A62BE7"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E7" w:rsidRDefault="00A62BE7"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C25F75">
      <w:rPr>
        <w:rStyle w:val="PageNumber"/>
        <w:noProof/>
      </w:rPr>
      <w:t>22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E7" w:rsidRPr="0003164B" w:rsidRDefault="00A62BE7" w:rsidP="004510BF">
    <w:pPr>
      <w:pStyle w:val="Footer"/>
      <w:tabs>
        <w:tab w:val="clear" w:pos="4153"/>
        <w:tab w:val="center" w:pos="4156"/>
        <w:tab w:val="left" w:pos="5340"/>
      </w:tabs>
      <w:jc w:val="center"/>
    </w:pPr>
    <w:r>
      <w:rPr>
        <w:rStyle w:val="PageNumber"/>
      </w:rPr>
      <w:fldChar w:fldCharType="begin"/>
    </w:r>
    <w:r>
      <w:rPr>
        <w:rStyle w:val="PageNumber"/>
      </w:rPr>
      <w:instrText xml:space="preserve"> PAGE </w:instrText>
    </w:r>
    <w:r>
      <w:rPr>
        <w:rStyle w:val="PageNumber"/>
      </w:rPr>
      <w:fldChar w:fldCharType="separate"/>
    </w:r>
    <w:r w:rsidR="00C25F75">
      <w:rPr>
        <w:rStyle w:val="PageNumber"/>
        <w:noProof/>
      </w:rPr>
      <w:t>23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E7" w:rsidRDefault="00A62BE7" w:rsidP="00096603">
    <w:pPr>
      <w:pStyle w:val="Footer"/>
      <w:jc w:val="center"/>
    </w:pPr>
    <w:r>
      <w:fldChar w:fldCharType="begin"/>
    </w:r>
    <w:r>
      <w:rPr>
        <w:rStyle w:val="PageNumber"/>
      </w:rPr>
      <w:instrText xml:space="preserve"> PAGE </w:instrText>
    </w:r>
    <w:r>
      <w:fldChar w:fldCharType="separate"/>
    </w:r>
    <w:r w:rsidR="00EE6F8F">
      <w:rPr>
        <w:rStyle w:val="PageNumbe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E7" w:rsidRDefault="00A62BE7">
      <w:r>
        <w:separator/>
      </w:r>
    </w:p>
  </w:footnote>
  <w:footnote w:type="continuationSeparator" w:id="0">
    <w:p w:rsidR="00A62BE7" w:rsidRDefault="00A62BE7">
      <w:r>
        <w:continuationSeparator/>
      </w:r>
    </w:p>
  </w:footnote>
  <w:footnote w:id="1">
    <w:p w:rsidR="00A62BE7" w:rsidRDefault="00A62BE7" w:rsidP="007A5E4F">
      <w:pPr>
        <w:pStyle w:val="FootnoteText"/>
        <w:jc w:val="both"/>
      </w:pPr>
      <w:r>
        <w:rPr>
          <w:rStyle w:val="FootnoteReference"/>
        </w:rPr>
        <w:footnoteRef/>
      </w:r>
      <w:r>
        <w:t xml:space="preserve"> The domestic law rate of NRWT on interest is 15%; this is usually reduced to 10% under a double tax agreement.</w:t>
      </w:r>
    </w:p>
  </w:footnote>
  <w:footnote w:id="2">
    <w:p w:rsidR="00A62BE7" w:rsidRDefault="00A62BE7" w:rsidP="007A5E4F">
      <w:pPr>
        <w:pStyle w:val="FootnoteText"/>
        <w:jc w:val="both"/>
      </w:pPr>
      <w:r>
        <w:rPr>
          <w:rStyle w:val="FootnoteReference"/>
        </w:rPr>
        <w:footnoteRef/>
      </w:r>
      <w:r>
        <w:t xml:space="preserve"> The rate of AIL is 2%; however, this is deductible for income tax.  At a 28% company tax rate the effective rate is 1.44%.</w:t>
      </w:r>
    </w:p>
  </w:footnote>
  <w:footnote w:id="3">
    <w:p w:rsidR="00A62BE7" w:rsidRDefault="00A62BE7" w:rsidP="007A5E4F">
      <w:pPr>
        <w:pStyle w:val="FootnoteText"/>
        <w:jc w:val="both"/>
      </w:pPr>
      <w:r>
        <w:rPr>
          <w:rStyle w:val="FootnoteReference"/>
        </w:rPr>
        <w:footnoteRef/>
      </w:r>
      <w:r>
        <w:t xml:space="preserve"> Although section GB 26 may deal with aspects of this issue, it will not deal with all of the concerns.</w:t>
      </w:r>
    </w:p>
  </w:footnote>
  <w:footnote w:id="4">
    <w:p w:rsidR="00A62BE7" w:rsidRDefault="00A62BE7" w:rsidP="007A5E4F">
      <w:pPr>
        <w:pStyle w:val="FootnoteText"/>
        <w:jc w:val="both"/>
      </w:pPr>
      <w:r>
        <w:rPr>
          <w:rStyle w:val="FootnoteReference"/>
        </w:rPr>
        <w:footnoteRef/>
      </w:r>
      <w:r>
        <w:t xml:space="preserve"> We recognise that under the currently applicable Determination G22A, a “low interest” OCN between members of the same wholly owned group does not give rise to any additional discount income to the holder.</w:t>
      </w:r>
    </w:p>
  </w:footnote>
  <w:footnote w:id="5">
    <w:p w:rsidR="00A62BE7" w:rsidRDefault="00A62BE7" w:rsidP="007A5E4F">
      <w:pPr>
        <w:pStyle w:val="FootnoteText"/>
        <w:jc w:val="both"/>
      </w:pPr>
      <w:r>
        <w:rPr>
          <w:rStyle w:val="FootnoteReference"/>
        </w:rPr>
        <w:footnoteRef/>
      </w:r>
      <w:r>
        <w:t xml:space="preserve"> However, foreign currency fluctuations would not be treated as NRFAI – this is discussed later in this chapter.</w:t>
      </w:r>
    </w:p>
  </w:footnote>
  <w:footnote w:id="6">
    <w:p w:rsidR="00A62BE7" w:rsidRDefault="00A62BE7" w:rsidP="007A5E4F">
      <w:pPr>
        <w:pStyle w:val="FootnoteText"/>
        <w:jc w:val="both"/>
      </w:pPr>
      <w:r>
        <w:rPr>
          <w:rStyle w:val="FootnoteReference"/>
        </w:rPr>
        <w:footnoteRef/>
      </w:r>
      <w:r>
        <w:t xml:space="preserve"> Separate transitional rules would apply to existing arrangements.  These rules are covered in paragraphs 3.37 to 3.42.</w:t>
      </w:r>
    </w:p>
  </w:footnote>
  <w:footnote w:id="7">
    <w:p w:rsidR="00A62BE7" w:rsidRDefault="00A62BE7" w:rsidP="007A5E4F">
      <w:pPr>
        <w:pStyle w:val="FootnoteText"/>
        <w:jc w:val="both"/>
      </w:pPr>
      <w:r>
        <w:rPr>
          <w:rStyle w:val="FootnoteReference"/>
        </w:rPr>
        <w:footnoteRef/>
      </w:r>
      <w:r>
        <w:t xml:space="preserve"> In this context a New Zealand taxpayer includes a New Zealand resident as well as a non-resident engaged in business in New Zealand through a fixed establishment in New Zealand.</w:t>
      </w:r>
    </w:p>
  </w:footnote>
  <w:footnote w:id="8">
    <w:p w:rsidR="00A62BE7" w:rsidRDefault="00A62BE7" w:rsidP="007A5E4F">
      <w:pPr>
        <w:pStyle w:val="FootnoteText"/>
        <w:jc w:val="both"/>
      </w:pPr>
      <w:r>
        <w:rPr>
          <w:rStyle w:val="FootnoteReference"/>
        </w:rPr>
        <w:footnoteRef/>
      </w:r>
      <w:r>
        <w:t xml:space="preserve"> Calculated as $4.50 - $2.84 = $1.66.</w:t>
      </w:r>
    </w:p>
  </w:footnote>
  <w:footnote w:id="9">
    <w:p w:rsidR="00A62BE7" w:rsidRDefault="00A62BE7" w:rsidP="007A5E4F">
      <w:pPr>
        <w:pStyle w:val="FootnoteText"/>
        <w:jc w:val="both"/>
      </w:pPr>
      <w:r>
        <w:rPr>
          <w:rStyle w:val="FootnoteReference"/>
        </w:rPr>
        <w:footnoteRef/>
      </w:r>
      <w:r>
        <w:t xml:space="preserve"> Except by being a beneficiary of a trust established for the main purpose of protecting and enforcing beneficiaries’ rights under the registered security – this exception is not relevant for the purpose of this issues paper.</w:t>
      </w:r>
    </w:p>
  </w:footnote>
  <w:footnote w:id="10">
    <w:p w:rsidR="00A62BE7" w:rsidRDefault="00A62BE7" w:rsidP="007A5E4F">
      <w:pPr>
        <w:pStyle w:val="FootnoteText"/>
        <w:jc w:val="both"/>
      </w:pPr>
      <w:r>
        <w:rPr>
          <w:rStyle w:val="FootnoteReference"/>
        </w:rPr>
        <w:footnoteRef/>
      </w:r>
      <w:r>
        <w:t xml:space="preserve"> See for example section </w:t>
      </w:r>
      <w:r w:rsidRPr="00AA3572">
        <w:t>FE 18(3B</w:t>
      </w:r>
      <w:proofErr w:type="gramStart"/>
      <w:r w:rsidRPr="00AA3572">
        <w:t>)(</w:t>
      </w:r>
      <w:proofErr w:type="gramEnd"/>
      <w:r w:rsidRPr="00AA3572">
        <w:t>b)</w:t>
      </w:r>
      <w:r>
        <w:t xml:space="preserve"> of the Income Tax Act 2007 in relation to thin capitalisation, and article 11(4)(b) of the New Zealand/Australia DTA.</w:t>
      </w:r>
    </w:p>
  </w:footnote>
  <w:footnote w:id="11">
    <w:p w:rsidR="00A62BE7" w:rsidRDefault="00A62BE7" w:rsidP="007A5E4F">
      <w:pPr>
        <w:pStyle w:val="FootnoteText"/>
        <w:jc w:val="both"/>
      </w:pPr>
      <w:r>
        <w:rPr>
          <w:rStyle w:val="FootnoteReference"/>
        </w:rPr>
        <w:footnoteRef/>
      </w:r>
      <w:r>
        <w:t xml:space="preserve"> </w:t>
      </w:r>
      <w:proofErr w:type="gramStart"/>
      <w:r>
        <w:t>Enacted by the Taxation (Annual Rates, Employee Allowances, and Remedial Matters) Act 2014.</w:t>
      </w:r>
      <w:proofErr w:type="gramEnd"/>
    </w:p>
  </w:footnote>
  <w:footnote w:id="12">
    <w:p w:rsidR="00A62BE7" w:rsidRDefault="00A62BE7" w:rsidP="007A5E4F">
      <w:pPr>
        <w:pStyle w:val="FootnoteText"/>
        <w:jc w:val="both"/>
      </w:pPr>
      <w:r>
        <w:rPr>
          <w:rStyle w:val="FootnoteReference"/>
        </w:rPr>
        <w:footnoteRef/>
      </w:r>
      <w:r>
        <w:t xml:space="preserve"> Excluding interest paid to the New Zealand branch, which is not subject to any change.</w:t>
      </w:r>
    </w:p>
  </w:footnote>
  <w:footnote w:id="13">
    <w:p w:rsidR="00A62BE7" w:rsidRDefault="00A62BE7" w:rsidP="007A5E4F">
      <w:pPr>
        <w:pStyle w:val="FootnoteText"/>
        <w:jc w:val="both"/>
      </w:pPr>
      <w:r>
        <w:rPr>
          <w:rStyle w:val="FootnoteReference"/>
        </w:rPr>
        <w:footnoteRef/>
      </w:r>
      <w:r>
        <w:t xml:space="preserve"> </w:t>
      </w:r>
      <w:proofErr w:type="gramStart"/>
      <w:r>
        <w:t>Due to not having a New Zealand source or not being NRPI respectively.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F42"/>
    <w:multiLevelType w:val="hybridMultilevel"/>
    <w:tmpl w:val="C52E19B8"/>
    <w:lvl w:ilvl="0" w:tplc="BB400A56">
      <w:start w:val="1"/>
      <w:numFmt w:val="lowerRoman"/>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
    <w:nsid w:val="04A3197A"/>
    <w:multiLevelType w:val="hybridMultilevel"/>
    <w:tmpl w:val="85EE71AC"/>
    <w:lvl w:ilvl="0" w:tplc="A23E93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703EBA"/>
    <w:multiLevelType w:val="hybridMultilevel"/>
    <w:tmpl w:val="454E35FC"/>
    <w:lvl w:ilvl="0" w:tplc="BB400A56">
      <w:start w:val="1"/>
      <w:numFmt w:val="lowerRoman"/>
      <w:lvlText w:val="(%1)"/>
      <w:lvlJc w:val="left"/>
      <w:pPr>
        <w:ind w:left="1211" w:hanging="360"/>
      </w:pPr>
      <w:rPr>
        <w:rFont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
    <w:nsid w:val="07B6134C"/>
    <w:multiLevelType w:val="singleLevel"/>
    <w:tmpl w:val="74822E68"/>
    <w:lvl w:ilvl="0">
      <w:start w:val="1"/>
      <w:numFmt w:val="decimal"/>
      <w:pStyle w:val="Chapter5"/>
      <w:lvlText w:val="5.%1"/>
      <w:lvlJc w:val="left"/>
      <w:pPr>
        <w:ind w:left="360" w:hanging="360"/>
      </w:pPr>
      <w:rPr>
        <w:rFonts w:hint="default"/>
        <w:b w:val="0"/>
        <w:i w:val="0"/>
      </w:rPr>
    </w:lvl>
  </w:abstractNum>
  <w:abstractNum w:abstractNumId="4">
    <w:nsid w:val="146937DA"/>
    <w:multiLevelType w:val="hybridMultilevel"/>
    <w:tmpl w:val="B9D0E75E"/>
    <w:lvl w:ilvl="0" w:tplc="A53C5B80">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7">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F2F0984"/>
    <w:multiLevelType w:val="multilevel"/>
    <w:tmpl w:val="77AC8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F25FA3"/>
    <w:multiLevelType w:val="hybridMultilevel"/>
    <w:tmpl w:val="E1F054CE"/>
    <w:lvl w:ilvl="0" w:tplc="BB400A56">
      <w:start w:val="1"/>
      <w:numFmt w:val="lowerRoman"/>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
    <w:nsid w:val="294D2F85"/>
    <w:multiLevelType w:val="hybridMultilevel"/>
    <w:tmpl w:val="8FE0235A"/>
    <w:lvl w:ilvl="0" w:tplc="AFC6F3CC">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3CE18C0"/>
    <w:multiLevelType w:val="hybridMultilevel"/>
    <w:tmpl w:val="44FAB320"/>
    <w:lvl w:ilvl="0" w:tplc="BB400A56">
      <w:start w:val="1"/>
      <w:numFmt w:val="lowerRoman"/>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3">
    <w:nsid w:val="360938EC"/>
    <w:multiLevelType w:val="hybridMultilevel"/>
    <w:tmpl w:val="908E2EB4"/>
    <w:lvl w:ilvl="0" w:tplc="79D8B544">
      <w:start w:val="1"/>
      <w:numFmt w:val="decimal"/>
      <w:pStyle w:val="Chapter4"/>
      <w:lvlText w:val="4.%1"/>
      <w:lvlJc w:val="left"/>
      <w:pPr>
        <w:tabs>
          <w:tab w:val="num" w:pos="1702"/>
        </w:tabs>
        <w:ind w:left="1702"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6742DBA"/>
    <w:multiLevelType w:val="hybridMultilevel"/>
    <w:tmpl w:val="00BA58F4"/>
    <w:lvl w:ilvl="0" w:tplc="BB400A56">
      <w:start w:val="1"/>
      <w:numFmt w:val="lowerRoman"/>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5">
    <w:nsid w:val="373D55C9"/>
    <w:multiLevelType w:val="hybridMultilevel"/>
    <w:tmpl w:val="6DD87ECC"/>
    <w:lvl w:ilvl="0" w:tplc="BB400A56">
      <w:start w:val="1"/>
      <w:numFmt w:val="lowerRoman"/>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6">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517113"/>
    <w:multiLevelType w:val="hybridMultilevel"/>
    <w:tmpl w:val="855820C8"/>
    <w:lvl w:ilvl="0" w:tplc="BB400A56">
      <w:start w:val="1"/>
      <w:numFmt w:val="lowerRoman"/>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8">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9">
    <w:nsid w:val="4AF862B1"/>
    <w:multiLevelType w:val="hybridMultilevel"/>
    <w:tmpl w:val="B3F2FCAA"/>
    <w:lvl w:ilvl="0" w:tplc="4A8EB97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14F7994"/>
    <w:multiLevelType w:val="hybridMultilevel"/>
    <w:tmpl w:val="906CF59A"/>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53260E7A"/>
    <w:multiLevelType w:val="hybridMultilevel"/>
    <w:tmpl w:val="45F2CAEA"/>
    <w:lvl w:ilvl="0" w:tplc="BB400A56">
      <w:start w:val="1"/>
      <w:numFmt w:val="lowerRoman"/>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2">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59E7338C"/>
    <w:multiLevelType w:val="hybridMultilevel"/>
    <w:tmpl w:val="6DD87ECC"/>
    <w:lvl w:ilvl="0" w:tplc="BB400A56">
      <w:start w:val="1"/>
      <w:numFmt w:val="lowerRoman"/>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4">
    <w:nsid w:val="5CCD6459"/>
    <w:multiLevelType w:val="hybridMultilevel"/>
    <w:tmpl w:val="43C42612"/>
    <w:lvl w:ilvl="0" w:tplc="5D8AE96A">
      <w:start w:val="2"/>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5">
    <w:nsid w:val="5FFA3E3B"/>
    <w:multiLevelType w:val="hybridMultilevel"/>
    <w:tmpl w:val="12F46994"/>
    <w:lvl w:ilvl="0" w:tplc="F1BC7C88">
      <w:start w:val="1"/>
      <w:numFmt w:val="decimal"/>
      <w:lvlText w:val="5.%1."/>
      <w:lvlJc w:val="left"/>
      <w:pPr>
        <w:ind w:left="720" w:hanging="360"/>
      </w:pPr>
      <w:rPr>
        <w:rFonts w:hint="default"/>
      </w:rPr>
    </w:lvl>
    <w:lvl w:ilvl="1" w:tplc="BB400A56">
      <w:start w:val="1"/>
      <w:numFmt w:val="lowerRoman"/>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02C34EE"/>
    <w:multiLevelType w:val="hybridMultilevel"/>
    <w:tmpl w:val="8AE87DEC"/>
    <w:lvl w:ilvl="0" w:tplc="0809000F">
      <w:start w:val="1"/>
      <w:numFmt w:val="decimal"/>
      <w:pStyle w:val="Chapter7Char"/>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33E0A4C"/>
    <w:multiLevelType w:val="hybridMultilevel"/>
    <w:tmpl w:val="9E360D7A"/>
    <w:lvl w:ilvl="0" w:tplc="44C80A32">
      <w:start w:val="1"/>
      <w:numFmt w:val="lowerRoman"/>
      <w:lvlText w:val="(%1)"/>
      <w:lvlJc w:val="left"/>
      <w:pPr>
        <w:ind w:left="2291" w:hanging="720"/>
      </w:pPr>
      <w:rPr>
        <w:rFonts w:hint="default"/>
      </w:rPr>
    </w:lvl>
    <w:lvl w:ilvl="1" w:tplc="14090019" w:tentative="1">
      <w:start w:val="1"/>
      <w:numFmt w:val="lowerLetter"/>
      <w:lvlText w:val="%2."/>
      <w:lvlJc w:val="left"/>
      <w:pPr>
        <w:ind w:left="2651" w:hanging="360"/>
      </w:pPr>
    </w:lvl>
    <w:lvl w:ilvl="2" w:tplc="1409001B" w:tentative="1">
      <w:start w:val="1"/>
      <w:numFmt w:val="lowerRoman"/>
      <w:lvlText w:val="%3."/>
      <w:lvlJc w:val="right"/>
      <w:pPr>
        <w:ind w:left="3371" w:hanging="180"/>
      </w:pPr>
    </w:lvl>
    <w:lvl w:ilvl="3" w:tplc="1409000F" w:tentative="1">
      <w:start w:val="1"/>
      <w:numFmt w:val="decimal"/>
      <w:lvlText w:val="%4."/>
      <w:lvlJc w:val="left"/>
      <w:pPr>
        <w:ind w:left="4091" w:hanging="360"/>
      </w:pPr>
    </w:lvl>
    <w:lvl w:ilvl="4" w:tplc="14090019" w:tentative="1">
      <w:start w:val="1"/>
      <w:numFmt w:val="lowerLetter"/>
      <w:lvlText w:val="%5."/>
      <w:lvlJc w:val="left"/>
      <w:pPr>
        <w:ind w:left="4811" w:hanging="360"/>
      </w:pPr>
    </w:lvl>
    <w:lvl w:ilvl="5" w:tplc="1409001B" w:tentative="1">
      <w:start w:val="1"/>
      <w:numFmt w:val="lowerRoman"/>
      <w:lvlText w:val="%6."/>
      <w:lvlJc w:val="right"/>
      <w:pPr>
        <w:ind w:left="5531" w:hanging="180"/>
      </w:pPr>
    </w:lvl>
    <w:lvl w:ilvl="6" w:tplc="1409000F" w:tentative="1">
      <w:start w:val="1"/>
      <w:numFmt w:val="decimal"/>
      <w:lvlText w:val="%7."/>
      <w:lvlJc w:val="left"/>
      <w:pPr>
        <w:ind w:left="6251" w:hanging="360"/>
      </w:pPr>
    </w:lvl>
    <w:lvl w:ilvl="7" w:tplc="14090019" w:tentative="1">
      <w:start w:val="1"/>
      <w:numFmt w:val="lowerLetter"/>
      <w:lvlText w:val="%8."/>
      <w:lvlJc w:val="left"/>
      <w:pPr>
        <w:ind w:left="6971" w:hanging="360"/>
      </w:pPr>
    </w:lvl>
    <w:lvl w:ilvl="8" w:tplc="1409001B" w:tentative="1">
      <w:start w:val="1"/>
      <w:numFmt w:val="lowerRoman"/>
      <w:lvlText w:val="%9."/>
      <w:lvlJc w:val="right"/>
      <w:pPr>
        <w:ind w:left="7691" w:hanging="180"/>
      </w:pPr>
    </w:lvl>
  </w:abstractNum>
  <w:abstractNum w:abstractNumId="28">
    <w:nsid w:val="640C6943"/>
    <w:multiLevelType w:val="singleLevel"/>
    <w:tmpl w:val="C0D403FA"/>
    <w:lvl w:ilvl="0">
      <w:start w:val="1"/>
      <w:numFmt w:val="decimal"/>
      <w:pStyle w:val="Chapter3"/>
      <w:lvlText w:val="3.%1"/>
      <w:lvlJc w:val="left"/>
      <w:pPr>
        <w:tabs>
          <w:tab w:val="num" w:pos="1702"/>
        </w:tabs>
        <w:ind w:left="1702" w:hanging="851"/>
      </w:pPr>
      <w:rPr>
        <w:rFonts w:hint="default"/>
      </w:rPr>
    </w:lvl>
  </w:abstractNum>
  <w:abstractNum w:abstractNumId="29">
    <w:nsid w:val="64C1796D"/>
    <w:multiLevelType w:val="hybridMultilevel"/>
    <w:tmpl w:val="DB829DCE"/>
    <w:lvl w:ilvl="0" w:tplc="08090005">
      <w:start w:val="1"/>
      <w:numFmt w:val="decimal"/>
      <w:pStyle w:val="Chapter8Char"/>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6DF45E3"/>
    <w:multiLevelType w:val="hybridMultilevel"/>
    <w:tmpl w:val="C1743B6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2">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5603F91"/>
    <w:multiLevelType w:val="hybridMultilevel"/>
    <w:tmpl w:val="D3FC1D64"/>
    <w:lvl w:ilvl="0" w:tplc="BB400A56">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7"/>
  </w:num>
  <w:num w:numId="2">
    <w:abstractNumId w:val="18"/>
  </w:num>
  <w:num w:numId="3">
    <w:abstractNumId w:val="20"/>
  </w:num>
  <w:num w:numId="4">
    <w:abstractNumId w:val="22"/>
  </w:num>
  <w:num w:numId="5">
    <w:abstractNumId w:val="32"/>
  </w:num>
  <w:num w:numId="6">
    <w:abstractNumId w:val="6"/>
  </w:num>
  <w:num w:numId="7">
    <w:abstractNumId w:val="28"/>
  </w:num>
  <w:num w:numId="8">
    <w:abstractNumId w:val="13"/>
  </w:num>
  <w:num w:numId="9">
    <w:abstractNumId w:val="3"/>
  </w:num>
  <w:num w:numId="10">
    <w:abstractNumId w:val="5"/>
  </w:num>
  <w:num w:numId="11">
    <w:abstractNumId w:val="11"/>
  </w:num>
  <w:num w:numId="12">
    <w:abstractNumId w:val="26"/>
  </w:num>
  <w:num w:numId="13">
    <w:abstractNumId w:val="33"/>
  </w:num>
  <w:num w:numId="14">
    <w:abstractNumId w:val="29"/>
  </w:num>
  <w:num w:numId="15">
    <w:abstractNumId w:val="30"/>
  </w:num>
  <w:num w:numId="16">
    <w:abstractNumId w:val="16"/>
  </w:num>
  <w:num w:numId="17">
    <w:abstractNumId w:val="15"/>
  </w:num>
  <w:num w:numId="18">
    <w:abstractNumId w:val="21"/>
  </w:num>
  <w:num w:numId="19">
    <w:abstractNumId w:val="34"/>
  </w:num>
  <w:num w:numId="20">
    <w:abstractNumId w:val="2"/>
  </w:num>
  <w:num w:numId="21">
    <w:abstractNumId w:val="0"/>
  </w:num>
  <w:num w:numId="22">
    <w:abstractNumId w:val="17"/>
  </w:num>
  <w:num w:numId="23">
    <w:abstractNumId w:val="14"/>
  </w:num>
  <w:num w:numId="24">
    <w:abstractNumId w:val="23"/>
  </w:num>
  <w:num w:numId="25">
    <w:abstractNumId w:val="9"/>
  </w:num>
  <w:num w:numId="26">
    <w:abstractNumId w:val="25"/>
  </w:num>
  <w:num w:numId="27">
    <w:abstractNumId w:val="10"/>
  </w:num>
  <w:num w:numId="28">
    <w:abstractNumId w:val="4"/>
  </w:num>
  <w:num w:numId="29">
    <w:abstractNumId w:val="31"/>
  </w:num>
  <w:num w:numId="30">
    <w:abstractNumId w:val="27"/>
  </w:num>
  <w:num w:numId="31">
    <w:abstractNumId w:val="12"/>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9"/>
  </w:num>
  <w:num w:numId="40">
    <w:abstractNumId w:val="24"/>
  </w:num>
  <w:num w:numId="41">
    <w:abstractNumId w:val="3"/>
  </w:num>
  <w:num w:numId="42">
    <w:abstractNumId w:val="20"/>
  </w:num>
  <w:num w:numId="43">
    <w:abstractNumId w:val="28"/>
  </w:num>
  <w:num w:numId="44">
    <w:abstractNumId w:val="20"/>
  </w:num>
  <w:num w:numId="45">
    <w:abstractNumId w:val="20"/>
  </w:num>
  <w:num w:numId="46">
    <w:abstractNumId w:val="20"/>
  </w:num>
  <w:num w:numId="47">
    <w:abstractNumId w:val="28"/>
  </w:num>
  <w:num w:numId="4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BC"/>
    <w:rsid w:val="00002022"/>
    <w:rsid w:val="000022EC"/>
    <w:rsid w:val="0000377B"/>
    <w:rsid w:val="00003908"/>
    <w:rsid w:val="00006422"/>
    <w:rsid w:val="00006BA2"/>
    <w:rsid w:val="00007351"/>
    <w:rsid w:val="0001122B"/>
    <w:rsid w:val="0001128D"/>
    <w:rsid w:val="00011A27"/>
    <w:rsid w:val="00012289"/>
    <w:rsid w:val="00012B64"/>
    <w:rsid w:val="00014230"/>
    <w:rsid w:val="0001473F"/>
    <w:rsid w:val="00015410"/>
    <w:rsid w:val="00015F50"/>
    <w:rsid w:val="0001695D"/>
    <w:rsid w:val="000171CE"/>
    <w:rsid w:val="00020A08"/>
    <w:rsid w:val="00022AB4"/>
    <w:rsid w:val="0002323A"/>
    <w:rsid w:val="0002340B"/>
    <w:rsid w:val="00023739"/>
    <w:rsid w:val="000250E7"/>
    <w:rsid w:val="000251CA"/>
    <w:rsid w:val="000255B8"/>
    <w:rsid w:val="00027B73"/>
    <w:rsid w:val="0003027F"/>
    <w:rsid w:val="00031162"/>
    <w:rsid w:val="0003124A"/>
    <w:rsid w:val="0003164B"/>
    <w:rsid w:val="000317D5"/>
    <w:rsid w:val="00033150"/>
    <w:rsid w:val="00033259"/>
    <w:rsid w:val="00033EA9"/>
    <w:rsid w:val="00033F9A"/>
    <w:rsid w:val="000344D8"/>
    <w:rsid w:val="00034917"/>
    <w:rsid w:val="00035F81"/>
    <w:rsid w:val="00037767"/>
    <w:rsid w:val="00037A83"/>
    <w:rsid w:val="000407DB"/>
    <w:rsid w:val="00041A29"/>
    <w:rsid w:val="00041E24"/>
    <w:rsid w:val="00041E90"/>
    <w:rsid w:val="000428BE"/>
    <w:rsid w:val="00043BEF"/>
    <w:rsid w:val="00043FE8"/>
    <w:rsid w:val="00047CC7"/>
    <w:rsid w:val="00047FF9"/>
    <w:rsid w:val="00050E51"/>
    <w:rsid w:val="00051E9F"/>
    <w:rsid w:val="000523E0"/>
    <w:rsid w:val="00052AA3"/>
    <w:rsid w:val="00053A26"/>
    <w:rsid w:val="00053BF5"/>
    <w:rsid w:val="00054600"/>
    <w:rsid w:val="0005471A"/>
    <w:rsid w:val="00055518"/>
    <w:rsid w:val="00056826"/>
    <w:rsid w:val="000570B4"/>
    <w:rsid w:val="0005761B"/>
    <w:rsid w:val="000578D5"/>
    <w:rsid w:val="000608F9"/>
    <w:rsid w:val="00064C13"/>
    <w:rsid w:val="00064CDF"/>
    <w:rsid w:val="00067198"/>
    <w:rsid w:val="00067972"/>
    <w:rsid w:val="00070A6E"/>
    <w:rsid w:val="00072271"/>
    <w:rsid w:val="000733EA"/>
    <w:rsid w:val="0007377F"/>
    <w:rsid w:val="00074205"/>
    <w:rsid w:val="0007577B"/>
    <w:rsid w:val="00080BBB"/>
    <w:rsid w:val="00081340"/>
    <w:rsid w:val="000838D0"/>
    <w:rsid w:val="00083D81"/>
    <w:rsid w:val="00084ED4"/>
    <w:rsid w:val="000856EE"/>
    <w:rsid w:val="00090841"/>
    <w:rsid w:val="00091439"/>
    <w:rsid w:val="00091461"/>
    <w:rsid w:val="00096603"/>
    <w:rsid w:val="00096828"/>
    <w:rsid w:val="000972F9"/>
    <w:rsid w:val="000A0E3B"/>
    <w:rsid w:val="000A1039"/>
    <w:rsid w:val="000A1D11"/>
    <w:rsid w:val="000A21B8"/>
    <w:rsid w:val="000A2369"/>
    <w:rsid w:val="000A4816"/>
    <w:rsid w:val="000A55B7"/>
    <w:rsid w:val="000A7407"/>
    <w:rsid w:val="000B0C18"/>
    <w:rsid w:val="000B156C"/>
    <w:rsid w:val="000B1701"/>
    <w:rsid w:val="000B1934"/>
    <w:rsid w:val="000B1DE7"/>
    <w:rsid w:val="000B38A9"/>
    <w:rsid w:val="000B4164"/>
    <w:rsid w:val="000B5747"/>
    <w:rsid w:val="000C009E"/>
    <w:rsid w:val="000C0168"/>
    <w:rsid w:val="000C0315"/>
    <w:rsid w:val="000C2608"/>
    <w:rsid w:val="000C3FFB"/>
    <w:rsid w:val="000C5DF3"/>
    <w:rsid w:val="000C5EB7"/>
    <w:rsid w:val="000C601F"/>
    <w:rsid w:val="000C73AB"/>
    <w:rsid w:val="000C78C9"/>
    <w:rsid w:val="000D0F7B"/>
    <w:rsid w:val="000D154C"/>
    <w:rsid w:val="000D431B"/>
    <w:rsid w:val="000D477E"/>
    <w:rsid w:val="000D5566"/>
    <w:rsid w:val="000D5AFC"/>
    <w:rsid w:val="000D6A49"/>
    <w:rsid w:val="000D6B4F"/>
    <w:rsid w:val="000D7EE3"/>
    <w:rsid w:val="000E1182"/>
    <w:rsid w:val="000E1473"/>
    <w:rsid w:val="000E3639"/>
    <w:rsid w:val="000E3A50"/>
    <w:rsid w:val="000E3D2B"/>
    <w:rsid w:val="000E5145"/>
    <w:rsid w:val="000E5794"/>
    <w:rsid w:val="000E5DBC"/>
    <w:rsid w:val="000E6E28"/>
    <w:rsid w:val="000E764D"/>
    <w:rsid w:val="000E7BF7"/>
    <w:rsid w:val="000E7C3D"/>
    <w:rsid w:val="000E7C71"/>
    <w:rsid w:val="000E7EAB"/>
    <w:rsid w:val="000F4BC1"/>
    <w:rsid w:val="000F6CFA"/>
    <w:rsid w:val="000F7153"/>
    <w:rsid w:val="00100901"/>
    <w:rsid w:val="00101350"/>
    <w:rsid w:val="0010503C"/>
    <w:rsid w:val="001073AC"/>
    <w:rsid w:val="001078F8"/>
    <w:rsid w:val="00110264"/>
    <w:rsid w:val="001108DF"/>
    <w:rsid w:val="001142E4"/>
    <w:rsid w:val="001166A1"/>
    <w:rsid w:val="00117C16"/>
    <w:rsid w:val="001201B6"/>
    <w:rsid w:val="00120C68"/>
    <w:rsid w:val="00121752"/>
    <w:rsid w:val="0012210F"/>
    <w:rsid w:val="0012550F"/>
    <w:rsid w:val="001265E6"/>
    <w:rsid w:val="00126F60"/>
    <w:rsid w:val="00131B6A"/>
    <w:rsid w:val="001324ED"/>
    <w:rsid w:val="001338D5"/>
    <w:rsid w:val="001348E3"/>
    <w:rsid w:val="00134C59"/>
    <w:rsid w:val="00135076"/>
    <w:rsid w:val="001353EA"/>
    <w:rsid w:val="001359F0"/>
    <w:rsid w:val="00136CB8"/>
    <w:rsid w:val="00137693"/>
    <w:rsid w:val="00140748"/>
    <w:rsid w:val="00142282"/>
    <w:rsid w:val="001425E7"/>
    <w:rsid w:val="00143CAA"/>
    <w:rsid w:val="001455DB"/>
    <w:rsid w:val="00145614"/>
    <w:rsid w:val="0014563C"/>
    <w:rsid w:val="0015001E"/>
    <w:rsid w:val="00150A63"/>
    <w:rsid w:val="00151148"/>
    <w:rsid w:val="0015147E"/>
    <w:rsid w:val="001526C7"/>
    <w:rsid w:val="001533FE"/>
    <w:rsid w:val="00153A90"/>
    <w:rsid w:val="00154F2D"/>
    <w:rsid w:val="0015532D"/>
    <w:rsid w:val="00157C9A"/>
    <w:rsid w:val="00160076"/>
    <w:rsid w:val="00160D92"/>
    <w:rsid w:val="00162125"/>
    <w:rsid w:val="00162A07"/>
    <w:rsid w:val="0016327A"/>
    <w:rsid w:val="0016427D"/>
    <w:rsid w:val="00166D50"/>
    <w:rsid w:val="00166FD2"/>
    <w:rsid w:val="001702CB"/>
    <w:rsid w:val="001713B3"/>
    <w:rsid w:val="001722B8"/>
    <w:rsid w:val="001731C8"/>
    <w:rsid w:val="00174FF5"/>
    <w:rsid w:val="00175B6D"/>
    <w:rsid w:val="00176B2E"/>
    <w:rsid w:val="00176CEC"/>
    <w:rsid w:val="00176E74"/>
    <w:rsid w:val="00176F1C"/>
    <w:rsid w:val="00177C80"/>
    <w:rsid w:val="00180ED9"/>
    <w:rsid w:val="00181514"/>
    <w:rsid w:val="001820A1"/>
    <w:rsid w:val="00182551"/>
    <w:rsid w:val="001836E5"/>
    <w:rsid w:val="00183F66"/>
    <w:rsid w:val="00184504"/>
    <w:rsid w:val="001849F9"/>
    <w:rsid w:val="00194093"/>
    <w:rsid w:val="00195923"/>
    <w:rsid w:val="00196612"/>
    <w:rsid w:val="00197444"/>
    <w:rsid w:val="001A108A"/>
    <w:rsid w:val="001A1499"/>
    <w:rsid w:val="001A2A81"/>
    <w:rsid w:val="001A2BCA"/>
    <w:rsid w:val="001A3053"/>
    <w:rsid w:val="001A318D"/>
    <w:rsid w:val="001A385F"/>
    <w:rsid w:val="001A38BA"/>
    <w:rsid w:val="001A3D93"/>
    <w:rsid w:val="001A6956"/>
    <w:rsid w:val="001A6A36"/>
    <w:rsid w:val="001A721B"/>
    <w:rsid w:val="001A73F2"/>
    <w:rsid w:val="001B5A1D"/>
    <w:rsid w:val="001C1DDF"/>
    <w:rsid w:val="001C227E"/>
    <w:rsid w:val="001C23A1"/>
    <w:rsid w:val="001C38AE"/>
    <w:rsid w:val="001C411D"/>
    <w:rsid w:val="001C6F6F"/>
    <w:rsid w:val="001C74B8"/>
    <w:rsid w:val="001D02C2"/>
    <w:rsid w:val="001D0512"/>
    <w:rsid w:val="001D2C9E"/>
    <w:rsid w:val="001D3C61"/>
    <w:rsid w:val="001D47CB"/>
    <w:rsid w:val="001D497B"/>
    <w:rsid w:val="001D4B71"/>
    <w:rsid w:val="001D5A37"/>
    <w:rsid w:val="001D72DE"/>
    <w:rsid w:val="001D768A"/>
    <w:rsid w:val="001D799C"/>
    <w:rsid w:val="001E193C"/>
    <w:rsid w:val="001E1CE3"/>
    <w:rsid w:val="001E3029"/>
    <w:rsid w:val="001E532B"/>
    <w:rsid w:val="001E7D14"/>
    <w:rsid w:val="001F0321"/>
    <w:rsid w:val="001F1432"/>
    <w:rsid w:val="001F1B9D"/>
    <w:rsid w:val="001F35C8"/>
    <w:rsid w:val="001F3F51"/>
    <w:rsid w:val="001F4F73"/>
    <w:rsid w:val="001F5988"/>
    <w:rsid w:val="001F6CB4"/>
    <w:rsid w:val="001F728C"/>
    <w:rsid w:val="001F75E6"/>
    <w:rsid w:val="001F7F76"/>
    <w:rsid w:val="00200688"/>
    <w:rsid w:val="00200C96"/>
    <w:rsid w:val="00200EE6"/>
    <w:rsid w:val="002025E9"/>
    <w:rsid w:val="002033D4"/>
    <w:rsid w:val="002040FD"/>
    <w:rsid w:val="0020475B"/>
    <w:rsid w:val="00205799"/>
    <w:rsid w:val="0020641A"/>
    <w:rsid w:val="002129E5"/>
    <w:rsid w:val="002137D1"/>
    <w:rsid w:val="0021414A"/>
    <w:rsid w:val="002152CE"/>
    <w:rsid w:val="0021548E"/>
    <w:rsid w:val="00216D5E"/>
    <w:rsid w:val="00217C12"/>
    <w:rsid w:val="00222E90"/>
    <w:rsid w:val="0022363B"/>
    <w:rsid w:val="0022762E"/>
    <w:rsid w:val="00227E43"/>
    <w:rsid w:val="00231C75"/>
    <w:rsid w:val="002325A4"/>
    <w:rsid w:val="00232C5B"/>
    <w:rsid w:val="0023315E"/>
    <w:rsid w:val="00233203"/>
    <w:rsid w:val="002334CC"/>
    <w:rsid w:val="0023401E"/>
    <w:rsid w:val="002343E9"/>
    <w:rsid w:val="00234F23"/>
    <w:rsid w:val="002357D6"/>
    <w:rsid w:val="0023589C"/>
    <w:rsid w:val="002361A0"/>
    <w:rsid w:val="00236378"/>
    <w:rsid w:val="0023748D"/>
    <w:rsid w:val="00237EF2"/>
    <w:rsid w:val="00240DCC"/>
    <w:rsid w:val="0024175F"/>
    <w:rsid w:val="00243449"/>
    <w:rsid w:val="002436DF"/>
    <w:rsid w:val="002440A3"/>
    <w:rsid w:val="00244391"/>
    <w:rsid w:val="00245DF8"/>
    <w:rsid w:val="002463E4"/>
    <w:rsid w:val="0025084A"/>
    <w:rsid w:val="002516B4"/>
    <w:rsid w:val="00253969"/>
    <w:rsid w:val="00254177"/>
    <w:rsid w:val="002541A6"/>
    <w:rsid w:val="00254560"/>
    <w:rsid w:val="0026027E"/>
    <w:rsid w:val="00260B59"/>
    <w:rsid w:val="00260ED8"/>
    <w:rsid w:val="00260FAE"/>
    <w:rsid w:val="00262E5D"/>
    <w:rsid w:val="00263E47"/>
    <w:rsid w:val="002679FC"/>
    <w:rsid w:val="00267C0F"/>
    <w:rsid w:val="0027067F"/>
    <w:rsid w:val="00271089"/>
    <w:rsid w:val="002713C9"/>
    <w:rsid w:val="002725A7"/>
    <w:rsid w:val="002731F2"/>
    <w:rsid w:val="00273349"/>
    <w:rsid w:val="00274B2C"/>
    <w:rsid w:val="002759F4"/>
    <w:rsid w:val="002767BC"/>
    <w:rsid w:val="00277C44"/>
    <w:rsid w:val="00283A2A"/>
    <w:rsid w:val="0028422D"/>
    <w:rsid w:val="00286748"/>
    <w:rsid w:val="00290180"/>
    <w:rsid w:val="00291A59"/>
    <w:rsid w:val="00292734"/>
    <w:rsid w:val="0029316E"/>
    <w:rsid w:val="002960FD"/>
    <w:rsid w:val="00296971"/>
    <w:rsid w:val="00296FC3"/>
    <w:rsid w:val="002A1409"/>
    <w:rsid w:val="002A1595"/>
    <w:rsid w:val="002A2045"/>
    <w:rsid w:val="002A2064"/>
    <w:rsid w:val="002A2214"/>
    <w:rsid w:val="002A2947"/>
    <w:rsid w:val="002A3114"/>
    <w:rsid w:val="002A3B95"/>
    <w:rsid w:val="002A42EF"/>
    <w:rsid w:val="002A4860"/>
    <w:rsid w:val="002A6420"/>
    <w:rsid w:val="002A6B59"/>
    <w:rsid w:val="002A729A"/>
    <w:rsid w:val="002A7B5E"/>
    <w:rsid w:val="002A7F65"/>
    <w:rsid w:val="002B1614"/>
    <w:rsid w:val="002B19D6"/>
    <w:rsid w:val="002B1AAF"/>
    <w:rsid w:val="002B213A"/>
    <w:rsid w:val="002B2263"/>
    <w:rsid w:val="002B295A"/>
    <w:rsid w:val="002B2FA0"/>
    <w:rsid w:val="002B3770"/>
    <w:rsid w:val="002B46A5"/>
    <w:rsid w:val="002B7250"/>
    <w:rsid w:val="002B791E"/>
    <w:rsid w:val="002C1491"/>
    <w:rsid w:val="002C3D65"/>
    <w:rsid w:val="002C4868"/>
    <w:rsid w:val="002C4870"/>
    <w:rsid w:val="002C5860"/>
    <w:rsid w:val="002C5E5F"/>
    <w:rsid w:val="002C723A"/>
    <w:rsid w:val="002C7AD2"/>
    <w:rsid w:val="002C7CAB"/>
    <w:rsid w:val="002D060E"/>
    <w:rsid w:val="002D08DF"/>
    <w:rsid w:val="002D0B41"/>
    <w:rsid w:val="002D18D3"/>
    <w:rsid w:val="002D2A27"/>
    <w:rsid w:val="002D3893"/>
    <w:rsid w:val="002D4986"/>
    <w:rsid w:val="002D5A3C"/>
    <w:rsid w:val="002D5BE0"/>
    <w:rsid w:val="002D78AA"/>
    <w:rsid w:val="002D7CEB"/>
    <w:rsid w:val="002E05EC"/>
    <w:rsid w:val="002E093E"/>
    <w:rsid w:val="002E102D"/>
    <w:rsid w:val="002E227E"/>
    <w:rsid w:val="002E3A75"/>
    <w:rsid w:val="002F05D3"/>
    <w:rsid w:val="002F082A"/>
    <w:rsid w:val="002F102C"/>
    <w:rsid w:val="002F2C39"/>
    <w:rsid w:val="002F46B3"/>
    <w:rsid w:val="002F5A43"/>
    <w:rsid w:val="0030008A"/>
    <w:rsid w:val="0030295B"/>
    <w:rsid w:val="003048A8"/>
    <w:rsid w:val="0030508B"/>
    <w:rsid w:val="0030535A"/>
    <w:rsid w:val="0030684E"/>
    <w:rsid w:val="00311DBB"/>
    <w:rsid w:val="003120D8"/>
    <w:rsid w:val="00312170"/>
    <w:rsid w:val="003138F9"/>
    <w:rsid w:val="00313D42"/>
    <w:rsid w:val="00316032"/>
    <w:rsid w:val="00317CA5"/>
    <w:rsid w:val="00320319"/>
    <w:rsid w:val="0032154C"/>
    <w:rsid w:val="003241FE"/>
    <w:rsid w:val="0032499B"/>
    <w:rsid w:val="00325904"/>
    <w:rsid w:val="003265FB"/>
    <w:rsid w:val="00326661"/>
    <w:rsid w:val="00326A82"/>
    <w:rsid w:val="00331093"/>
    <w:rsid w:val="0033227F"/>
    <w:rsid w:val="00333E3D"/>
    <w:rsid w:val="00333F40"/>
    <w:rsid w:val="003356AC"/>
    <w:rsid w:val="00335DAE"/>
    <w:rsid w:val="00336965"/>
    <w:rsid w:val="003413ED"/>
    <w:rsid w:val="00341557"/>
    <w:rsid w:val="0034165E"/>
    <w:rsid w:val="00343FC6"/>
    <w:rsid w:val="0034637A"/>
    <w:rsid w:val="0034639D"/>
    <w:rsid w:val="003473DB"/>
    <w:rsid w:val="003518FE"/>
    <w:rsid w:val="003532E1"/>
    <w:rsid w:val="00354453"/>
    <w:rsid w:val="00355003"/>
    <w:rsid w:val="003563D9"/>
    <w:rsid w:val="0036156A"/>
    <w:rsid w:val="00362461"/>
    <w:rsid w:val="00365AFC"/>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2D62"/>
    <w:rsid w:val="00384C7E"/>
    <w:rsid w:val="0038645D"/>
    <w:rsid w:val="00387D1E"/>
    <w:rsid w:val="003905DC"/>
    <w:rsid w:val="00390F8D"/>
    <w:rsid w:val="00391A22"/>
    <w:rsid w:val="00391B92"/>
    <w:rsid w:val="00392924"/>
    <w:rsid w:val="003944D6"/>
    <w:rsid w:val="00394CF8"/>
    <w:rsid w:val="00395475"/>
    <w:rsid w:val="00395B3F"/>
    <w:rsid w:val="003962BF"/>
    <w:rsid w:val="00396824"/>
    <w:rsid w:val="00397856"/>
    <w:rsid w:val="003A0ADC"/>
    <w:rsid w:val="003A10EE"/>
    <w:rsid w:val="003A1DC8"/>
    <w:rsid w:val="003A31FD"/>
    <w:rsid w:val="003A4D95"/>
    <w:rsid w:val="003A5393"/>
    <w:rsid w:val="003A5488"/>
    <w:rsid w:val="003A5C2F"/>
    <w:rsid w:val="003A669D"/>
    <w:rsid w:val="003B003A"/>
    <w:rsid w:val="003B2954"/>
    <w:rsid w:val="003B327D"/>
    <w:rsid w:val="003B397F"/>
    <w:rsid w:val="003B3A48"/>
    <w:rsid w:val="003B3C45"/>
    <w:rsid w:val="003B5398"/>
    <w:rsid w:val="003B6143"/>
    <w:rsid w:val="003C055A"/>
    <w:rsid w:val="003C3352"/>
    <w:rsid w:val="003C3693"/>
    <w:rsid w:val="003C37C2"/>
    <w:rsid w:val="003C4126"/>
    <w:rsid w:val="003C502F"/>
    <w:rsid w:val="003C5519"/>
    <w:rsid w:val="003C6105"/>
    <w:rsid w:val="003C6A12"/>
    <w:rsid w:val="003C75F6"/>
    <w:rsid w:val="003D0921"/>
    <w:rsid w:val="003D1452"/>
    <w:rsid w:val="003D509B"/>
    <w:rsid w:val="003D6323"/>
    <w:rsid w:val="003D684E"/>
    <w:rsid w:val="003D6EF5"/>
    <w:rsid w:val="003D73BF"/>
    <w:rsid w:val="003E0056"/>
    <w:rsid w:val="003E02BB"/>
    <w:rsid w:val="003E05CB"/>
    <w:rsid w:val="003E19CC"/>
    <w:rsid w:val="003E44F6"/>
    <w:rsid w:val="003E51E2"/>
    <w:rsid w:val="003E7906"/>
    <w:rsid w:val="003E7977"/>
    <w:rsid w:val="003E7CC6"/>
    <w:rsid w:val="003F03E7"/>
    <w:rsid w:val="003F0619"/>
    <w:rsid w:val="003F1945"/>
    <w:rsid w:val="003F5737"/>
    <w:rsid w:val="003F5739"/>
    <w:rsid w:val="003F5B04"/>
    <w:rsid w:val="003F6AB6"/>
    <w:rsid w:val="003F6E87"/>
    <w:rsid w:val="00401F0F"/>
    <w:rsid w:val="0040231F"/>
    <w:rsid w:val="00403468"/>
    <w:rsid w:val="00404CDB"/>
    <w:rsid w:val="00404E02"/>
    <w:rsid w:val="00406E0F"/>
    <w:rsid w:val="0040742C"/>
    <w:rsid w:val="00413004"/>
    <w:rsid w:val="004137E5"/>
    <w:rsid w:val="0041492E"/>
    <w:rsid w:val="00414AC0"/>
    <w:rsid w:val="00414F89"/>
    <w:rsid w:val="00415483"/>
    <w:rsid w:val="004207ED"/>
    <w:rsid w:val="0042091B"/>
    <w:rsid w:val="00421962"/>
    <w:rsid w:val="0042286D"/>
    <w:rsid w:val="004243F7"/>
    <w:rsid w:val="004258D6"/>
    <w:rsid w:val="00425D93"/>
    <w:rsid w:val="00426002"/>
    <w:rsid w:val="004306CC"/>
    <w:rsid w:val="00430BB2"/>
    <w:rsid w:val="00431555"/>
    <w:rsid w:val="00431B77"/>
    <w:rsid w:val="00431E1A"/>
    <w:rsid w:val="004326C9"/>
    <w:rsid w:val="00432F19"/>
    <w:rsid w:val="00433F3B"/>
    <w:rsid w:val="00434294"/>
    <w:rsid w:val="00434570"/>
    <w:rsid w:val="00435C8B"/>
    <w:rsid w:val="00436FCD"/>
    <w:rsid w:val="0044126B"/>
    <w:rsid w:val="0044537A"/>
    <w:rsid w:val="00445690"/>
    <w:rsid w:val="0044726A"/>
    <w:rsid w:val="00447865"/>
    <w:rsid w:val="004478AE"/>
    <w:rsid w:val="00450226"/>
    <w:rsid w:val="004510BF"/>
    <w:rsid w:val="0045221B"/>
    <w:rsid w:val="00452856"/>
    <w:rsid w:val="00453713"/>
    <w:rsid w:val="00454686"/>
    <w:rsid w:val="004553BD"/>
    <w:rsid w:val="00455B3C"/>
    <w:rsid w:val="00456DE8"/>
    <w:rsid w:val="004603E1"/>
    <w:rsid w:val="004649DC"/>
    <w:rsid w:val="00465B2D"/>
    <w:rsid w:val="004714F2"/>
    <w:rsid w:val="00472603"/>
    <w:rsid w:val="00473F30"/>
    <w:rsid w:val="00475683"/>
    <w:rsid w:val="00477B93"/>
    <w:rsid w:val="00482460"/>
    <w:rsid w:val="00482B21"/>
    <w:rsid w:val="00483BEB"/>
    <w:rsid w:val="00485CD4"/>
    <w:rsid w:val="004864A0"/>
    <w:rsid w:val="004865E4"/>
    <w:rsid w:val="004867C8"/>
    <w:rsid w:val="004926FC"/>
    <w:rsid w:val="00493A9F"/>
    <w:rsid w:val="00493ABE"/>
    <w:rsid w:val="004955E2"/>
    <w:rsid w:val="00495F1D"/>
    <w:rsid w:val="004A0BAE"/>
    <w:rsid w:val="004A11C8"/>
    <w:rsid w:val="004A1DEC"/>
    <w:rsid w:val="004A4529"/>
    <w:rsid w:val="004A6686"/>
    <w:rsid w:val="004A6E86"/>
    <w:rsid w:val="004B0926"/>
    <w:rsid w:val="004B1B92"/>
    <w:rsid w:val="004B36B0"/>
    <w:rsid w:val="004B37FB"/>
    <w:rsid w:val="004B5189"/>
    <w:rsid w:val="004B5BD6"/>
    <w:rsid w:val="004B659E"/>
    <w:rsid w:val="004B684C"/>
    <w:rsid w:val="004B6F8B"/>
    <w:rsid w:val="004C11A9"/>
    <w:rsid w:val="004C1701"/>
    <w:rsid w:val="004C2444"/>
    <w:rsid w:val="004C2DB8"/>
    <w:rsid w:val="004C4D7B"/>
    <w:rsid w:val="004C5738"/>
    <w:rsid w:val="004D12C5"/>
    <w:rsid w:val="004D2B7A"/>
    <w:rsid w:val="004D2BA5"/>
    <w:rsid w:val="004D6158"/>
    <w:rsid w:val="004D773C"/>
    <w:rsid w:val="004E10A4"/>
    <w:rsid w:val="004E2A2B"/>
    <w:rsid w:val="004E2CEB"/>
    <w:rsid w:val="004E491E"/>
    <w:rsid w:val="004E59D9"/>
    <w:rsid w:val="004E5B10"/>
    <w:rsid w:val="004E648C"/>
    <w:rsid w:val="004E72FD"/>
    <w:rsid w:val="004F0044"/>
    <w:rsid w:val="004F0CB7"/>
    <w:rsid w:val="004F2F5D"/>
    <w:rsid w:val="004F3671"/>
    <w:rsid w:val="004F4237"/>
    <w:rsid w:val="004F4278"/>
    <w:rsid w:val="004F4A47"/>
    <w:rsid w:val="004F4C58"/>
    <w:rsid w:val="004F5679"/>
    <w:rsid w:val="00501EBD"/>
    <w:rsid w:val="00502359"/>
    <w:rsid w:val="005025DD"/>
    <w:rsid w:val="00502B52"/>
    <w:rsid w:val="005052B4"/>
    <w:rsid w:val="0050561F"/>
    <w:rsid w:val="005058C9"/>
    <w:rsid w:val="00506D4E"/>
    <w:rsid w:val="0050719E"/>
    <w:rsid w:val="0050746B"/>
    <w:rsid w:val="005105C2"/>
    <w:rsid w:val="00510E29"/>
    <w:rsid w:val="00512EC7"/>
    <w:rsid w:val="00513EFC"/>
    <w:rsid w:val="00514F79"/>
    <w:rsid w:val="005167F4"/>
    <w:rsid w:val="00516ECC"/>
    <w:rsid w:val="00517261"/>
    <w:rsid w:val="005209B8"/>
    <w:rsid w:val="00520F4A"/>
    <w:rsid w:val="00521C06"/>
    <w:rsid w:val="00522192"/>
    <w:rsid w:val="00522481"/>
    <w:rsid w:val="00526ACB"/>
    <w:rsid w:val="0052746B"/>
    <w:rsid w:val="00530A3D"/>
    <w:rsid w:val="0053146F"/>
    <w:rsid w:val="00531561"/>
    <w:rsid w:val="0053156B"/>
    <w:rsid w:val="00536FCA"/>
    <w:rsid w:val="00537B48"/>
    <w:rsid w:val="0054074E"/>
    <w:rsid w:val="00540D32"/>
    <w:rsid w:val="00541082"/>
    <w:rsid w:val="00541932"/>
    <w:rsid w:val="00542C0A"/>
    <w:rsid w:val="00543138"/>
    <w:rsid w:val="0054399D"/>
    <w:rsid w:val="005453ED"/>
    <w:rsid w:val="00546695"/>
    <w:rsid w:val="00546F43"/>
    <w:rsid w:val="005471D8"/>
    <w:rsid w:val="00547515"/>
    <w:rsid w:val="00547BB4"/>
    <w:rsid w:val="00550F68"/>
    <w:rsid w:val="005512E6"/>
    <w:rsid w:val="00551C9D"/>
    <w:rsid w:val="00551EBF"/>
    <w:rsid w:val="00551FAE"/>
    <w:rsid w:val="0055286A"/>
    <w:rsid w:val="00552DD1"/>
    <w:rsid w:val="00553330"/>
    <w:rsid w:val="00553BCC"/>
    <w:rsid w:val="0055476A"/>
    <w:rsid w:val="00554E3A"/>
    <w:rsid w:val="00556A9B"/>
    <w:rsid w:val="00557701"/>
    <w:rsid w:val="00560940"/>
    <w:rsid w:val="00561238"/>
    <w:rsid w:val="005614DF"/>
    <w:rsid w:val="005615D2"/>
    <w:rsid w:val="00561AEA"/>
    <w:rsid w:val="00561BA6"/>
    <w:rsid w:val="00562990"/>
    <w:rsid w:val="00565602"/>
    <w:rsid w:val="0056690C"/>
    <w:rsid w:val="00566D17"/>
    <w:rsid w:val="00566D46"/>
    <w:rsid w:val="00567926"/>
    <w:rsid w:val="00567F65"/>
    <w:rsid w:val="00575170"/>
    <w:rsid w:val="00577313"/>
    <w:rsid w:val="00580AF0"/>
    <w:rsid w:val="00580B4E"/>
    <w:rsid w:val="00581E13"/>
    <w:rsid w:val="00582227"/>
    <w:rsid w:val="005827DA"/>
    <w:rsid w:val="00583BFC"/>
    <w:rsid w:val="00583E53"/>
    <w:rsid w:val="005845A9"/>
    <w:rsid w:val="00586ED7"/>
    <w:rsid w:val="005871DB"/>
    <w:rsid w:val="005911E8"/>
    <w:rsid w:val="005913BB"/>
    <w:rsid w:val="005920A0"/>
    <w:rsid w:val="00592591"/>
    <w:rsid w:val="00592F96"/>
    <w:rsid w:val="005937BF"/>
    <w:rsid w:val="005946ED"/>
    <w:rsid w:val="005978FC"/>
    <w:rsid w:val="005A1088"/>
    <w:rsid w:val="005A148F"/>
    <w:rsid w:val="005A1824"/>
    <w:rsid w:val="005A209F"/>
    <w:rsid w:val="005A3D08"/>
    <w:rsid w:val="005A3D33"/>
    <w:rsid w:val="005A5485"/>
    <w:rsid w:val="005A5CF8"/>
    <w:rsid w:val="005A5EFE"/>
    <w:rsid w:val="005A629E"/>
    <w:rsid w:val="005A76F3"/>
    <w:rsid w:val="005A7703"/>
    <w:rsid w:val="005B06C3"/>
    <w:rsid w:val="005B145B"/>
    <w:rsid w:val="005B1EAC"/>
    <w:rsid w:val="005B46A5"/>
    <w:rsid w:val="005C1D28"/>
    <w:rsid w:val="005C3DE8"/>
    <w:rsid w:val="005C4A83"/>
    <w:rsid w:val="005C5C46"/>
    <w:rsid w:val="005C6E37"/>
    <w:rsid w:val="005D1902"/>
    <w:rsid w:val="005D1BD6"/>
    <w:rsid w:val="005D1CBA"/>
    <w:rsid w:val="005D1E47"/>
    <w:rsid w:val="005D2143"/>
    <w:rsid w:val="005D283A"/>
    <w:rsid w:val="005D36E6"/>
    <w:rsid w:val="005D3A47"/>
    <w:rsid w:val="005D51C1"/>
    <w:rsid w:val="005D6E01"/>
    <w:rsid w:val="005E0A51"/>
    <w:rsid w:val="005E1382"/>
    <w:rsid w:val="005E168D"/>
    <w:rsid w:val="005E3C39"/>
    <w:rsid w:val="005E52FB"/>
    <w:rsid w:val="005E559F"/>
    <w:rsid w:val="005E6722"/>
    <w:rsid w:val="005E786B"/>
    <w:rsid w:val="005F20B6"/>
    <w:rsid w:val="005F29F5"/>
    <w:rsid w:val="005F305F"/>
    <w:rsid w:val="005F4770"/>
    <w:rsid w:val="005F6053"/>
    <w:rsid w:val="005F6EBC"/>
    <w:rsid w:val="005F7AD7"/>
    <w:rsid w:val="006002F3"/>
    <w:rsid w:val="0060100F"/>
    <w:rsid w:val="0060141E"/>
    <w:rsid w:val="00601892"/>
    <w:rsid w:val="00603414"/>
    <w:rsid w:val="00603449"/>
    <w:rsid w:val="006037B5"/>
    <w:rsid w:val="006041F7"/>
    <w:rsid w:val="006042D1"/>
    <w:rsid w:val="0060457E"/>
    <w:rsid w:val="0060519F"/>
    <w:rsid w:val="00606865"/>
    <w:rsid w:val="00610D98"/>
    <w:rsid w:val="00610EA0"/>
    <w:rsid w:val="006117FD"/>
    <w:rsid w:val="00612A08"/>
    <w:rsid w:val="00612A31"/>
    <w:rsid w:val="006139A8"/>
    <w:rsid w:val="006169BE"/>
    <w:rsid w:val="00617CE2"/>
    <w:rsid w:val="00617DFC"/>
    <w:rsid w:val="00617FD2"/>
    <w:rsid w:val="00620585"/>
    <w:rsid w:val="006236D2"/>
    <w:rsid w:val="00624712"/>
    <w:rsid w:val="00624899"/>
    <w:rsid w:val="006279F9"/>
    <w:rsid w:val="00627E1F"/>
    <w:rsid w:val="00631AD7"/>
    <w:rsid w:val="00632A6B"/>
    <w:rsid w:val="00632CC9"/>
    <w:rsid w:val="006350A3"/>
    <w:rsid w:val="00635E6E"/>
    <w:rsid w:val="00635EB8"/>
    <w:rsid w:val="00636058"/>
    <w:rsid w:val="00636271"/>
    <w:rsid w:val="00642559"/>
    <w:rsid w:val="00642F45"/>
    <w:rsid w:val="00647202"/>
    <w:rsid w:val="006515C5"/>
    <w:rsid w:val="0065219C"/>
    <w:rsid w:val="00652798"/>
    <w:rsid w:val="00652B22"/>
    <w:rsid w:val="00652E32"/>
    <w:rsid w:val="0065392C"/>
    <w:rsid w:val="006549EB"/>
    <w:rsid w:val="00654A37"/>
    <w:rsid w:val="00654BCA"/>
    <w:rsid w:val="00654C0C"/>
    <w:rsid w:val="00655851"/>
    <w:rsid w:val="00662E92"/>
    <w:rsid w:val="00662F03"/>
    <w:rsid w:val="00662F7B"/>
    <w:rsid w:val="006644EE"/>
    <w:rsid w:val="0066476D"/>
    <w:rsid w:val="0066498C"/>
    <w:rsid w:val="00665DEA"/>
    <w:rsid w:val="00670383"/>
    <w:rsid w:val="0067137C"/>
    <w:rsid w:val="0067215C"/>
    <w:rsid w:val="0067287E"/>
    <w:rsid w:val="00672E20"/>
    <w:rsid w:val="006735D1"/>
    <w:rsid w:val="00674581"/>
    <w:rsid w:val="00675264"/>
    <w:rsid w:val="00676286"/>
    <w:rsid w:val="00676D83"/>
    <w:rsid w:val="006772F4"/>
    <w:rsid w:val="00680270"/>
    <w:rsid w:val="00681F0D"/>
    <w:rsid w:val="00683EB1"/>
    <w:rsid w:val="00686E61"/>
    <w:rsid w:val="006875A3"/>
    <w:rsid w:val="00690DC4"/>
    <w:rsid w:val="00691544"/>
    <w:rsid w:val="006922FB"/>
    <w:rsid w:val="00692772"/>
    <w:rsid w:val="006947F8"/>
    <w:rsid w:val="006A23A6"/>
    <w:rsid w:val="006A2BE5"/>
    <w:rsid w:val="006A2C9E"/>
    <w:rsid w:val="006A37F8"/>
    <w:rsid w:val="006A49D7"/>
    <w:rsid w:val="006A5E17"/>
    <w:rsid w:val="006A6B54"/>
    <w:rsid w:val="006B0566"/>
    <w:rsid w:val="006B1316"/>
    <w:rsid w:val="006B1C54"/>
    <w:rsid w:val="006B2A85"/>
    <w:rsid w:val="006B4BD1"/>
    <w:rsid w:val="006B5427"/>
    <w:rsid w:val="006B55CA"/>
    <w:rsid w:val="006B598A"/>
    <w:rsid w:val="006B68CF"/>
    <w:rsid w:val="006C0008"/>
    <w:rsid w:val="006C2015"/>
    <w:rsid w:val="006C7E2C"/>
    <w:rsid w:val="006D1287"/>
    <w:rsid w:val="006D392A"/>
    <w:rsid w:val="006D41EB"/>
    <w:rsid w:val="006D5E8F"/>
    <w:rsid w:val="006D6102"/>
    <w:rsid w:val="006D69D1"/>
    <w:rsid w:val="006D75D7"/>
    <w:rsid w:val="006D7EF5"/>
    <w:rsid w:val="006E19D8"/>
    <w:rsid w:val="006E1C6B"/>
    <w:rsid w:val="006E1E12"/>
    <w:rsid w:val="006E2848"/>
    <w:rsid w:val="006E44FA"/>
    <w:rsid w:val="006E4BEC"/>
    <w:rsid w:val="006E50E7"/>
    <w:rsid w:val="006E6038"/>
    <w:rsid w:val="006F02AD"/>
    <w:rsid w:val="006F1D5A"/>
    <w:rsid w:val="006F3442"/>
    <w:rsid w:val="006F3E59"/>
    <w:rsid w:val="006F3EC4"/>
    <w:rsid w:val="006F4290"/>
    <w:rsid w:val="006F4D00"/>
    <w:rsid w:val="006F50C5"/>
    <w:rsid w:val="006F6514"/>
    <w:rsid w:val="006F6822"/>
    <w:rsid w:val="0070017E"/>
    <w:rsid w:val="00701E76"/>
    <w:rsid w:val="007022BF"/>
    <w:rsid w:val="0070247E"/>
    <w:rsid w:val="00702CF3"/>
    <w:rsid w:val="00704AD1"/>
    <w:rsid w:val="00704DF2"/>
    <w:rsid w:val="00704E0E"/>
    <w:rsid w:val="007055A3"/>
    <w:rsid w:val="007056D0"/>
    <w:rsid w:val="00705C45"/>
    <w:rsid w:val="0070637D"/>
    <w:rsid w:val="00710A81"/>
    <w:rsid w:val="00713702"/>
    <w:rsid w:val="00715279"/>
    <w:rsid w:val="00715536"/>
    <w:rsid w:val="0071586E"/>
    <w:rsid w:val="00715D61"/>
    <w:rsid w:val="007161D3"/>
    <w:rsid w:val="00716BBF"/>
    <w:rsid w:val="00717673"/>
    <w:rsid w:val="00720DE7"/>
    <w:rsid w:val="00721C68"/>
    <w:rsid w:val="00722A54"/>
    <w:rsid w:val="007255FE"/>
    <w:rsid w:val="0072586C"/>
    <w:rsid w:val="00725975"/>
    <w:rsid w:val="00725B0D"/>
    <w:rsid w:val="00726C4D"/>
    <w:rsid w:val="007276C0"/>
    <w:rsid w:val="00727B0E"/>
    <w:rsid w:val="0073320C"/>
    <w:rsid w:val="0073368E"/>
    <w:rsid w:val="007343A9"/>
    <w:rsid w:val="00734A27"/>
    <w:rsid w:val="007351D5"/>
    <w:rsid w:val="007357CF"/>
    <w:rsid w:val="00736162"/>
    <w:rsid w:val="007369E2"/>
    <w:rsid w:val="007411C0"/>
    <w:rsid w:val="0074147F"/>
    <w:rsid w:val="007444CE"/>
    <w:rsid w:val="007452FA"/>
    <w:rsid w:val="00745C92"/>
    <w:rsid w:val="00746725"/>
    <w:rsid w:val="00746D40"/>
    <w:rsid w:val="0074770F"/>
    <w:rsid w:val="00747BCE"/>
    <w:rsid w:val="00750168"/>
    <w:rsid w:val="007510CF"/>
    <w:rsid w:val="007526F1"/>
    <w:rsid w:val="00753E8F"/>
    <w:rsid w:val="0075609C"/>
    <w:rsid w:val="00757846"/>
    <w:rsid w:val="00757E1F"/>
    <w:rsid w:val="00760BB3"/>
    <w:rsid w:val="00761AB4"/>
    <w:rsid w:val="007620E8"/>
    <w:rsid w:val="0076265A"/>
    <w:rsid w:val="00764FC2"/>
    <w:rsid w:val="007658B3"/>
    <w:rsid w:val="007664F6"/>
    <w:rsid w:val="00766F65"/>
    <w:rsid w:val="00770C26"/>
    <w:rsid w:val="00775FAF"/>
    <w:rsid w:val="0077623E"/>
    <w:rsid w:val="00776D47"/>
    <w:rsid w:val="007809E0"/>
    <w:rsid w:val="00780E1E"/>
    <w:rsid w:val="00782A42"/>
    <w:rsid w:val="0078345B"/>
    <w:rsid w:val="00783C1E"/>
    <w:rsid w:val="00783F4D"/>
    <w:rsid w:val="007854B4"/>
    <w:rsid w:val="00786280"/>
    <w:rsid w:val="00790114"/>
    <w:rsid w:val="007902DC"/>
    <w:rsid w:val="00790DE7"/>
    <w:rsid w:val="007922D4"/>
    <w:rsid w:val="007935E2"/>
    <w:rsid w:val="007936EE"/>
    <w:rsid w:val="00794535"/>
    <w:rsid w:val="007958B8"/>
    <w:rsid w:val="00795D94"/>
    <w:rsid w:val="007961D3"/>
    <w:rsid w:val="00796B41"/>
    <w:rsid w:val="00796FC8"/>
    <w:rsid w:val="007976E4"/>
    <w:rsid w:val="007A146C"/>
    <w:rsid w:val="007A186C"/>
    <w:rsid w:val="007A204E"/>
    <w:rsid w:val="007A28A2"/>
    <w:rsid w:val="007A3CFC"/>
    <w:rsid w:val="007A4CC6"/>
    <w:rsid w:val="007A508D"/>
    <w:rsid w:val="007A59B3"/>
    <w:rsid w:val="007A5E4F"/>
    <w:rsid w:val="007B0045"/>
    <w:rsid w:val="007B06B7"/>
    <w:rsid w:val="007B3F45"/>
    <w:rsid w:val="007B3F4C"/>
    <w:rsid w:val="007B4178"/>
    <w:rsid w:val="007B454F"/>
    <w:rsid w:val="007B465F"/>
    <w:rsid w:val="007B4CBC"/>
    <w:rsid w:val="007B5A67"/>
    <w:rsid w:val="007B6B9F"/>
    <w:rsid w:val="007B6CCF"/>
    <w:rsid w:val="007C033B"/>
    <w:rsid w:val="007C0792"/>
    <w:rsid w:val="007C2049"/>
    <w:rsid w:val="007C23A7"/>
    <w:rsid w:val="007C2425"/>
    <w:rsid w:val="007C28DB"/>
    <w:rsid w:val="007C2F1B"/>
    <w:rsid w:val="007C4D31"/>
    <w:rsid w:val="007C5126"/>
    <w:rsid w:val="007D3D82"/>
    <w:rsid w:val="007E20BA"/>
    <w:rsid w:val="007E2AE3"/>
    <w:rsid w:val="007E3625"/>
    <w:rsid w:val="007E63C6"/>
    <w:rsid w:val="007F0637"/>
    <w:rsid w:val="007F1E98"/>
    <w:rsid w:val="007F360F"/>
    <w:rsid w:val="007F5EF1"/>
    <w:rsid w:val="007F68CB"/>
    <w:rsid w:val="0080092E"/>
    <w:rsid w:val="0080753E"/>
    <w:rsid w:val="00810B85"/>
    <w:rsid w:val="00811AAE"/>
    <w:rsid w:val="00812812"/>
    <w:rsid w:val="00813605"/>
    <w:rsid w:val="0081398E"/>
    <w:rsid w:val="00816367"/>
    <w:rsid w:val="008164DA"/>
    <w:rsid w:val="008177B1"/>
    <w:rsid w:val="008201B3"/>
    <w:rsid w:val="0082020C"/>
    <w:rsid w:val="0082022A"/>
    <w:rsid w:val="00820687"/>
    <w:rsid w:val="00821169"/>
    <w:rsid w:val="008272CE"/>
    <w:rsid w:val="00827B13"/>
    <w:rsid w:val="00830AC3"/>
    <w:rsid w:val="00831363"/>
    <w:rsid w:val="00831BD2"/>
    <w:rsid w:val="00832939"/>
    <w:rsid w:val="00833116"/>
    <w:rsid w:val="00833A03"/>
    <w:rsid w:val="00833BEF"/>
    <w:rsid w:val="00834092"/>
    <w:rsid w:val="00834136"/>
    <w:rsid w:val="00834C8A"/>
    <w:rsid w:val="0083616C"/>
    <w:rsid w:val="00837387"/>
    <w:rsid w:val="00837D98"/>
    <w:rsid w:val="008403D7"/>
    <w:rsid w:val="008421B3"/>
    <w:rsid w:val="008423EA"/>
    <w:rsid w:val="0084257B"/>
    <w:rsid w:val="008430E9"/>
    <w:rsid w:val="00844C10"/>
    <w:rsid w:val="008464AB"/>
    <w:rsid w:val="00846E37"/>
    <w:rsid w:val="0085013C"/>
    <w:rsid w:val="00850F10"/>
    <w:rsid w:val="00850F58"/>
    <w:rsid w:val="00851593"/>
    <w:rsid w:val="00851B2F"/>
    <w:rsid w:val="00852377"/>
    <w:rsid w:val="008525B1"/>
    <w:rsid w:val="008529E2"/>
    <w:rsid w:val="008537EA"/>
    <w:rsid w:val="0085447D"/>
    <w:rsid w:val="00854C43"/>
    <w:rsid w:val="00854D7E"/>
    <w:rsid w:val="00854DFA"/>
    <w:rsid w:val="008569FB"/>
    <w:rsid w:val="00856C3E"/>
    <w:rsid w:val="00860081"/>
    <w:rsid w:val="00861702"/>
    <w:rsid w:val="00862414"/>
    <w:rsid w:val="00863BEF"/>
    <w:rsid w:val="008645C0"/>
    <w:rsid w:val="008654D3"/>
    <w:rsid w:val="008725B4"/>
    <w:rsid w:val="00873A37"/>
    <w:rsid w:val="008740E7"/>
    <w:rsid w:val="0087438E"/>
    <w:rsid w:val="00880EA4"/>
    <w:rsid w:val="008821C7"/>
    <w:rsid w:val="00882647"/>
    <w:rsid w:val="0088272D"/>
    <w:rsid w:val="00882B06"/>
    <w:rsid w:val="008840A1"/>
    <w:rsid w:val="008842FC"/>
    <w:rsid w:val="00886A68"/>
    <w:rsid w:val="00890BAC"/>
    <w:rsid w:val="00890CD7"/>
    <w:rsid w:val="00891892"/>
    <w:rsid w:val="008938CF"/>
    <w:rsid w:val="00893C67"/>
    <w:rsid w:val="0089509C"/>
    <w:rsid w:val="00895302"/>
    <w:rsid w:val="00896B56"/>
    <w:rsid w:val="008A0000"/>
    <w:rsid w:val="008A3229"/>
    <w:rsid w:val="008A339E"/>
    <w:rsid w:val="008A36A9"/>
    <w:rsid w:val="008A38CE"/>
    <w:rsid w:val="008A58F1"/>
    <w:rsid w:val="008A5BEF"/>
    <w:rsid w:val="008B1914"/>
    <w:rsid w:val="008B237E"/>
    <w:rsid w:val="008B371A"/>
    <w:rsid w:val="008B60D9"/>
    <w:rsid w:val="008C03D1"/>
    <w:rsid w:val="008C0D4D"/>
    <w:rsid w:val="008C1ACF"/>
    <w:rsid w:val="008C3D45"/>
    <w:rsid w:val="008C44B8"/>
    <w:rsid w:val="008C4809"/>
    <w:rsid w:val="008C49ED"/>
    <w:rsid w:val="008C59DF"/>
    <w:rsid w:val="008C639C"/>
    <w:rsid w:val="008C7648"/>
    <w:rsid w:val="008C78BD"/>
    <w:rsid w:val="008D004A"/>
    <w:rsid w:val="008D2B19"/>
    <w:rsid w:val="008D4E6B"/>
    <w:rsid w:val="008D4F04"/>
    <w:rsid w:val="008D6B84"/>
    <w:rsid w:val="008E1D17"/>
    <w:rsid w:val="008E29D4"/>
    <w:rsid w:val="008E520E"/>
    <w:rsid w:val="008E5FD9"/>
    <w:rsid w:val="008E6715"/>
    <w:rsid w:val="008E6DCD"/>
    <w:rsid w:val="008F0649"/>
    <w:rsid w:val="008F1B05"/>
    <w:rsid w:val="008F3A34"/>
    <w:rsid w:val="008F431C"/>
    <w:rsid w:val="008F4865"/>
    <w:rsid w:val="008F64CF"/>
    <w:rsid w:val="008F6CE7"/>
    <w:rsid w:val="00900193"/>
    <w:rsid w:val="00902A72"/>
    <w:rsid w:val="00907171"/>
    <w:rsid w:val="00907AE5"/>
    <w:rsid w:val="009101F1"/>
    <w:rsid w:val="00910FAA"/>
    <w:rsid w:val="0091275E"/>
    <w:rsid w:val="009165B1"/>
    <w:rsid w:val="00917054"/>
    <w:rsid w:val="00921EBA"/>
    <w:rsid w:val="009234BB"/>
    <w:rsid w:val="00924AC6"/>
    <w:rsid w:val="00924F3D"/>
    <w:rsid w:val="00925651"/>
    <w:rsid w:val="00925E43"/>
    <w:rsid w:val="00930D24"/>
    <w:rsid w:val="0093291D"/>
    <w:rsid w:val="00932D49"/>
    <w:rsid w:val="009337DB"/>
    <w:rsid w:val="00933E77"/>
    <w:rsid w:val="00937E27"/>
    <w:rsid w:val="009406E9"/>
    <w:rsid w:val="00942C16"/>
    <w:rsid w:val="009430F5"/>
    <w:rsid w:val="00943723"/>
    <w:rsid w:val="0094413F"/>
    <w:rsid w:val="0094416A"/>
    <w:rsid w:val="00945302"/>
    <w:rsid w:val="00945428"/>
    <w:rsid w:val="009473D2"/>
    <w:rsid w:val="00952BCD"/>
    <w:rsid w:val="00952BDA"/>
    <w:rsid w:val="00953AA6"/>
    <w:rsid w:val="00954411"/>
    <w:rsid w:val="0095597B"/>
    <w:rsid w:val="00955F81"/>
    <w:rsid w:val="00956AA6"/>
    <w:rsid w:val="00957B8D"/>
    <w:rsid w:val="009620DD"/>
    <w:rsid w:val="0096344E"/>
    <w:rsid w:val="00965C10"/>
    <w:rsid w:val="00965E57"/>
    <w:rsid w:val="0096690D"/>
    <w:rsid w:val="009766AC"/>
    <w:rsid w:val="0097761A"/>
    <w:rsid w:val="00977B8A"/>
    <w:rsid w:val="00981E90"/>
    <w:rsid w:val="00982BEC"/>
    <w:rsid w:val="00984423"/>
    <w:rsid w:val="00984554"/>
    <w:rsid w:val="00986D97"/>
    <w:rsid w:val="009871DD"/>
    <w:rsid w:val="00987B82"/>
    <w:rsid w:val="00990C67"/>
    <w:rsid w:val="00990CA2"/>
    <w:rsid w:val="00991A49"/>
    <w:rsid w:val="00991CA2"/>
    <w:rsid w:val="00992959"/>
    <w:rsid w:val="00993AEC"/>
    <w:rsid w:val="00994002"/>
    <w:rsid w:val="00996BB1"/>
    <w:rsid w:val="009974FD"/>
    <w:rsid w:val="009978DE"/>
    <w:rsid w:val="00997952"/>
    <w:rsid w:val="009A0023"/>
    <w:rsid w:val="009A095D"/>
    <w:rsid w:val="009A1DBB"/>
    <w:rsid w:val="009A239F"/>
    <w:rsid w:val="009A2CDF"/>
    <w:rsid w:val="009A38C4"/>
    <w:rsid w:val="009A4114"/>
    <w:rsid w:val="009A47E6"/>
    <w:rsid w:val="009A6335"/>
    <w:rsid w:val="009A68D0"/>
    <w:rsid w:val="009A69BB"/>
    <w:rsid w:val="009B06F7"/>
    <w:rsid w:val="009B08CA"/>
    <w:rsid w:val="009B14AC"/>
    <w:rsid w:val="009B2B88"/>
    <w:rsid w:val="009B2E17"/>
    <w:rsid w:val="009B32A4"/>
    <w:rsid w:val="009B408D"/>
    <w:rsid w:val="009B56E8"/>
    <w:rsid w:val="009B6D39"/>
    <w:rsid w:val="009B7311"/>
    <w:rsid w:val="009C00E9"/>
    <w:rsid w:val="009C143E"/>
    <w:rsid w:val="009C1954"/>
    <w:rsid w:val="009C2842"/>
    <w:rsid w:val="009C4C54"/>
    <w:rsid w:val="009C5032"/>
    <w:rsid w:val="009C69CB"/>
    <w:rsid w:val="009C7462"/>
    <w:rsid w:val="009D0605"/>
    <w:rsid w:val="009D34C0"/>
    <w:rsid w:val="009D48B9"/>
    <w:rsid w:val="009D4F0D"/>
    <w:rsid w:val="009D52BB"/>
    <w:rsid w:val="009D6C41"/>
    <w:rsid w:val="009E0AD0"/>
    <w:rsid w:val="009E11B3"/>
    <w:rsid w:val="009E1E3B"/>
    <w:rsid w:val="009E3AA2"/>
    <w:rsid w:val="009E3C5E"/>
    <w:rsid w:val="009E4A5C"/>
    <w:rsid w:val="009E4DD2"/>
    <w:rsid w:val="009E59BC"/>
    <w:rsid w:val="009E59D6"/>
    <w:rsid w:val="009E5FC9"/>
    <w:rsid w:val="009E79DB"/>
    <w:rsid w:val="009E7A7D"/>
    <w:rsid w:val="009E7FDC"/>
    <w:rsid w:val="009F0E76"/>
    <w:rsid w:val="009F1E4D"/>
    <w:rsid w:val="009F2FD1"/>
    <w:rsid w:val="009F471E"/>
    <w:rsid w:val="009F5253"/>
    <w:rsid w:val="009F54C0"/>
    <w:rsid w:val="009F5816"/>
    <w:rsid w:val="009F627D"/>
    <w:rsid w:val="00A01DB8"/>
    <w:rsid w:val="00A0205D"/>
    <w:rsid w:val="00A03601"/>
    <w:rsid w:val="00A05C06"/>
    <w:rsid w:val="00A0658C"/>
    <w:rsid w:val="00A06F5B"/>
    <w:rsid w:val="00A071FB"/>
    <w:rsid w:val="00A11690"/>
    <w:rsid w:val="00A11BB8"/>
    <w:rsid w:val="00A13880"/>
    <w:rsid w:val="00A15951"/>
    <w:rsid w:val="00A16D92"/>
    <w:rsid w:val="00A23353"/>
    <w:rsid w:val="00A23EE8"/>
    <w:rsid w:val="00A23F7A"/>
    <w:rsid w:val="00A24CA9"/>
    <w:rsid w:val="00A27E9E"/>
    <w:rsid w:val="00A307A8"/>
    <w:rsid w:val="00A32BEA"/>
    <w:rsid w:val="00A32DB0"/>
    <w:rsid w:val="00A331A0"/>
    <w:rsid w:val="00A33724"/>
    <w:rsid w:val="00A33E93"/>
    <w:rsid w:val="00A35A6F"/>
    <w:rsid w:val="00A36B22"/>
    <w:rsid w:val="00A36C68"/>
    <w:rsid w:val="00A3741A"/>
    <w:rsid w:val="00A37AFC"/>
    <w:rsid w:val="00A4184E"/>
    <w:rsid w:val="00A429E0"/>
    <w:rsid w:val="00A43E20"/>
    <w:rsid w:val="00A44DA0"/>
    <w:rsid w:val="00A46BEC"/>
    <w:rsid w:val="00A47873"/>
    <w:rsid w:val="00A524BD"/>
    <w:rsid w:val="00A53010"/>
    <w:rsid w:val="00A53438"/>
    <w:rsid w:val="00A56B86"/>
    <w:rsid w:val="00A57421"/>
    <w:rsid w:val="00A603D5"/>
    <w:rsid w:val="00A6138F"/>
    <w:rsid w:val="00A61A7A"/>
    <w:rsid w:val="00A62155"/>
    <w:rsid w:val="00A62BE7"/>
    <w:rsid w:val="00A630CC"/>
    <w:rsid w:val="00A64CED"/>
    <w:rsid w:val="00A654A2"/>
    <w:rsid w:val="00A7007F"/>
    <w:rsid w:val="00A70278"/>
    <w:rsid w:val="00A70A9E"/>
    <w:rsid w:val="00A70F07"/>
    <w:rsid w:val="00A72490"/>
    <w:rsid w:val="00A735E6"/>
    <w:rsid w:val="00A73DA9"/>
    <w:rsid w:val="00A74C53"/>
    <w:rsid w:val="00A75D76"/>
    <w:rsid w:val="00A77C6C"/>
    <w:rsid w:val="00A8012B"/>
    <w:rsid w:val="00A80A3E"/>
    <w:rsid w:val="00A8194D"/>
    <w:rsid w:val="00A82E1A"/>
    <w:rsid w:val="00A845C7"/>
    <w:rsid w:val="00A854C1"/>
    <w:rsid w:val="00A86C53"/>
    <w:rsid w:val="00A870CA"/>
    <w:rsid w:val="00A87217"/>
    <w:rsid w:val="00A92D9B"/>
    <w:rsid w:val="00A94E6A"/>
    <w:rsid w:val="00A9743F"/>
    <w:rsid w:val="00A97A29"/>
    <w:rsid w:val="00A97A68"/>
    <w:rsid w:val="00AA0311"/>
    <w:rsid w:val="00AA0C0C"/>
    <w:rsid w:val="00AA0E96"/>
    <w:rsid w:val="00AA1C53"/>
    <w:rsid w:val="00AA341A"/>
    <w:rsid w:val="00AA3572"/>
    <w:rsid w:val="00AA5C50"/>
    <w:rsid w:val="00AA70EB"/>
    <w:rsid w:val="00AA79D8"/>
    <w:rsid w:val="00AB40A3"/>
    <w:rsid w:val="00AB4474"/>
    <w:rsid w:val="00AB4BE6"/>
    <w:rsid w:val="00AB531F"/>
    <w:rsid w:val="00AB6656"/>
    <w:rsid w:val="00AB76DD"/>
    <w:rsid w:val="00AC22BF"/>
    <w:rsid w:val="00AC2600"/>
    <w:rsid w:val="00AC2E81"/>
    <w:rsid w:val="00AC3973"/>
    <w:rsid w:val="00AC4403"/>
    <w:rsid w:val="00AC4AFF"/>
    <w:rsid w:val="00AC65A1"/>
    <w:rsid w:val="00AC7AF4"/>
    <w:rsid w:val="00AD69B5"/>
    <w:rsid w:val="00AE0153"/>
    <w:rsid w:val="00AE02C4"/>
    <w:rsid w:val="00AE1349"/>
    <w:rsid w:val="00AE1C04"/>
    <w:rsid w:val="00AE3239"/>
    <w:rsid w:val="00AE4560"/>
    <w:rsid w:val="00AE4A3F"/>
    <w:rsid w:val="00AE5041"/>
    <w:rsid w:val="00AE7C32"/>
    <w:rsid w:val="00AF27A9"/>
    <w:rsid w:val="00AF2CF1"/>
    <w:rsid w:val="00AF2D32"/>
    <w:rsid w:val="00AF360B"/>
    <w:rsid w:val="00AF48FB"/>
    <w:rsid w:val="00AF4CB8"/>
    <w:rsid w:val="00AF641C"/>
    <w:rsid w:val="00AF66E6"/>
    <w:rsid w:val="00AF7D2E"/>
    <w:rsid w:val="00B00624"/>
    <w:rsid w:val="00B015E3"/>
    <w:rsid w:val="00B01FAF"/>
    <w:rsid w:val="00B02780"/>
    <w:rsid w:val="00B0317F"/>
    <w:rsid w:val="00B06B18"/>
    <w:rsid w:val="00B11CB4"/>
    <w:rsid w:val="00B13479"/>
    <w:rsid w:val="00B13C16"/>
    <w:rsid w:val="00B17B49"/>
    <w:rsid w:val="00B20483"/>
    <w:rsid w:val="00B22A79"/>
    <w:rsid w:val="00B22CFA"/>
    <w:rsid w:val="00B22D45"/>
    <w:rsid w:val="00B2438E"/>
    <w:rsid w:val="00B24F70"/>
    <w:rsid w:val="00B253F8"/>
    <w:rsid w:val="00B260AF"/>
    <w:rsid w:val="00B31398"/>
    <w:rsid w:val="00B3216E"/>
    <w:rsid w:val="00B32385"/>
    <w:rsid w:val="00B37D85"/>
    <w:rsid w:val="00B37D9A"/>
    <w:rsid w:val="00B37E39"/>
    <w:rsid w:val="00B40750"/>
    <w:rsid w:val="00B418BB"/>
    <w:rsid w:val="00B41A2D"/>
    <w:rsid w:val="00B41FA8"/>
    <w:rsid w:val="00B43E3E"/>
    <w:rsid w:val="00B44ABC"/>
    <w:rsid w:val="00B45404"/>
    <w:rsid w:val="00B46566"/>
    <w:rsid w:val="00B465D6"/>
    <w:rsid w:val="00B4770F"/>
    <w:rsid w:val="00B505E2"/>
    <w:rsid w:val="00B5090C"/>
    <w:rsid w:val="00B51BDC"/>
    <w:rsid w:val="00B526CD"/>
    <w:rsid w:val="00B52FE8"/>
    <w:rsid w:val="00B539DE"/>
    <w:rsid w:val="00B53D41"/>
    <w:rsid w:val="00B54C90"/>
    <w:rsid w:val="00B55968"/>
    <w:rsid w:val="00B566D9"/>
    <w:rsid w:val="00B60E0C"/>
    <w:rsid w:val="00B61516"/>
    <w:rsid w:val="00B6161E"/>
    <w:rsid w:val="00B62657"/>
    <w:rsid w:val="00B63135"/>
    <w:rsid w:val="00B64230"/>
    <w:rsid w:val="00B65BA0"/>
    <w:rsid w:val="00B6659E"/>
    <w:rsid w:val="00B70D06"/>
    <w:rsid w:val="00B75517"/>
    <w:rsid w:val="00B80202"/>
    <w:rsid w:val="00B82CE2"/>
    <w:rsid w:val="00B82D7E"/>
    <w:rsid w:val="00B83BAD"/>
    <w:rsid w:val="00B84903"/>
    <w:rsid w:val="00B854CC"/>
    <w:rsid w:val="00B91F67"/>
    <w:rsid w:val="00B9700A"/>
    <w:rsid w:val="00B97CF9"/>
    <w:rsid w:val="00B97E0D"/>
    <w:rsid w:val="00BA0664"/>
    <w:rsid w:val="00BA19BC"/>
    <w:rsid w:val="00BA282A"/>
    <w:rsid w:val="00BA2F5B"/>
    <w:rsid w:val="00BA3D7F"/>
    <w:rsid w:val="00BA4082"/>
    <w:rsid w:val="00BA4B09"/>
    <w:rsid w:val="00BA4E43"/>
    <w:rsid w:val="00BA591D"/>
    <w:rsid w:val="00BA68E3"/>
    <w:rsid w:val="00BB0122"/>
    <w:rsid w:val="00BB07FC"/>
    <w:rsid w:val="00BB099F"/>
    <w:rsid w:val="00BB2B7E"/>
    <w:rsid w:val="00BB307D"/>
    <w:rsid w:val="00BB3D17"/>
    <w:rsid w:val="00BB5895"/>
    <w:rsid w:val="00BB74A5"/>
    <w:rsid w:val="00BB75AF"/>
    <w:rsid w:val="00BC195E"/>
    <w:rsid w:val="00BC261C"/>
    <w:rsid w:val="00BC34B3"/>
    <w:rsid w:val="00BC40EC"/>
    <w:rsid w:val="00BC496E"/>
    <w:rsid w:val="00BC4FA2"/>
    <w:rsid w:val="00BC5DD5"/>
    <w:rsid w:val="00BD0E29"/>
    <w:rsid w:val="00BD3764"/>
    <w:rsid w:val="00BD40A6"/>
    <w:rsid w:val="00BD5387"/>
    <w:rsid w:val="00BD73E7"/>
    <w:rsid w:val="00BD7BC9"/>
    <w:rsid w:val="00BD7ECC"/>
    <w:rsid w:val="00BD7FF3"/>
    <w:rsid w:val="00BE0794"/>
    <w:rsid w:val="00BE2385"/>
    <w:rsid w:val="00BE2ACC"/>
    <w:rsid w:val="00BE32DE"/>
    <w:rsid w:val="00BE4424"/>
    <w:rsid w:val="00BE4680"/>
    <w:rsid w:val="00BE5341"/>
    <w:rsid w:val="00BE5D13"/>
    <w:rsid w:val="00BE697F"/>
    <w:rsid w:val="00BE7C01"/>
    <w:rsid w:val="00BE7E9F"/>
    <w:rsid w:val="00BF1ADD"/>
    <w:rsid w:val="00BF2EF2"/>
    <w:rsid w:val="00BF2FC2"/>
    <w:rsid w:val="00BF381D"/>
    <w:rsid w:val="00BF3E8E"/>
    <w:rsid w:val="00BF542A"/>
    <w:rsid w:val="00BF5C75"/>
    <w:rsid w:val="00BF68EE"/>
    <w:rsid w:val="00BF69D8"/>
    <w:rsid w:val="00BF6E32"/>
    <w:rsid w:val="00BF77DF"/>
    <w:rsid w:val="00BF79FE"/>
    <w:rsid w:val="00C001D3"/>
    <w:rsid w:val="00C007BA"/>
    <w:rsid w:val="00C00A9C"/>
    <w:rsid w:val="00C01BB5"/>
    <w:rsid w:val="00C03046"/>
    <w:rsid w:val="00C03367"/>
    <w:rsid w:val="00C048EF"/>
    <w:rsid w:val="00C063A1"/>
    <w:rsid w:val="00C0664A"/>
    <w:rsid w:val="00C07899"/>
    <w:rsid w:val="00C113F3"/>
    <w:rsid w:val="00C15011"/>
    <w:rsid w:val="00C15065"/>
    <w:rsid w:val="00C15285"/>
    <w:rsid w:val="00C154BA"/>
    <w:rsid w:val="00C213D1"/>
    <w:rsid w:val="00C21D11"/>
    <w:rsid w:val="00C2295C"/>
    <w:rsid w:val="00C2477F"/>
    <w:rsid w:val="00C25482"/>
    <w:rsid w:val="00C25F75"/>
    <w:rsid w:val="00C2718A"/>
    <w:rsid w:val="00C30A17"/>
    <w:rsid w:val="00C31F9D"/>
    <w:rsid w:val="00C33442"/>
    <w:rsid w:val="00C33CF3"/>
    <w:rsid w:val="00C35A93"/>
    <w:rsid w:val="00C36034"/>
    <w:rsid w:val="00C362B2"/>
    <w:rsid w:val="00C364C6"/>
    <w:rsid w:val="00C40C63"/>
    <w:rsid w:val="00C41427"/>
    <w:rsid w:val="00C41571"/>
    <w:rsid w:val="00C43493"/>
    <w:rsid w:val="00C4436A"/>
    <w:rsid w:val="00C44DCF"/>
    <w:rsid w:val="00C454DA"/>
    <w:rsid w:val="00C468BD"/>
    <w:rsid w:val="00C50179"/>
    <w:rsid w:val="00C50DBF"/>
    <w:rsid w:val="00C540CC"/>
    <w:rsid w:val="00C55759"/>
    <w:rsid w:val="00C55E01"/>
    <w:rsid w:val="00C56D16"/>
    <w:rsid w:val="00C62970"/>
    <w:rsid w:val="00C63652"/>
    <w:rsid w:val="00C65CCF"/>
    <w:rsid w:val="00C665A7"/>
    <w:rsid w:val="00C67C95"/>
    <w:rsid w:val="00C70113"/>
    <w:rsid w:val="00C727C3"/>
    <w:rsid w:val="00C736A1"/>
    <w:rsid w:val="00C744B4"/>
    <w:rsid w:val="00C744E7"/>
    <w:rsid w:val="00C748C2"/>
    <w:rsid w:val="00C74BA9"/>
    <w:rsid w:val="00C74BC6"/>
    <w:rsid w:val="00C7580C"/>
    <w:rsid w:val="00C778DF"/>
    <w:rsid w:val="00C77CF4"/>
    <w:rsid w:val="00C81DDE"/>
    <w:rsid w:val="00C83ADE"/>
    <w:rsid w:val="00C83FA4"/>
    <w:rsid w:val="00C86B11"/>
    <w:rsid w:val="00C86C43"/>
    <w:rsid w:val="00C86EA7"/>
    <w:rsid w:val="00C86F90"/>
    <w:rsid w:val="00C86FB2"/>
    <w:rsid w:val="00C912FB"/>
    <w:rsid w:val="00C92BAA"/>
    <w:rsid w:val="00C936C3"/>
    <w:rsid w:val="00C93EEC"/>
    <w:rsid w:val="00C9417E"/>
    <w:rsid w:val="00C94D20"/>
    <w:rsid w:val="00C960FD"/>
    <w:rsid w:val="00C97186"/>
    <w:rsid w:val="00C97D61"/>
    <w:rsid w:val="00CA040E"/>
    <w:rsid w:val="00CA071D"/>
    <w:rsid w:val="00CA2FDE"/>
    <w:rsid w:val="00CA429C"/>
    <w:rsid w:val="00CA5E62"/>
    <w:rsid w:val="00CA62FA"/>
    <w:rsid w:val="00CA6A71"/>
    <w:rsid w:val="00CA6D27"/>
    <w:rsid w:val="00CB0403"/>
    <w:rsid w:val="00CB04FB"/>
    <w:rsid w:val="00CB0769"/>
    <w:rsid w:val="00CB14C8"/>
    <w:rsid w:val="00CB331D"/>
    <w:rsid w:val="00CB4711"/>
    <w:rsid w:val="00CB659D"/>
    <w:rsid w:val="00CB66E1"/>
    <w:rsid w:val="00CB7A06"/>
    <w:rsid w:val="00CB7AFB"/>
    <w:rsid w:val="00CC08C3"/>
    <w:rsid w:val="00CC0F7B"/>
    <w:rsid w:val="00CC1226"/>
    <w:rsid w:val="00CC160E"/>
    <w:rsid w:val="00CC26CB"/>
    <w:rsid w:val="00CC3062"/>
    <w:rsid w:val="00CC3848"/>
    <w:rsid w:val="00CC42CC"/>
    <w:rsid w:val="00CD08B5"/>
    <w:rsid w:val="00CD0F2D"/>
    <w:rsid w:val="00CD1568"/>
    <w:rsid w:val="00CD53FC"/>
    <w:rsid w:val="00CD54FB"/>
    <w:rsid w:val="00CD6895"/>
    <w:rsid w:val="00CD7BE9"/>
    <w:rsid w:val="00CD7C3C"/>
    <w:rsid w:val="00CE0083"/>
    <w:rsid w:val="00CE0435"/>
    <w:rsid w:val="00CE173B"/>
    <w:rsid w:val="00CE1F28"/>
    <w:rsid w:val="00CE23DB"/>
    <w:rsid w:val="00CE272B"/>
    <w:rsid w:val="00CE3301"/>
    <w:rsid w:val="00CE4699"/>
    <w:rsid w:val="00CE52B3"/>
    <w:rsid w:val="00CE56DF"/>
    <w:rsid w:val="00CE5C4D"/>
    <w:rsid w:val="00CE62AE"/>
    <w:rsid w:val="00CF0525"/>
    <w:rsid w:val="00CF2E35"/>
    <w:rsid w:val="00CF3EAA"/>
    <w:rsid w:val="00CF767D"/>
    <w:rsid w:val="00CF7C43"/>
    <w:rsid w:val="00D01708"/>
    <w:rsid w:val="00D01D38"/>
    <w:rsid w:val="00D02644"/>
    <w:rsid w:val="00D03108"/>
    <w:rsid w:val="00D03B5C"/>
    <w:rsid w:val="00D05FF5"/>
    <w:rsid w:val="00D06CB1"/>
    <w:rsid w:val="00D1124B"/>
    <w:rsid w:val="00D1229C"/>
    <w:rsid w:val="00D12AD8"/>
    <w:rsid w:val="00D13951"/>
    <w:rsid w:val="00D13EAE"/>
    <w:rsid w:val="00D142DF"/>
    <w:rsid w:val="00D1495A"/>
    <w:rsid w:val="00D159C4"/>
    <w:rsid w:val="00D15E55"/>
    <w:rsid w:val="00D1736F"/>
    <w:rsid w:val="00D1766F"/>
    <w:rsid w:val="00D178A8"/>
    <w:rsid w:val="00D17FE3"/>
    <w:rsid w:val="00D20B7D"/>
    <w:rsid w:val="00D21CEF"/>
    <w:rsid w:val="00D227C1"/>
    <w:rsid w:val="00D22971"/>
    <w:rsid w:val="00D23DD1"/>
    <w:rsid w:val="00D2455E"/>
    <w:rsid w:val="00D248AD"/>
    <w:rsid w:val="00D2582C"/>
    <w:rsid w:val="00D25ADF"/>
    <w:rsid w:val="00D25D7B"/>
    <w:rsid w:val="00D26929"/>
    <w:rsid w:val="00D274AB"/>
    <w:rsid w:val="00D27C1F"/>
    <w:rsid w:val="00D33642"/>
    <w:rsid w:val="00D343C2"/>
    <w:rsid w:val="00D3478B"/>
    <w:rsid w:val="00D34A62"/>
    <w:rsid w:val="00D34BF2"/>
    <w:rsid w:val="00D34FD8"/>
    <w:rsid w:val="00D36967"/>
    <w:rsid w:val="00D40395"/>
    <w:rsid w:val="00D40489"/>
    <w:rsid w:val="00D40D21"/>
    <w:rsid w:val="00D44877"/>
    <w:rsid w:val="00D44AA1"/>
    <w:rsid w:val="00D46FD6"/>
    <w:rsid w:val="00D47103"/>
    <w:rsid w:val="00D4713C"/>
    <w:rsid w:val="00D471E2"/>
    <w:rsid w:val="00D517FC"/>
    <w:rsid w:val="00D52FA8"/>
    <w:rsid w:val="00D53982"/>
    <w:rsid w:val="00D53B11"/>
    <w:rsid w:val="00D54540"/>
    <w:rsid w:val="00D549F0"/>
    <w:rsid w:val="00D54F33"/>
    <w:rsid w:val="00D5555D"/>
    <w:rsid w:val="00D5583E"/>
    <w:rsid w:val="00D559C5"/>
    <w:rsid w:val="00D56991"/>
    <w:rsid w:val="00D56C43"/>
    <w:rsid w:val="00D5737C"/>
    <w:rsid w:val="00D57852"/>
    <w:rsid w:val="00D57A20"/>
    <w:rsid w:val="00D6175C"/>
    <w:rsid w:val="00D629F2"/>
    <w:rsid w:val="00D63E44"/>
    <w:rsid w:val="00D64536"/>
    <w:rsid w:val="00D649BC"/>
    <w:rsid w:val="00D662A0"/>
    <w:rsid w:val="00D669AA"/>
    <w:rsid w:val="00D71772"/>
    <w:rsid w:val="00D72D2B"/>
    <w:rsid w:val="00D739A9"/>
    <w:rsid w:val="00D73AEC"/>
    <w:rsid w:val="00D7474C"/>
    <w:rsid w:val="00D74EC6"/>
    <w:rsid w:val="00D75FED"/>
    <w:rsid w:val="00D7705B"/>
    <w:rsid w:val="00D82462"/>
    <w:rsid w:val="00D83876"/>
    <w:rsid w:val="00D85193"/>
    <w:rsid w:val="00D85417"/>
    <w:rsid w:val="00D85A75"/>
    <w:rsid w:val="00D86C38"/>
    <w:rsid w:val="00D872DE"/>
    <w:rsid w:val="00D87DC7"/>
    <w:rsid w:val="00D91E02"/>
    <w:rsid w:val="00D92359"/>
    <w:rsid w:val="00D9235C"/>
    <w:rsid w:val="00D92361"/>
    <w:rsid w:val="00D92DBB"/>
    <w:rsid w:val="00D931AC"/>
    <w:rsid w:val="00D9428D"/>
    <w:rsid w:val="00D95D4A"/>
    <w:rsid w:val="00D96E48"/>
    <w:rsid w:val="00D972B1"/>
    <w:rsid w:val="00D973B4"/>
    <w:rsid w:val="00D97734"/>
    <w:rsid w:val="00D97F80"/>
    <w:rsid w:val="00DA01A3"/>
    <w:rsid w:val="00DA05CA"/>
    <w:rsid w:val="00DA0AC5"/>
    <w:rsid w:val="00DA5729"/>
    <w:rsid w:val="00DA67EF"/>
    <w:rsid w:val="00DA68DB"/>
    <w:rsid w:val="00DA6C29"/>
    <w:rsid w:val="00DA701D"/>
    <w:rsid w:val="00DA7AFB"/>
    <w:rsid w:val="00DB2E6B"/>
    <w:rsid w:val="00DB2E88"/>
    <w:rsid w:val="00DB3494"/>
    <w:rsid w:val="00DB4B7D"/>
    <w:rsid w:val="00DC0193"/>
    <w:rsid w:val="00DC0608"/>
    <w:rsid w:val="00DC08AF"/>
    <w:rsid w:val="00DC0AE9"/>
    <w:rsid w:val="00DC257B"/>
    <w:rsid w:val="00DC2AA9"/>
    <w:rsid w:val="00DC465D"/>
    <w:rsid w:val="00DC4C41"/>
    <w:rsid w:val="00DC5A64"/>
    <w:rsid w:val="00DC645C"/>
    <w:rsid w:val="00DD0318"/>
    <w:rsid w:val="00DD0B87"/>
    <w:rsid w:val="00DD199A"/>
    <w:rsid w:val="00DD2224"/>
    <w:rsid w:val="00DD25FA"/>
    <w:rsid w:val="00DD3074"/>
    <w:rsid w:val="00DD30AA"/>
    <w:rsid w:val="00DD36E6"/>
    <w:rsid w:val="00DD37AC"/>
    <w:rsid w:val="00DD3E17"/>
    <w:rsid w:val="00DD4609"/>
    <w:rsid w:val="00DD65EC"/>
    <w:rsid w:val="00DD6EB7"/>
    <w:rsid w:val="00DD733C"/>
    <w:rsid w:val="00DD7B6D"/>
    <w:rsid w:val="00DE0F57"/>
    <w:rsid w:val="00DE18C3"/>
    <w:rsid w:val="00DE27E9"/>
    <w:rsid w:val="00DE51AD"/>
    <w:rsid w:val="00DE7BB3"/>
    <w:rsid w:val="00DF1E03"/>
    <w:rsid w:val="00DF1E8F"/>
    <w:rsid w:val="00DF3470"/>
    <w:rsid w:val="00DF3784"/>
    <w:rsid w:val="00DF3F67"/>
    <w:rsid w:val="00DF3FBD"/>
    <w:rsid w:val="00DF4085"/>
    <w:rsid w:val="00DF4D79"/>
    <w:rsid w:val="00E013D5"/>
    <w:rsid w:val="00E016B7"/>
    <w:rsid w:val="00E0570F"/>
    <w:rsid w:val="00E07414"/>
    <w:rsid w:val="00E07D47"/>
    <w:rsid w:val="00E109A5"/>
    <w:rsid w:val="00E1186A"/>
    <w:rsid w:val="00E1246F"/>
    <w:rsid w:val="00E128A1"/>
    <w:rsid w:val="00E13118"/>
    <w:rsid w:val="00E13DBC"/>
    <w:rsid w:val="00E13EBD"/>
    <w:rsid w:val="00E160D0"/>
    <w:rsid w:val="00E17C9F"/>
    <w:rsid w:val="00E202F4"/>
    <w:rsid w:val="00E205BA"/>
    <w:rsid w:val="00E210FE"/>
    <w:rsid w:val="00E253EA"/>
    <w:rsid w:val="00E301A5"/>
    <w:rsid w:val="00E3614C"/>
    <w:rsid w:val="00E371C8"/>
    <w:rsid w:val="00E40A6C"/>
    <w:rsid w:val="00E40BF5"/>
    <w:rsid w:val="00E40EF4"/>
    <w:rsid w:val="00E432F5"/>
    <w:rsid w:val="00E44E50"/>
    <w:rsid w:val="00E45366"/>
    <w:rsid w:val="00E46A1C"/>
    <w:rsid w:val="00E511A0"/>
    <w:rsid w:val="00E52709"/>
    <w:rsid w:val="00E528F7"/>
    <w:rsid w:val="00E53066"/>
    <w:rsid w:val="00E53DD6"/>
    <w:rsid w:val="00E53E21"/>
    <w:rsid w:val="00E54DD0"/>
    <w:rsid w:val="00E55DF2"/>
    <w:rsid w:val="00E56819"/>
    <w:rsid w:val="00E570E8"/>
    <w:rsid w:val="00E5753C"/>
    <w:rsid w:val="00E579AC"/>
    <w:rsid w:val="00E6063A"/>
    <w:rsid w:val="00E6277B"/>
    <w:rsid w:val="00E62C50"/>
    <w:rsid w:val="00E65233"/>
    <w:rsid w:val="00E65978"/>
    <w:rsid w:val="00E65B69"/>
    <w:rsid w:val="00E7039F"/>
    <w:rsid w:val="00E749F0"/>
    <w:rsid w:val="00E75715"/>
    <w:rsid w:val="00E75F25"/>
    <w:rsid w:val="00E76BE8"/>
    <w:rsid w:val="00E82596"/>
    <w:rsid w:val="00E833E7"/>
    <w:rsid w:val="00E84122"/>
    <w:rsid w:val="00E911E0"/>
    <w:rsid w:val="00E939A9"/>
    <w:rsid w:val="00E97368"/>
    <w:rsid w:val="00E97896"/>
    <w:rsid w:val="00EA014C"/>
    <w:rsid w:val="00EA0226"/>
    <w:rsid w:val="00EA287A"/>
    <w:rsid w:val="00EA2C69"/>
    <w:rsid w:val="00EA2C7B"/>
    <w:rsid w:val="00EA330F"/>
    <w:rsid w:val="00EA3913"/>
    <w:rsid w:val="00EA492C"/>
    <w:rsid w:val="00EA546F"/>
    <w:rsid w:val="00EA6B7D"/>
    <w:rsid w:val="00EA763A"/>
    <w:rsid w:val="00EB02F1"/>
    <w:rsid w:val="00EB2246"/>
    <w:rsid w:val="00EB27C3"/>
    <w:rsid w:val="00EB2A2E"/>
    <w:rsid w:val="00EB2A90"/>
    <w:rsid w:val="00EB2CEA"/>
    <w:rsid w:val="00EB39C6"/>
    <w:rsid w:val="00EB4577"/>
    <w:rsid w:val="00EB4672"/>
    <w:rsid w:val="00EB50CE"/>
    <w:rsid w:val="00EB6D2B"/>
    <w:rsid w:val="00EB7C38"/>
    <w:rsid w:val="00EC06DC"/>
    <w:rsid w:val="00EC192C"/>
    <w:rsid w:val="00EC1D0C"/>
    <w:rsid w:val="00EC2426"/>
    <w:rsid w:val="00EC4084"/>
    <w:rsid w:val="00EC6C95"/>
    <w:rsid w:val="00ED1C04"/>
    <w:rsid w:val="00ED2ECA"/>
    <w:rsid w:val="00ED3065"/>
    <w:rsid w:val="00ED34D4"/>
    <w:rsid w:val="00ED45F2"/>
    <w:rsid w:val="00ED56BC"/>
    <w:rsid w:val="00ED6BCA"/>
    <w:rsid w:val="00ED78F4"/>
    <w:rsid w:val="00EE0020"/>
    <w:rsid w:val="00EE0128"/>
    <w:rsid w:val="00EE0CF4"/>
    <w:rsid w:val="00EE1B7B"/>
    <w:rsid w:val="00EE1C9E"/>
    <w:rsid w:val="00EE3AF4"/>
    <w:rsid w:val="00EE4B8C"/>
    <w:rsid w:val="00EE6F8F"/>
    <w:rsid w:val="00EE75AF"/>
    <w:rsid w:val="00EE7A56"/>
    <w:rsid w:val="00EF08DC"/>
    <w:rsid w:val="00EF2E52"/>
    <w:rsid w:val="00EF2E54"/>
    <w:rsid w:val="00EF3B15"/>
    <w:rsid w:val="00EF45E5"/>
    <w:rsid w:val="00EF4832"/>
    <w:rsid w:val="00EF6574"/>
    <w:rsid w:val="00EF69A0"/>
    <w:rsid w:val="00EF78D5"/>
    <w:rsid w:val="00EF7CD8"/>
    <w:rsid w:val="00EF7FF3"/>
    <w:rsid w:val="00F024CB"/>
    <w:rsid w:val="00F03A3A"/>
    <w:rsid w:val="00F044D3"/>
    <w:rsid w:val="00F04767"/>
    <w:rsid w:val="00F04F73"/>
    <w:rsid w:val="00F05B25"/>
    <w:rsid w:val="00F066BF"/>
    <w:rsid w:val="00F10C04"/>
    <w:rsid w:val="00F10D14"/>
    <w:rsid w:val="00F10FEA"/>
    <w:rsid w:val="00F11255"/>
    <w:rsid w:val="00F11498"/>
    <w:rsid w:val="00F11C72"/>
    <w:rsid w:val="00F139D1"/>
    <w:rsid w:val="00F14B88"/>
    <w:rsid w:val="00F14D81"/>
    <w:rsid w:val="00F156B4"/>
    <w:rsid w:val="00F15772"/>
    <w:rsid w:val="00F170DA"/>
    <w:rsid w:val="00F2131E"/>
    <w:rsid w:val="00F22371"/>
    <w:rsid w:val="00F22381"/>
    <w:rsid w:val="00F23C8C"/>
    <w:rsid w:val="00F24D72"/>
    <w:rsid w:val="00F24F51"/>
    <w:rsid w:val="00F24F70"/>
    <w:rsid w:val="00F276D3"/>
    <w:rsid w:val="00F30EBF"/>
    <w:rsid w:val="00F30EC1"/>
    <w:rsid w:val="00F33841"/>
    <w:rsid w:val="00F348C4"/>
    <w:rsid w:val="00F41228"/>
    <w:rsid w:val="00F413EE"/>
    <w:rsid w:val="00F42308"/>
    <w:rsid w:val="00F42493"/>
    <w:rsid w:val="00F44E85"/>
    <w:rsid w:val="00F4543B"/>
    <w:rsid w:val="00F46053"/>
    <w:rsid w:val="00F46CDD"/>
    <w:rsid w:val="00F470B1"/>
    <w:rsid w:val="00F470C9"/>
    <w:rsid w:val="00F506B7"/>
    <w:rsid w:val="00F5748F"/>
    <w:rsid w:val="00F57D12"/>
    <w:rsid w:val="00F60AE2"/>
    <w:rsid w:val="00F63C2D"/>
    <w:rsid w:val="00F6425E"/>
    <w:rsid w:val="00F64951"/>
    <w:rsid w:val="00F651C3"/>
    <w:rsid w:val="00F6564A"/>
    <w:rsid w:val="00F66195"/>
    <w:rsid w:val="00F66478"/>
    <w:rsid w:val="00F6795F"/>
    <w:rsid w:val="00F70240"/>
    <w:rsid w:val="00F70596"/>
    <w:rsid w:val="00F7068F"/>
    <w:rsid w:val="00F74032"/>
    <w:rsid w:val="00F752FE"/>
    <w:rsid w:val="00F75A71"/>
    <w:rsid w:val="00F76582"/>
    <w:rsid w:val="00F766C1"/>
    <w:rsid w:val="00F800F8"/>
    <w:rsid w:val="00F82570"/>
    <w:rsid w:val="00F838ED"/>
    <w:rsid w:val="00F84B85"/>
    <w:rsid w:val="00F84DCA"/>
    <w:rsid w:val="00F862CB"/>
    <w:rsid w:val="00F86C5B"/>
    <w:rsid w:val="00F86D96"/>
    <w:rsid w:val="00F87281"/>
    <w:rsid w:val="00F87782"/>
    <w:rsid w:val="00F90F96"/>
    <w:rsid w:val="00F91742"/>
    <w:rsid w:val="00F92033"/>
    <w:rsid w:val="00F92BED"/>
    <w:rsid w:val="00F94F53"/>
    <w:rsid w:val="00F967D5"/>
    <w:rsid w:val="00FA145B"/>
    <w:rsid w:val="00FA174B"/>
    <w:rsid w:val="00FA3724"/>
    <w:rsid w:val="00FA3F79"/>
    <w:rsid w:val="00FA50A9"/>
    <w:rsid w:val="00FA5721"/>
    <w:rsid w:val="00FA6963"/>
    <w:rsid w:val="00FA6F5F"/>
    <w:rsid w:val="00FB12F1"/>
    <w:rsid w:val="00FB1F12"/>
    <w:rsid w:val="00FB44C5"/>
    <w:rsid w:val="00FB475F"/>
    <w:rsid w:val="00FB4E4F"/>
    <w:rsid w:val="00FB54FA"/>
    <w:rsid w:val="00FB65E5"/>
    <w:rsid w:val="00FB6940"/>
    <w:rsid w:val="00FB7A2A"/>
    <w:rsid w:val="00FC0646"/>
    <w:rsid w:val="00FC0761"/>
    <w:rsid w:val="00FC1AB2"/>
    <w:rsid w:val="00FC2955"/>
    <w:rsid w:val="00FC2A5D"/>
    <w:rsid w:val="00FC30C6"/>
    <w:rsid w:val="00FC39F7"/>
    <w:rsid w:val="00FC3A2C"/>
    <w:rsid w:val="00FC5076"/>
    <w:rsid w:val="00FC63C7"/>
    <w:rsid w:val="00FC7146"/>
    <w:rsid w:val="00FC76A2"/>
    <w:rsid w:val="00FD11ED"/>
    <w:rsid w:val="00FD1414"/>
    <w:rsid w:val="00FD40B4"/>
    <w:rsid w:val="00FD5F9B"/>
    <w:rsid w:val="00FE05DA"/>
    <w:rsid w:val="00FE0AD0"/>
    <w:rsid w:val="00FE1B44"/>
    <w:rsid w:val="00FE23DF"/>
    <w:rsid w:val="00FE3D12"/>
    <w:rsid w:val="00FE4758"/>
    <w:rsid w:val="00FE5296"/>
    <w:rsid w:val="00FF2B4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41"/>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
    <w:name w:val="Chapter 5"/>
    <w:basedOn w:val="Chapter1"/>
    <w:link w:val="Chapter5Char"/>
    <w:rsid w:val="00120C68"/>
    <w:pPr>
      <w:numPr>
        <w:numId w:val="9"/>
      </w:numPr>
      <w:ind w:left="851" w:hanging="851"/>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
    <w:name w:val="Chapter 5 Char"/>
    <w:basedOn w:val="Chapter1Char1"/>
    <w:link w:val="Chapter5"/>
    <w:rsid w:val="00120C68"/>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75FED"/>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TOCHeading">
    <w:name w:val="TOC Heading"/>
    <w:basedOn w:val="Heading1"/>
    <w:next w:val="Normal"/>
    <w:uiPriority w:val="39"/>
    <w:semiHidden/>
    <w:unhideWhenUsed/>
    <w:qFormat/>
    <w:rsid w:val="00DF4085"/>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ListParagraph">
    <w:name w:val="List Paragraph"/>
    <w:basedOn w:val="Normal"/>
    <w:uiPriority w:val="34"/>
    <w:qFormat/>
    <w:rsid w:val="0052746B"/>
    <w:pPr>
      <w:ind w:left="720"/>
      <w:contextualSpacing/>
    </w:pPr>
  </w:style>
  <w:style w:type="character" w:styleId="HTMLDefinition">
    <w:name w:val="HTML Definition"/>
    <w:basedOn w:val="DefaultParagraphFont"/>
    <w:uiPriority w:val="99"/>
    <w:semiHidden/>
    <w:unhideWhenUsed/>
    <w:rsid w:val="008E6DCD"/>
    <w:rPr>
      <w:i/>
      <w:iCs/>
    </w:rPr>
  </w:style>
  <w:style w:type="character" w:customStyle="1" w:styleId="label">
    <w:name w:val="label"/>
    <w:basedOn w:val="DefaultParagraphFont"/>
    <w:rsid w:val="008E6DCD"/>
  </w:style>
  <w:style w:type="character" w:customStyle="1" w:styleId="spc1">
    <w:name w:val="spc1"/>
    <w:basedOn w:val="DefaultParagraphFont"/>
    <w:rsid w:val="008E6DCD"/>
    <w:rPr>
      <w:strike w:val="0"/>
      <w:dstrike w:val="0"/>
      <w:u w:val="none"/>
      <w:effect w:val="none"/>
    </w:rPr>
  </w:style>
  <w:style w:type="paragraph" w:customStyle="1" w:styleId="labelled4">
    <w:name w:val="labelled4"/>
    <w:basedOn w:val="Normal"/>
    <w:rsid w:val="008E6DCD"/>
    <w:pPr>
      <w:spacing w:line="288" w:lineRule="atLeast"/>
      <w:ind w:right="240"/>
      <w:jc w:val="left"/>
    </w:pPr>
    <w:rPr>
      <w:color w:val="000000"/>
      <w:szCs w:val="24"/>
      <w:lang w:val="en-NZ" w:eastAsia="en-NZ"/>
    </w:rPr>
  </w:style>
  <w:style w:type="paragraph" w:customStyle="1" w:styleId="term-list2">
    <w:name w:val="term-list2"/>
    <w:basedOn w:val="Normal"/>
    <w:rsid w:val="008E6DCD"/>
    <w:pPr>
      <w:spacing w:line="288" w:lineRule="atLeast"/>
      <w:jc w:val="left"/>
    </w:pPr>
    <w:rPr>
      <w:color w:val="000000"/>
      <w:sz w:val="19"/>
      <w:szCs w:val="19"/>
      <w:lang w:val="en-NZ" w:eastAsia="en-NZ"/>
    </w:rPr>
  </w:style>
  <w:style w:type="paragraph" w:customStyle="1" w:styleId="label9">
    <w:name w:val="label9"/>
    <w:basedOn w:val="Normal"/>
    <w:rsid w:val="008E6DCD"/>
    <w:pPr>
      <w:spacing w:line="288" w:lineRule="atLeast"/>
      <w:jc w:val="left"/>
    </w:pPr>
    <w:rPr>
      <w:color w:val="000000"/>
      <w:szCs w:val="24"/>
      <w:lang w:val="en-NZ" w:eastAsia="en-NZ"/>
    </w:rPr>
  </w:style>
  <w:style w:type="paragraph" w:customStyle="1" w:styleId="text1">
    <w:name w:val="text1"/>
    <w:basedOn w:val="Normal"/>
    <w:rsid w:val="008E6DCD"/>
    <w:pPr>
      <w:spacing w:line="288" w:lineRule="atLeast"/>
      <w:jc w:val="left"/>
    </w:pPr>
    <w:rPr>
      <w:color w:val="000000"/>
      <w:szCs w:val="24"/>
      <w:lang w:val="en-NZ" w:eastAsia="en-NZ"/>
    </w:rPr>
  </w:style>
  <w:style w:type="paragraph" w:customStyle="1" w:styleId="Default">
    <w:name w:val="Default"/>
    <w:rsid w:val="00704DF2"/>
    <w:pPr>
      <w:autoSpaceDE w:val="0"/>
      <w:autoSpaceDN w:val="0"/>
      <w:adjustRightInd w:val="0"/>
    </w:pPr>
    <w:rP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41"/>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
    <w:name w:val="Chapter 5"/>
    <w:basedOn w:val="Chapter1"/>
    <w:link w:val="Chapter5Char"/>
    <w:rsid w:val="00120C68"/>
    <w:pPr>
      <w:numPr>
        <w:numId w:val="9"/>
      </w:numPr>
      <w:ind w:left="851" w:hanging="851"/>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
    <w:name w:val="Chapter 5 Char"/>
    <w:basedOn w:val="Chapter1Char1"/>
    <w:link w:val="Chapter5"/>
    <w:rsid w:val="00120C68"/>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75FED"/>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TOCHeading">
    <w:name w:val="TOC Heading"/>
    <w:basedOn w:val="Heading1"/>
    <w:next w:val="Normal"/>
    <w:uiPriority w:val="39"/>
    <w:semiHidden/>
    <w:unhideWhenUsed/>
    <w:qFormat/>
    <w:rsid w:val="00DF4085"/>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ListParagraph">
    <w:name w:val="List Paragraph"/>
    <w:basedOn w:val="Normal"/>
    <w:uiPriority w:val="34"/>
    <w:qFormat/>
    <w:rsid w:val="0052746B"/>
    <w:pPr>
      <w:ind w:left="720"/>
      <w:contextualSpacing/>
    </w:pPr>
  </w:style>
  <w:style w:type="character" w:styleId="HTMLDefinition">
    <w:name w:val="HTML Definition"/>
    <w:basedOn w:val="DefaultParagraphFont"/>
    <w:uiPriority w:val="99"/>
    <w:semiHidden/>
    <w:unhideWhenUsed/>
    <w:rsid w:val="008E6DCD"/>
    <w:rPr>
      <w:i/>
      <w:iCs/>
    </w:rPr>
  </w:style>
  <w:style w:type="character" w:customStyle="1" w:styleId="label">
    <w:name w:val="label"/>
    <w:basedOn w:val="DefaultParagraphFont"/>
    <w:rsid w:val="008E6DCD"/>
  </w:style>
  <w:style w:type="character" w:customStyle="1" w:styleId="spc1">
    <w:name w:val="spc1"/>
    <w:basedOn w:val="DefaultParagraphFont"/>
    <w:rsid w:val="008E6DCD"/>
    <w:rPr>
      <w:strike w:val="0"/>
      <w:dstrike w:val="0"/>
      <w:u w:val="none"/>
      <w:effect w:val="none"/>
    </w:rPr>
  </w:style>
  <w:style w:type="paragraph" w:customStyle="1" w:styleId="labelled4">
    <w:name w:val="labelled4"/>
    <w:basedOn w:val="Normal"/>
    <w:rsid w:val="008E6DCD"/>
    <w:pPr>
      <w:spacing w:line="288" w:lineRule="atLeast"/>
      <w:ind w:right="240"/>
      <w:jc w:val="left"/>
    </w:pPr>
    <w:rPr>
      <w:color w:val="000000"/>
      <w:szCs w:val="24"/>
      <w:lang w:val="en-NZ" w:eastAsia="en-NZ"/>
    </w:rPr>
  </w:style>
  <w:style w:type="paragraph" w:customStyle="1" w:styleId="term-list2">
    <w:name w:val="term-list2"/>
    <w:basedOn w:val="Normal"/>
    <w:rsid w:val="008E6DCD"/>
    <w:pPr>
      <w:spacing w:line="288" w:lineRule="atLeast"/>
      <w:jc w:val="left"/>
    </w:pPr>
    <w:rPr>
      <w:color w:val="000000"/>
      <w:sz w:val="19"/>
      <w:szCs w:val="19"/>
      <w:lang w:val="en-NZ" w:eastAsia="en-NZ"/>
    </w:rPr>
  </w:style>
  <w:style w:type="paragraph" w:customStyle="1" w:styleId="label9">
    <w:name w:val="label9"/>
    <w:basedOn w:val="Normal"/>
    <w:rsid w:val="008E6DCD"/>
    <w:pPr>
      <w:spacing w:line="288" w:lineRule="atLeast"/>
      <w:jc w:val="left"/>
    </w:pPr>
    <w:rPr>
      <w:color w:val="000000"/>
      <w:szCs w:val="24"/>
      <w:lang w:val="en-NZ" w:eastAsia="en-NZ"/>
    </w:rPr>
  </w:style>
  <w:style w:type="paragraph" w:customStyle="1" w:styleId="text1">
    <w:name w:val="text1"/>
    <w:basedOn w:val="Normal"/>
    <w:rsid w:val="008E6DCD"/>
    <w:pPr>
      <w:spacing w:line="288" w:lineRule="atLeast"/>
      <w:jc w:val="left"/>
    </w:pPr>
    <w:rPr>
      <w:color w:val="000000"/>
      <w:szCs w:val="24"/>
      <w:lang w:val="en-NZ" w:eastAsia="en-NZ"/>
    </w:rPr>
  </w:style>
  <w:style w:type="paragraph" w:customStyle="1" w:styleId="Default">
    <w:name w:val="Default"/>
    <w:rsid w:val="00704DF2"/>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5984">
      <w:bodyDiv w:val="1"/>
      <w:marLeft w:val="0"/>
      <w:marRight w:val="0"/>
      <w:marTop w:val="0"/>
      <w:marBottom w:val="0"/>
      <w:divBdr>
        <w:top w:val="none" w:sz="0" w:space="0" w:color="auto"/>
        <w:left w:val="none" w:sz="0" w:space="0" w:color="auto"/>
        <w:bottom w:val="none" w:sz="0" w:space="0" w:color="auto"/>
        <w:right w:val="none" w:sz="0" w:space="0" w:color="auto"/>
      </w:divBdr>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39557852">
      <w:bodyDiv w:val="1"/>
      <w:marLeft w:val="0"/>
      <w:marRight w:val="0"/>
      <w:marTop w:val="0"/>
      <w:marBottom w:val="0"/>
      <w:divBdr>
        <w:top w:val="none" w:sz="0" w:space="0" w:color="auto"/>
        <w:left w:val="none" w:sz="0" w:space="0" w:color="auto"/>
        <w:bottom w:val="none" w:sz="0" w:space="0" w:color="auto"/>
        <w:right w:val="none" w:sz="0" w:space="0" w:color="auto"/>
      </w:divBdr>
      <w:divsChild>
        <w:div w:id="925579989">
          <w:marLeft w:val="0"/>
          <w:marRight w:val="0"/>
          <w:marTop w:val="0"/>
          <w:marBottom w:val="0"/>
          <w:divBdr>
            <w:top w:val="none" w:sz="0" w:space="0" w:color="auto"/>
            <w:left w:val="none" w:sz="0" w:space="0" w:color="auto"/>
            <w:bottom w:val="none" w:sz="0" w:space="0" w:color="auto"/>
            <w:right w:val="none" w:sz="0" w:space="0" w:color="auto"/>
          </w:divBdr>
          <w:divsChild>
            <w:div w:id="662123959">
              <w:marLeft w:val="0"/>
              <w:marRight w:val="0"/>
              <w:marTop w:val="0"/>
              <w:marBottom w:val="0"/>
              <w:divBdr>
                <w:top w:val="none" w:sz="0" w:space="0" w:color="auto"/>
                <w:left w:val="none" w:sz="0" w:space="0" w:color="auto"/>
                <w:bottom w:val="none" w:sz="0" w:space="0" w:color="auto"/>
                <w:right w:val="none" w:sz="0" w:space="0" w:color="auto"/>
              </w:divBdr>
              <w:divsChild>
                <w:div w:id="2113628999">
                  <w:marLeft w:val="0"/>
                  <w:marRight w:val="0"/>
                  <w:marTop w:val="105"/>
                  <w:marBottom w:val="0"/>
                  <w:divBdr>
                    <w:top w:val="none" w:sz="0" w:space="0" w:color="auto"/>
                    <w:left w:val="none" w:sz="0" w:space="0" w:color="auto"/>
                    <w:bottom w:val="none" w:sz="0" w:space="0" w:color="auto"/>
                    <w:right w:val="none" w:sz="0" w:space="0" w:color="auto"/>
                  </w:divBdr>
                  <w:divsChild>
                    <w:div w:id="1470660587">
                      <w:marLeft w:val="450"/>
                      <w:marRight w:val="225"/>
                      <w:marTop w:val="0"/>
                      <w:marBottom w:val="0"/>
                      <w:divBdr>
                        <w:top w:val="none" w:sz="0" w:space="0" w:color="auto"/>
                        <w:left w:val="none" w:sz="0" w:space="0" w:color="auto"/>
                        <w:bottom w:val="none" w:sz="0" w:space="0" w:color="auto"/>
                        <w:right w:val="none" w:sz="0" w:space="0" w:color="auto"/>
                      </w:divBdr>
                      <w:divsChild>
                        <w:div w:id="1460798763">
                          <w:marLeft w:val="0"/>
                          <w:marRight w:val="0"/>
                          <w:marTop w:val="0"/>
                          <w:marBottom w:val="600"/>
                          <w:divBdr>
                            <w:top w:val="single" w:sz="6" w:space="0" w:color="314664"/>
                            <w:left w:val="single" w:sz="6" w:space="0" w:color="314664"/>
                            <w:bottom w:val="single" w:sz="6" w:space="0" w:color="314664"/>
                            <w:right w:val="single" w:sz="6" w:space="0" w:color="314664"/>
                          </w:divBdr>
                          <w:divsChild>
                            <w:div w:id="1428378972">
                              <w:marLeft w:val="0"/>
                              <w:marRight w:val="0"/>
                              <w:marTop w:val="0"/>
                              <w:marBottom w:val="0"/>
                              <w:divBdr>
                                <w:top w:val="none" w:sz="0" w:space="0" w:color="auto"/>
                                <w:left w:val="none" w:sz="0" w:space="0" w:color="auto"/>
                                <w:bottom w:val="none" w:sz="0" w:space="0" w:color="auto"/>
                                <w:right w:val="none" w:sz="0" w:space="0" w:color="auto"/>
                              </w:divBdr>
                              <w:divsChild>
                                <w:div w:id="1421488614">
                                  <w:marLeft w:val="0"/>
                                  <w:marRight w:val="0"/>
                                  <w:marTop w:val="0"/>
                                  <w:marBottom w:val="0"/>
                                  <w:divBdr>
                                    <w:top w:val="none" w:sz="0" w:space="0" w:color="auto"/>
                                    <w:left w:val="none" w:sz="0" w:space="0" w:color="auto"/>
                                    <w:bottom w:val="none" w:sz="0" w:space="0" w:color="auto"/>
                                    <w:right w:val="none" w:sz="0" w:space="0" w:color="auto"/>
                                  </w:divBdr>
                                  <w:divsChild>
                                    <w:div w:id="7172420">
                                      <w:marLeft w:val="0"/>
                                      <w:marRight w:val="0"/>
                                      <w:marTop w:val="0"/>
                                      <w:marBottom w:val="0"/>
                                      <w:divBdr>
                                        <w:top w:val="none" w:sz="0" w:space="0" w:color="auto"/>
                                        <w:left w:val="none" w:sz="0" w:space="0" w:color="auto"/>
                                        <w:bottom w:val="none" w:sz="0" w:space="0" w:color="auto"/>
                                        <w:right w:val="none" w:sz="0" w:space="0" w:color="auto"/>
                                      </w:divBdr>
                                      <w:divsChild>
                                        <w:div w:id="1364555571">
                                          <w:marLeft w:val="0"/>
                                          <w:marRight w:val="0"/>
                                          <w:marTop w:val="0"/>
                                          <w:marBottom w:val="0"/>
                                          <w:divBdr>
                                            <w:top w:val="none" w:sz="0" w:space="0" w:color="auto"/>
                                            <w:left w:val="none" w:sz="0" w:space="0" w:color="auto"/>
                                            <w:bottom w:val="none" w:sz="0" w:space="0" w:color="auto"/>
                                            <w:right w:val="none" w:sz="0" w:space="0" w:color="auto"/>
                                          </w:divBdr>
                                          <w:divsChild>
                                            <w:div w:id="1441029178">
                                              <w:marLeft w:val="0"/>
                                              <w:marRight w:val="0"/>
                                              <w:marTop w:val="0"/>
                                              <w:marBottom w:val="0"/>
                                              <w:divBdr>
                                                <w:top w:val="none" w:sz="0" w:space="0" w:color="auto"/>
                                                <w:left w:val="none" w:sz="0" w:space="0" w:color="auto"/>
                                                <w:bottom w:val="none" w:sz="0" w:space="0" w:color="auto"/>
                                                <w:right w:val="none" w:sz="0" w:space="0" w:color="auto"/>
                                              </w:divBdr>
                                              <w:divsChild>
                                                <w:div w:id="926573594">
                                                  <w:marLeft w:val="0"/>
                                                  <w:marRight w:val="0"/>
                                                  <w:marTop w:val="0"/>
                                                  <w:marBottom w:val="0"/>
                                                  <w:divBdr>
                                                    <w:top w:val="none" w:sz="0" w:space="0" w:color="auto"/>
                                                    <w:left w:val="none" w:sz="0" w:space="0" w:color="auto"/>
                                                    <w:bottom w:val="none" w:sz="0" w:space="0" w:color="auto"/>
                                                    <w:right w:val="none" w:sz="0" w:space="0" w:color="auto"/>
                                                  </w:divBdr>
                                                  <w:divsChild>
                                                    <w:div w:id="713192474">
                                                      <w:marLeft w:val="0"/>
                                                      <w:marRight w:val="0"/>
                                                      <w:marTop w:val="0"/>
                                                      <w:marBottom w:val="0"/>
                                                      <w:divBdr>
                                                        <w:top w:val="none" w:sz="0" w:space="0" w:color="auto"/>
                                                        <w:left w:val="none" w:sz="0" w:space="0" w:color="auto"/>
                                                        <w:bottom w:val="none" w:sz="0" w:space="0" w:color="auto"/>
                                                        <w:right w:val="none" w:sz="0" w:space="0" w:color="auto"/>
                                                      </w:divBdr>
                                                      <w:divsChild>
                                                        <w:div w:id="105740872">
                                                          <w:marLeft w:val="0"/>
                                                          <w:marRight w:val="0"/>
                                                          <w:marTop w:val="0"/>
                                                          <w:marBottom w:val="0"/>
                                                          <w:divBdr>
                                                            <w:top w:val="none" w:sz="0" w:space="0" w:color="auto"/>
                                                            <w:left w:val="none" w:sz="0" w:space="0" w:color="auto"/>
                                                            <w:bottom w:val="none" w:sz="0" w:space="0" w:color="auto"/>
                                                            <w:right w:val="none" w:sz="0" w:space="0" w:color="auto"/>
                                                          </w:divBdr>
                                                        </w:div>
                                                        <w:div w:id="233130092">
                                                          <w:marLeft w:val="0"/>
                                                          <w:marRight w:val="0"/>
                                                          <w:marTop w:val="0"/>
                                                          <w:marBottom w:val="0"/>
                                                          <w:divBdr>
                                                            <w:top w:val="none" w:sz="0" w:space="0" w:color="auto"/>
                                                            <w:left w:val="none" w:sz="0" w:space="0" w:color="auto"/>
                                                            <w:bottom w:val="none" w:sz="0" w:space="0" w:color="auto"/>
                                                            <w:right w:val="none" w:sz="0" w:space="0" w:color="auto"/>
                                                          </w:divBdr>
                                                        </w:div>
                                                        <w:div w:id="854341827">
                                                          <w:marLeft w:val="0"/>
                                                          <w:marRight w:val="0"/>
                                                          <w:marTop w:val="0"/>
                                                          <w:marBottom w:val="0"/>
                                                          <w:divBdr>
                                                            <w:top w:val="none" w:sz="0" w:space="0" w:color="auto"/>
                                                            <w:left w:val="none" w:sz="0" w:space="0" w:color="auto"/>
                                                            <w:bottom w:val="none" w:sz="0" w:space="0" w:color="auto"/>
                                                            <w:right w:val="none" w:sz="0" w:space="0" w:color="auto"/>
                                                          </w:divBdr>
                                                        </w:div>
                                                        <w:div w:id="920481538">
                                                          <w:marLeft w:val="0"/>
                                                          <w:marRight w:val="0"/>
                                                          <w:marTop w:val="0"/>
                                                          <w:marBottom w:val="0"/>
                                                          <w:divBdr>
                                                            <w:top w:val="none" w:sz="0" w:space="0" w:color="auto"/>
                                                            <w:left w:val="none" w:sz="0" w:space="0" w:color="auto"/>
                                                            <w:bottom w:val="none" w:sz="0" w:space="0" w:color="auto"/>
                                                            <w:right w:val="none" w:sz="0" w:space="0" w:color="auto"/>
                                                          </w:divBdr>
                                                        </w:div>
                                                        <w:div w:id="980422723">
                                                          <w:marLeft w:val="0"/>
                                                          <w:marRight w:val="0"/>
                                                          <w:marTop w:val="0"/>
                                                          <w:marBottom w:val="0"/>
                                                          <w:divBdr>
                                                            <w:top w:val="none" w:sz="0" w:space="0" w:color="auto"/>
                                                            <w:left w:val="none" w:sz="0" w:space="0" w:color="auto"/>
                                                            <w:bottom w:val="none" w:sz="0" w:space="0" w:color="auto"/>
                                                            <w:right w:val="none" w:sz="0" w:space="0" w:color="auto"/>
                                                          </w:divBdr>
                                                        </w:div>
                                                        <w:div w:id="985816946">
                                                          <w:marLeft w:val="0"/>
                                                          <w:marRight w:val="0"/>
                                                          <w:marTop w:val="0"/>
                                                          <w:marBottom w:val="0"/>
                                                          <w:divBdr>
                                                            <w:top w:val="none" w:sz="0" w:space="0" w:color="auto"/>
                                                            <w:left w:val="none" w:sz="0" w:space="0" w:color="auto"/>
                                                            <w:bottom w:val="none" w:sz="0" w:space="0" w:color="auto"/>
                                                            <w:right w:val="none" w:sz="0" w:space="0" w:color="auto"/>
                                                          </w:divBdr>
                                                        </w:div>
                                                        <w:div w:id="1310162551">
                                                          <w:marLeft w:val="0"/>
                                                          <w:marRight w:val="0"/>
                                                          <w:marTop w:val="0"/>
                                                          <w:marBottom w:val="0"/>
                                                          <w:divBdr>
                                                            <w:top w:val="none" w:sz="0" w:space="0" w:color="auto"/>
                                                            <w:left w:val="none" w:sz="0" w:space="0" w:color="auto"/>
                                                            <w:bottom w:val="none" w:sz="0" w:space="0" w:color="auto"/>
                                                            <w:right w:val="none" w:sz="0" w:space="0" w:color="auto"/>
                                                          </w:divBdr>
                                                        </w:div>
                                                        <w:div w:id="1357929009">
                                                          <w:marLeft w:val="0"/>
                                                          <w:marRight w:val="0"/>
                                                          <w:marTop w:val="0"/>
                                                          <w:marBottom w:val="0"/>
                                                          <w:divBdr>
                                                            <w:top w:val="none" w:sz="0" w:space="0" w:color="auto"/>
                                                            <w:left w:val="none" w:sz="0" w:space="0" w:color="auto"/>
                                                            <w:bottom w:val="none" w:sz="0" w:space="0" w:color="auto"/>
                                                            <w:right w:val="none" w:sz="0" w:space="0" w:color="auto"/>
                                                          </w:divBdr>
                                                        </w:div>
                                                        <w:div w:id="1739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455931">
      <w:bodyDiv w:val="1"/>
      <w:marLeft w:val="0"/>
      <w:marRight w:val="0"/>
      <w:marTop w:val="0"/>
      <w:marBottom w:val="0"/>
      <w:divBdr>
        <w:top w:val="none" w:sz="0" w:space="0" w:color="auto"/>
        <w:left w:val="none" w:sz="0" w:space="0" w:color="auto"/>
        <w:bottom w:val="none" w:sz="0" w:space="0" w:color="auto"/>
        <w:right w:val="none" w:sz="0" w:space="0" w:color="auto"/>
      </w:divBdr>
      <w:divsChild>
        <w:div w:id="1621181108">
          <w:marLeft w:val="0"/>
          <w:marRight w:val="0"/>
          <w:marTop w:val="0"/>
          <w:marBottom w:val="0"/>
          <w:divBdr>
            <w:top w:val="none" w:sz="0" w:space="0" w:color="auto"/>
            <w:left w:val="none" w:sz="0" w:space="0" w:color="auto"/>
            <w:bottom w:val="none" w:sz="0" w:space="0" w:color="auto"/>
            <w:right w:val="none" w:sz="0" w:space="0" w:color="auto"/>
          </w:divBdr>
          <w:divsChild>
            <w:div w:id="872696663">
              <w:marLeft w:val="0"/>
              <w:marRight w:val="0"/>
              <w:marTop w:val="0"/>
              <w:marBottom w:val="0"/>
              <w:divBdr>
                <w:top w:val="none" w:sz="0" w:space="0" w:color="auto"/>
                <w:left w:val="none" w:sz="0" w:space="0" w:color="auto"/>
                <w:bottom w:val="none" w:sz="0" w:space="0" w:color="auto"/>
                <w:right w:val="none" w:sz="0" w:space="0" w:color="auto"/>
              </w:divBdr>
              <w:divsChild>
                <w:div w:id="2146194970">
                  <w:marLeft w:val="0"/>
                  <w:marRight w:val="0"/>
                  <w:marTop w:val="105"/>
                  <w:marBottom w:val="0"/>
                  <w:divBdr>
                    <w:top w:val="none" w:sz="0" w:space="0" w:color="auto"/>
                    <w:left w:val="none" w:sz="0" w:space="0" w:color="auto"/>
                    <w:bottom w:val="none" w:sz="0" w:space="0" w:color="auto"/>
                    <w:right w:val="none" w:sz="0" w:space="0" w:color="auto"/>
                  </w:divBdr>
                  <w:divsChild>
                    <w:div w:id="1985893035">
                      <w:marLeft w:val="450"/>
                      <w:marRight w:val="225"/>
                      <w:marTop w:val="0"/>
                      <w:marBottom w:val="0"/>
                      <w:divBdr>
                        <w:top w:val="none" w:sz="0" w:space="0" w:color="auto"/>
                        <w:left w:val="none" w:sz="0" w:space="0" w:color="auto"/>
                        <w:bottom w:val="none" w:sz="0" w:space="0" w:color="auto"/>
                        <w:right w:val="none" w:sz="0" w:space="0" w:color="auto"/>
                      </w:divBdr>
                      <w:divsChild>
                        <w:div w:id="27266929">
                          <w:marLeft w:val="0"/>
                          <w:marRight w:val="0"/>
                          <w:marTop w:val="0"/>
                          <w:marBottom w:val="600"/>
                          <w:divBdr>
                            <w:top w:val="single" w:sz="6" w:space="0" w:color="314664"/>
                            <w:left w:val="single" w:sz="6" w:space="0" w:color="314664"/>
                            <w:bottom w:val="single" w:sz="6" w:space="0" w:color="314664"/>
                            <w:right w:val="single" w:sz="6" w:space="0" w:color="314664"/>
                          </w:divBdr>
                          <w:divsChild>
                            <w:div w:id="567618796">
                              <w:marLeft w:val="0"/>
                              <w:marRight w:val="0"/>
                              <w:marTop w:val="0"/>
                              <w:marBottom w:val="0"/>
                              <w:divBdr>
                                <w:top w:val="none" w:sz="0" w:space="0" w:color="auto"/>
                                <w:left w:val="none" w:sz="0" w:space="0" w:color="auto"/>
                                <w:bottom w:val="none" w:sz="0" w:space="0" w:color="auto"/>
                                <w:right w:val="none" w:sz="0" w:space="0" w:color="auto"/>
                              </w:divBdr>
                              <w:divsChild>
                                <w:div w:id="443888474">
                                  <w:marLeft w:val="0"/>
                                  <w:marRight w:val="0"/>
                                  <w:marTop w:val="0"/>
                                  <w:marBottom w:val="0"/>
                                  <w:divBdr>
                                    <w:top w:val="none" w:sz="0" w:space="0" w:color="auto"/>
                                    <w:left w:val="none" w:sz="0" w:space="0" w:color="auto"/>
                                    <w:bottom w:val="none" w:sz="0" w:space="0" w:color="auto"/>
                                    <w:right w:val="none" w:sz="0" w:space="0" w:color="auto"/>
                                  </w:divBdr>
                                  <w:divsChild>
                                    <w:div w:id="89469719">
                                      <w:marLeft w:val="0"/>
                                      <w:marRight w:val="0"/>
                                      <w:marTop w:val="0"/>
                                      <w:marBottom w:val="0"/>
                                      <w:divBdr>
                                        <w:top w:val="none" w:sz="0" w:space="0" w:color="auto"/>
                                        <w:left w:val="none" w:sz="0" w:space="0" w:color="auto"/>
                                        <w:bottom w:val="none" w:sz="0" w:space="0" w:color="auto"/>
                                        <w:right w:val="none" w:sz="0" w:space="0" w:color="auto"/>
                                      </w:divBdr>
                                      <w:divsChild>
                                        <w:div w:id="1732263627">
                                          <w:marLeft w:val="0"/>
                                          <w:marRight w:val="0"/>
                                          <w:marTop w:val="0"/>
                                          <w:marBottom w:val="0"/>
                                          <w:divBdr>
                                            <w:top w:val="none" w:sz="0" w:space="0" w:color="auto"/>
                                            <w:left w:val="none" w:sz="0" w:space="0" w:color="auto"/>
                                            <w:bottom w:val="none" w:sz="0" w:space="0" w:color="auto"/>
                                            <w:right w:val="none" w:sz="0" w:space="0" w:color="auto"/>
                                          </w:divBdr>
                                          <w:divsChild>
                                            <w:div w:id="1670479456">
                                              <w:marLeft w:val="0"/>
                                              <w:marRight w:val="0"/>
                                              <w:marTop w:val="0"/>
                                              <w:marBottom w:val="0"/>
                                              <w:divBdr>
                                                <w:top w:val="none" w:sz="0" w:space="0" w:color="auto"/>
                                                <w:left w:val="none" w:sz="0" w:space="0" w:color="auto"/>
                                                <w:bottom w:val="none" w:sz="0" w:space="0" w:color="auto"/>
                                                <w:right w:val="none" w:sz="0" w:space="0" w:color="auto"/>
                                              </w:divBdr>
                                              <w:divsChild>
                                                <w:div w:id="1666935881">
                                                  <w:marLeft w:val="0"/>
                                                  <w:marRight w:val="0"/>
                                                  <w:marTop w:val="0"/>
                                                  <w:marBottom w:val="0"/>
                                                  <w:divBdr>
                                                    <w:top w:val="none" w:sz="0" w:space="0" w:color="auto"/>
                                                    <w:left w:val="none" w:sz="0" w:space="0" w:color="auto"/>
                                                    <w:bottom w:val="none" w:sz="0" w:space="0" w:color="auto"/>
                                                    <w:right w:val="none" w:sz="0" w:space="0" w:color="auto"/>
                                                  </w:divBdr>
                                                  <w:divsChild>
                                                    <w:div w:id="732195039">
                                                      <w:marLeft w:val="0"/>
                                                      <w:marRight w:val="0"/>
                                                      <w:marTop w:val="0"/>
                                                      <w:marBottom w:val="0"/>
                                                      <w:divBdr>
                                                        <w:top w:val="none" w:sz="0" w:space="0" w:color="auto"/>
                                                        <w:left w:val="none" w:sz="0" w:space="0" w:color="auto"/>
                                                        <w:bottom w:val="none" w:sz="0" w:space="0" w:color="auto"/>
                                                        <w:right w:val="none" w:sz="0" w:space="0" w:color="auto"/>
                                                      </w:divBdr>
                                                      <w:divsChild>
                                                        <w:div w:id="1706712038">
                                                          <w:marLeft w:val="0"/>
                                                          <w:marRight w:val="0"/>
                                                          <w:marTop w:val="0"/>
                                                          <w:marBottom w:val="0"/>
                                                          <w:divBdr>
                                                            <w:top w:val="none" w:sz="0" w:space="0" w:color="auto"/>
                                                            <w:left w:val="none" w:sz="0" w:space="0" w:color="auto"/>
                                                            <w:bottom w:val="none" w:sz="0" w:space="0" w:color="auto"/>
                                                            <w:right w:val="none" w:sz="0" w:space="0" w:color="auto"/>
                                                          </w:divBdr>
                                                          <w:divsChild>
                                                            <w:div w:id="1549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617743">
      <w:bodyDiv w:val="1"/>
      <w:marLeft w:val="0"/>
      <w:marRight w:val="0"/>
      <w:marTop w:val="0"/>
      <w:marBottom w:val="0"/>
      <w:divBdr>
        <w:top w:val="none" w:sz="0" w:space="0" w:color="auto"/>
        <w:left w:val="none" w:sz="0" w:space="0" w:color="auto"/>
        <w:bottom w:val="none" w:sz="0" w:space="0" w:color="auto"/>
        <w:right w:val="none" w:sz="0" w:space="0" w:color="auto"/>
      </w:divBdr>
      <w:divsChild>
        <w:div w:id="71901710">
          <w:marLeft w:val="0"/>
          <w:marRight w:val="0"/>
          <w:marTop w:val="0"/>
          <w:marBottom w:val="0"/>
          <w:divBdr>
            <w:top w:val="none" w:sz="0" w:space="0" w:color="auto"/>
            <w:left w:val="none" w:sz="0" w:space="0" w:color="auto"/>
            <w:bottom w:val="none" w:sz="0" w:space="0" w:color="auto"/>
            <w:right w:val="none" w:sz="0" w:space="0" w:color="auto"/>
          </w:divBdr>
          <w:divsChild>
            <w:div w:id="838230923">
              <w:marLeft w:val="0"/>
              <w:marRight w:val="0"/>
              <w:marTop w:val="0"/>
              <w:marBottom w:val="0"/>
              <w:divBdr>
                <w:top w:val="none" w:sz="0" w:space="0" w:color="auto"/>
                <w:left w:val="none" w:sz="0" w:space="0" w:color="auto"/>
                <w:bottom w:val="none" w:sz="0" w:space="0" w:color="auto"/>
                <w:right w:val="none" w:sz="0" w:space="0" w:color="auto"/>
              </w:divBdr>
              <w:divsChild>
                <w:div w:id="1576158838">
                  <w:marLeft w:val="0"/>
                  <w:marRight w:val="0"/>
                  <w:marTop w:val="105"/>
                  <w:marBottom w:val="0"/>
                  <w:divBdr>
                    <w:top w:val="none" w:sz="0" w:space="0" w:color="auto"/>
                    <w:left w:val="none" w:sz="0" w:space="0" w:color="auto"/>
                    <w:bottom w:val="none" w:sz="0" w:space="0" w:color="auto"/>
                    <w:right w:val="none" w:sz="0" w:space="0" w:color="auto"/>
                  </w:divBdr>
                  <w:divsChild>
                    <w:div w:id="1081097242">
                      <w:marLeft w:val="450"/>
                      <w:marRight w:val="225"/>
                      <w:marTop w:val="0"/>
                      <w:marBottom w:val="0"/>
                      <w:divBdr>
                        <w:top w:val="none" w:sz="0" w:space="0" w:color="auto"/>
                        <w:left w:val="none" w:sz="0" w:space="0" w:color="auto"/>
                        <w:bottom w:val="none" w:sz="0" w:space="0" w:color="auto"/>
                        <w:right w:val="none" w:sz="0" w:space="0" w:color="auto"/>
                      </w:divBdr>
                      <w:divsChild>
                        <w:div w:id="1720275935">
                          <w:marLeft w:val="0"/>
                          <w:marRight w:val="0"/>
                          <w:marTop w:val="0"/>
                          <w:marBottom w:val="600"/>
                          <w:divBdr>
                            <w:top w:val="single" w:sz="6" w:space="0" w:color="314664"/>
                            <w:left w:val="single" w:sz="6" w:space="0" w:color="314664"/>
                            <w:bottom w:val="single" w:sz="6" w:space="0" w:color="314664"/>
                            <w:right w:val="single" w:sz="6" w:space="0" w:color="314664"/>
                          </w:divBdr>
                          <w:divsChild>
                            <w:div w:id="425153111">
                              <w:marLeft w:val="0"/>
                              <w:marRight w:val="0"/>
                              <w:marTop w:val="0"/>
                              <w:marBottom w:val="0"/>
                              <w:divBdr>
                                <w:top w:val="none" w:sz="0" w:space="0" w:color="auto"/>
                                <w:left w:val="none" w:sz="0" w:space="0" w:color="auto"/>
                                <w:bottom w:val="none" w:sz="0" w:space="0" w:color="auto"/>
                                <w:right w:val="none" w:sz="0" w:space="0" w:color="auto"/>
                              </w:divBdr>
                              <w:divsChild>
                                <w:div w:id="511647336">
                                  <w:marLeft w:val="0"/>
                                  <w:marRight w:val="0"/>
                                  <w:marTop w:val="0"/>
                                  <w:marBottom w:val="0"/>
                                  <w:divBdr>
                                    <w:top w:val="none" w:sz="0" w:space="0" w:color="auto"/>
                                    <w:left w:val="none" w:sz="0" w:space="0" w:color="auto"/>
                                    <w:bottom w:val="none" w:sz="0" w:space="0" w:color="auto"/>
                                    <w:right w:val="none" w:sz="0" w:space="0" w:color="auto"/>
                                  </w:divBdr>
                                  <w:divsChild>
                                    <w:div w:id="1341160671">
                                      <w:marLeft w:val="0"/>
                                      <w:marRight w:val="0"/>
                                      <w:marTop w:val="0"/>
                                      <w:marBottom w:val="0"/>
                                      <w:divBdr>
                                        <w:top w:val="none" w:sz="0" w:space="0" w:color="auto"/>
                                        <w:left w:val="none" w:sz="0" w:space="0" w:color="auto"/>
                                        <w:bottom w:val="none" w:sz="0" w:space="0" w:color="auto"/>
                                        <w:right w:val="none" w:sz="0" w:space="0" w:color="auto"/>
                                      </w:divBdr>
                                      <w:divsChild>
                                        <w:div w:id="1504321580">
                                          <w:marLeft w:val="0"/>
                                          <w:marRight w:val="0"/>
                                          <w:marTop w:val="0"/>
                                          <w:marBottom w:val="0"/>
                                          <w:divBdr>
                                            <w:top w:val="none" w:sz="0" w:space="0" w:color="auto"/>
                                            <w:left w:val="none" w:sz="0" w:space="0" w:color="auto"/>
                                            <w:bottom w:val="none" w:sz="0" w:space="0" w:color="auto"/>
                                            <w:right w:val="none" w:sz="0" w:space="0" w:color="auto"/>
                                          </w:divBdr>
                                          <w:divsChild>
                                            <w:div w:id="1633556914">
                                              <w:marLeft w:val="0"/>
                                              <w:marRight w:val="0"/>
                                              <w:marTop w:val="0"/>
                                              <w:marBottom w:val="0"/>
                                              <w:divBdr>
                                                <w:top w:val="none" w:sz="0" w:space="0" w:color="auto"/>
                                                <w:left w:val="none" w:sz="0" w:space="0" w:color="auto"/>
                                                <w:bottom w:val="none" w:sz="0" w:space="0" w:color="auto"/>
                                                <w:right w:val="none" w:sz="0" w:space="0" w:color="auto"/>
                                              </w:divBdr>
                                              <w:divsChild>
                                                <w:div w:id="929316267">
                                                  <w:marLeft w:val="0"/>
                                                  <w:marRight w:val="0"/>
                                                  <w:marTop w:val="0"/>
                                                  <w:marBottom w:val="0"/>
                                                  <w:divBdr>
                                                    <w:top w:val="none" w:sz="0" w:space="0" w:color="auto"/>
                                                    <w:left w:val="none" w:sz="0" w:space="0" w:color="auto"/>
                                                    <w:bottom w:val="none" w:sz="0" w:space="0" w:color="auto"/>
                                                    <w:right w:val="none" w:sz="0" w:space="0" w:color="auto"/>
                                                  </w:divBdr>
                                                  <w:divsChild>
                                                    <w:div w:id="786586165">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 w:id="751974605">
                                                          <w:marLeft w:val="0"/>
                                                          <w:marRight w:val="0"/>
                                                          <w:marTop w:val="0"/>
                                                          <w:marBottom w:val="0"/>
                                                          <w:divBdr>
                                                            <w:top w:val="none" w:sz="0" w:space="0" w:color="auto"/>
                                                            <w:left w:val="none" w:sz="0" w:space="0" w:color="auto"/>
                                                            <w:bottom w:val="none" w:sz="0" w:space="0" w:color="auto"/>
                                                            <w:right w:val="none" w:sz="0" w:space="0" w:color="auto"/>
                                                          </w:divBdr>
                                                        </w:div>
                                                        <w:div w:id="2087723674">
                                                          <w:marLeft w:val="0"/>
                                                          <w:marRight w:val="0"/>
                                                          <w:marTop w:val="0"/>
                                                          <w:marBottom w:val="0"/>
                                                          <w:divBdr>
                                                            <w:top w:val="none" w:sz="0" w:space="0" w:color="auto"/>
                                                            <w:left w:val="none" w:sz="0" w:space="0" w:color="auto"/>
                                                            <w:bottom w:val="none" w:sz="0" w:space="0" w:color="auto"/>
                                                            <w:right w:val="none" w:sz="0" w:space="0" w:color="auto"/>
                                                          </w:divBdr>
                                                        </w:div>
                                                        <w:div w:id="21387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268742">
      <w:bodyDiv w:val="1"/>
      <w:marLeft w:val="0"/>
      <w:marRight w:val="0"/>
      <w:marTop w:val="0"/>
      <w:marBottom w:val="0"/>
      <w:divBdr>
        <w:top w:val="none" w:sz="0" w:space="0" w:color="auto"/>
        <w:left w:val="none" w:sz="0" w:space="0" w:color="auto"/>
        <w:bottom w:val="none" w:sz="0" w:space="0" w:color="auto"/>
        <w:right w:val="none" w:sz="0" w:space="0" w:color="auto"/>
      </w:divBdr>
      <w:divsChild>
        <w:div w:id="2063359961">
          <w:marLeft w:val="0"/>
          <w:marRight w:val="0"/>
          <w:marTop w:val="0"/>
          <w:marBottom w:val="0"/>
          <w:divBdr>
            <w:top w:val="none" w:sz="0" w:space="0" w:color="auto"/>
            <w:left w:val="none" w:sz="0" w:space="0" w:color="auto"/>
            <w:bottom w:val="none" w:sz="0" w:space="0" w:color="auto"/>
            <w:right w:val="none" w:sz="0" w:space="0" w:color="auto"/>
          </w:divBdr>
          <w:divsChild>
            <w:div w:id="689448922">
              <w:marLeft w:val="0"/>
              <w:marRight w:val="0"/>
              <w:marTop w:val="0"/>
              <w:marBottom w:val="0"/>
              <w:divBdr>
                <w:top w:val="none" w:sz="0" w:space="0" w:color="auto"/>
                <w:left w:val="none" w:sz="0" w:space="0" w:color="auto"/>
                <w:bottom w:val="none" w:sz="0" w:space="0" w:color="auto"/>
                <w:right w:val="none" w:sz="0" w:space="0" w:color="auto"/>
              </w:divBdr>
              <w:divsChild>
                <w:div w:id="778715625">
                  <w:marLeft w:val="0"/>
                  <w:marRight w:val="0"/>
                  <w:marTop w:val="105"/>
                  <w:marBottom w:val="0"/>
                  <w:divBdr>
                    <w:top w:val="none" w:sz="0" w:space="0" w:color="auto"/>
                    <w:left w:val="none" w:sz="0" w:space="0" w:color="auto"/>
                    <w:bottom w:val="none" w:sz="0" w:space="0" w:color="auto"/>
                    <w:right w:val="none" w:sz="0" w:space="0" w:color="auto"/>
                  </w:divBdr>
                  <w:divsChild>
                    <w:div w:id="520629059">
                      <w:marLeft w:val="450"/>
                      <w:marRight w:val="225"/>
                      <w:marTop w:val="0"/>
                      <w:marBottom w:val="0"/>
                      <w:divBdr>
                        <w:top w:val="none" w:sz="0" w:space="0" w:color="auto"/>
                        <w:left w:val="none" w:sz="0" w:space="0" w:color="auto"/>
                        <w:bottom w:val="none" w:sz="0" w:space="0" w:color="auto"/>
                        <w:right w:val="none" w:sz="0" w:space="0" w:color="auto"/>
                      </w:divBdr>
                      <w:divsChild>
                        <w:div w:id="1545292052">
                          <w:marLeft w:val="0"/>
                          <w:marRight w:val="0"/>
                          <w:marTop w:val="0"/>
                          <w:marBottom w:val="600"/>
                          <w:divBdr>
                            <w:top w:val="single" w:sz="6" w:space="0" w:color="314664"/>
                            <w:left w:val="single" w:sz="6" w:space="0" w:color="314664"/>
                            <w:bottom w:val="single" w:sz="6" w:space="0" w:color="314664"/>
                            <w:right w:val="single" w:sz="6" w:space="0" w:color="314664"/>
                          </w:divBdr>
                          <w:divsChild>
                            <w:div w:id="779567888">
                              <w:marLeft w:val="0"/>
                              <w:marRight w:val="0"/>
                              <w:marTop w:val="0"/>
                              <w:marBottom w:val="0"/>
                              <w:divBdr>
                                <w:top w:val="none" w:sz="0" w:space="0" w:color="auto"/>
                                <w:left w:val="none" w:sz="0" w:space="0" w:color="auto"/>
                                <w:bottom w:val="none" w:sz="0" w:space="0" w:color="auto"/>
                                <w:right w:val="none" w:sz="0" w:space="0" w:color="auto"/>
                              </w:divBdr>
                              <w:divsChild>
                                <w:div w:id="2034189762">
                                  <w:marLeft w:val="0"/>
                                  <w:marRight w:val="0"/>
                                  <w:marTop w:val="0"/>
                                  <w:marBottom w:val="0"/>
                                  <w:divBdr>
                                    <w:top w:val="none" w:sz="0" w:space="0" w:color="auto"/>
                                    <w:left w:val="none" w:sz="0" w:space="0" w:color="auto"/>
                                    <w:bottom w:val="none" w:sz="0" w:space="0" w:color="auto"/>
                                    <w:right w:val="none" w:sz="0" w:space="0" w:color="auto"/>
                                  </w:divBdr>
                                  <w:divsChild>
                                    <w:div w:id="1542329549">
                                      <w:marLeft w:val="0"/>
                                      <w:marRight w:val="0"/>
                                      <w:marTop w:val="0"/>
                                      <w:marBottom w:val="0"/>
                                      <w:divBdr>
                                        <w:top w:val="none" w:sz="0" w:space="0" w:color="auto"/>
                                        <w:left w:val="none" w:sz="0" w:space="0" w:color="auto"/>
                                        <w:bottom w:val="none" w:sz="0" w:space="0" w:color="auto"/>
                                        <w:right w:val="none" w:sz="0" w:space="0" w:color="auto"/>
                                      </w:divBdr>
                                      <w:divsChild>
                                        <w:div w:id="337079633">
                                          <w:marLeft w:val="0"/>
                                          <w:marRight w:val="0"/>
                                          <w:marTop w:val="0"/>
                                          <w:marBottom w:val="0"/>
                                          <w:divBdr>
                                            <w:top w:val="none" w:sz="0" w:space="0" w:color="auto"/>
                                            <w:left w:val="none" w:sz="0" w:space="0" w:color="auto"/>
                                            <w:bottom w:val="none" w:sz="0" w:space="0" w:color="auto"/>
                                            <w:right w:val="none" w:sz="0" w:space="0" w:color="auto"/>
                                          </w:divBdr>
                                          <w:divsChild>
                                            <w:div w:id="1175151003">
                                              <w:marLeft w:val="0"/>
                                              <w:marRight w:val="0"/>
                                              <w:marTop w:val="0"/>
                                              <w:marBottom w:val="0"/>
                                              <w:divBdr>
                                                <w:top w:val="none" w:sz="0" w:space="0" w:color="auto"/>
                                                <w:left w:val="none" w:sz="0" w:space="0" w:color="auto"/>
                                                <w:bottom w:val="none" w:sz="0" w:space="0" w:color="auto"/>
                                                <w:right w:val="none" w:sz="0" w:space="0" w:color="auto"/>
                                              </w:divBdr>
                                              <w:divsChild>
                                                <w:div w:id="413665259">
                                                  <w:marLeft w:val="0"/>
                                                  <w:marRight w:val="0"/>
                                                  <w:marTop w:val="0"/>
                                                  <w:marBottom w:val="0"/>
                                                  <w:divBdr>
                                                    <w:top w:val="none" w:sz="0" w:space="0" w:color="auto"/>
                                                    <w:left w:val="none" w:sz="0" w:space="0" w:color="auto"/>
                                                    <w:bottom w:val="none" w:sz="0" w:space="0" w:color="auto"/>
                                                    <w:right w:val="none" w:sz="0" w:space="0" w:color="auto"/>
                                                  </w:divBdr>
                                                  <w:divsChild>
                                                    <w:div w:id="378240329">
                                                      <w:marLeft w:val="0"/>
                                                      <w:marRight w:val="0"/>
                                                      <w:marTop w:val="0"/>
                                                      <w:marBottom w:val="0"/>
                                                      <w:divBdr>
                                                        <w:top w:val="none" w:sz="0" w:space="0" w:color="auto"/>
                                                        <w:left w:val="none" w:sz="0" w:space="0" w:color="auto"/>
                                                        <w:bottom w:val="none" w:sz="0" w:space="0" w:color="auto"/>
                                                        <w:right w:val="none" w:sz="0" w:space="0" w:color="auto"/>
                                                      </w:divBdr>
                                                      <w:divsChild>
                                                        <w:div w:id="1296788335">
                                                          <w:marLeft w:val="0"/>
                                                          <w:marRight w:val="0"/>
                                                          <w:marTop w:val="0"/>
                                                          <w:marBottom w:val="0"/>
                                                          <w:divBdr>
                                                            <w:top w:val="none" w:sz="0" w:space="0" w:color="auto"/>
                                                            <w:left w:val="none" w:sz="0" w:space="0" w:color="auto"/>
                                                            <w:bottom w:val="none" w:sz="0" w:space="0" w:color="auto"/>
                                                            <w:right w:val="none" w:sz="0" w:space="0" w:color="auto"/>
                                                          </w:divBdr>
                                                          <w:divsChild>
                                                            <w:div w:id="561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573320278">
      <w:bodyDiv w:val="1"/>
      <w:marLeft w:val="0"/>
      <w:marRight w:val="0"/>
      <w:marTop w:val="0"/>
      <w:marBottom w:val="0"/>
      <w:divBdr>
        <w:top w:val="none" w:sz="0" w:space="0" w:color="auto"/>
        <w:left w:val="none" w:sz="0" w:space="0" w:color="auto"/>
        <w:bottom w:val="none" w:sz="0" w:space="0" w:color="auto"/>
        <w:right w:val="none" w:sz="0" w:space="0" w:color="auto"/>
      </w:divBdr>
      <w:divsChild>
        <w:div w:id="1017777447">
          <w:marLeft w:val="0"/>
          <w:marRight w:val="0"/>
          <w:marTop w:val="0"/>
          <w:marBottom w:val="0"/>
          <w:divBdr>
            <w:top w:val="none" w:sz="0" w:space="0" w:color="auto"/>
            <w:left w:val="none" w:sz="0" w:space="0" w:color="auto"/>
            <w:bottom w:val="none" w:sz="0" w:space="0" w:color="auto"/>
            <w:right w:val="none" w:sz="0" w:space="0" w:color="auto"/>
          </w:divBdr>
          <w:divsChild>
            <w:div w:id="1047604776">
              <w:marLeft w:val="0"/>
              <w:marRight w:val="0"/>
              <w:marTop w:val="0"/>
              <w:marBottom w:val="0"/>
              <w:divBdr>
                <w:top w:val="none" w:sz="0" w:space="0" w:color="auto"/>
                <w:left w:val="none" w:sz="0" w:space="0" w:color="auto"/>
                <w:bottom w:val="none" w:sz="0" w:space="0" w:color="auto"/>
                <w:right w:val="none" w:sz="0" w:space="0" w:color="auto"/>
              </w:divBdr>
              <w:divsChild>
                <w:div w:id="1736658367">
                  <w:marLeft w:val="0"/>
                  <w:marRight w:val="0"/>
                  <w:marTop w:val="0"/>
                  <w:marBottom w:val="0"/>
                  <w:divBdr>
                    <w:top w:val="none" w:sz="0" w:space="0" w:color="auto"/>
                    <w:left w:val="none" w:sz="0" w:space="0" w:color="auto"/>
                    <w:bottom w:val="none" w:sz="0" w:space="0" w:color="auto"/>
                    <w:right w:val="none" w:sz="0" w:space="0" w:color="auto"/>
                  </w:divBdr>
                  <w:divsChild>
                    <w:div w:id="414984801">
                      <w:marLeft w:val="0"/>
                      <w:marRight w:val="0"/>
                      <w:marTop w:val="0"/>
                      <w:marBottom w:val="0"/>
                      <w:divBdr>
                        <w:top w:val="none" w:sz="0" w:space="0" w:color="auto"/>
                        <w:left w:val="none" w:sz="0" w:space="0" w:color="auto"/>
                        <w:bottom w:val="none" w:sz="0" w:space="0" w:color="auto"/>
                        <w:right w:val="none" w:sz="0" w:space="0" w:color="auto"/>
                      </w:divBdr>
                      <w:divsChild>
                        <w:div w:id="1396587217">
                          <w:marLeft w:val="0"/>
                          <w:marRight w:val="0"/>
                          <w:marTop w:val="0"/>
                          <w:marBottom w:val="0"/>
                          <w:divBdr>
                            <w:top w:val="none" w:sz="0" w:space="0" w:color="auto"/>
                            <w:left w:val="none" w:sz="0" w:space="0" w:color="auto"/>
                            <w:bottom w:val="none" w:sz="0" w:space="0" w:color="auto"/>
                            <w:right w:val="none" w:sz="0" w:space="0" w:color="auto"/>
                          </w:divBdr>
                          <w:divsChild>
                            <w:div w:id="469173440">
                              <w:marLeft w:val="0"/>
                              <w:marRight w:val="0"/>
                              <w:marTop w:val="0"/>
                              <w:marBottom w:val="0"/>
                              <w:divBdr>
                                <w:top w:val="none" w:sz="0" w:space="0" w:color="auto"/>
                                <w:left w:val="none" w:sz="0" w:space="0" w:color="auto"/>
                                <w:bottom w:val="none" w:sz="0" w:space="0" w:color="auto"/>
                                <w:right w:val="none" w:sz="0" w:space="0" w:color="auto"/>
                              </w:divBdr>
                              <w:divsChild>
                                <w:div w:id="792553937">
                                  <w:marLeft w:val="0"/>
                                  <w:marRight w:val="0"/>
                                  <w:marTop w:val="0"/>
                                  <w:marBottom w:val="0"/>
                                  <w:divBdr>
                                    <w:top w:val="none" w:sz="0" w:space="0" w:color="auto"/>
                                    <w:left w:val="none" w:sz="0" w:space="0" w:color="auto"/>
                                    <w:bottom w:val="none" w:sz="0" w:space="0" w:color="auto"/>
                                    <w:right w:val="none" w:sz="0" w:space="0" w:color="auto"/>
                                  </w:divBdr>
                                  <w:divsChild>
                                    <w:div w:id="724525975">
                                      <w:marLeft w:val="0"/>
                                      <w:marRight w:val="0"/>
                                      <w:marTop w:val="0"/>
                                      <w:marBottom w:val="0"/>
                                      <w:divBdr>
                                        <w:top w:val="none" w:sz="0" w:space="0" w:color="auto"/>
                                        <w:left w:val="none" w:sz="0" w:space="0" w:color="auto"/>
                                        <w:bottom w:val="none" w:sz="0" w:space="0" w:color="auto"/>
                                        <w:right w:val="none" w:sz="0" w:space="0" w:color="auto"/>
                                      </w:divBdr>
                                      <w:divsChild>
                                        <w:div w:id="966619243">
                                          <w:marLeft w:val="0"/>
                                          <w:marRight w:val="0"/>
                                          <w:marTop w:val="0"/>
                                          <w:marBottom w:val="0"/>
                                          <w:divBdr>
                                            <w:top w:val="none" w:sz="0" w:space="0" w:color="auto"/>
                                            <w:left w:val="none" w:sz="0" w:space="0" w:color="auto"/>
                                            <w:bottom w:val="none" w:sz="0" w:space="0" w:color="auto"/>
                                            <w:right w:val="none" w:sz="0" w:space="0" w:color="auto"/>
                                          </w:divBdr>
                                          <w:divsChild>
                                            <w:div w:id="390083936">
                                              <w:marLeft w:val="0"/>
                                              <w:marRight w:val="0"/>
                                              <w:marTop w:val="0"/>
                                              <w:marBottom w:val="0"/>
                                              <w:divBdr>
                                                <w:top w:val="none" w:sz="0" w:space="0" w:color="auto"/>
                                                <w:left w:val="none" w:sz="0" w:space="0" w:color="auto"/>
                                                <w:bottom w:val="none" w:sz="0" w:space="0" w:color="auto"/>
                                                <w:right w:val="none" w:sz="0" w:space="0" w:color="auto"/>
                                              </w:divBdr>
                                              <w:divsChild>
                                                <w:div w:id="2018655920">
                                                  <w:marLeft w:val="0"/>
                                                  <w:marRight w:val="0"/>
                                                  <w:marTop w:val="0"/>
                                                  <w:marBottom w:val="0"/>
                                                  <w:divBdr>
                                                    <w:top w:val="none" w:sz="0" w:space="0" w:color="auto"/>
                                                    <w:left w:val="none" w:sz="0" w:space="0" w:color="auto"/>
                                                    <w:bottom w:val="none" w:sz="0" w:space="0" w:color="auto"/>
                                                    <w:right w:val="none" w:sz="0" w:space="0" w:color="auto"/>
                                                  </w:divBdr>
                                                </w:div>
                                              </w:divsChild>
                                            </w:div>
                                            <w:div w:id="18569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757534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925727382">
      <w:bodyDiv w:val="1"/>
      <w:marLeft w:val="0"/>
      <w:marRight w:val="0"/>
      <w:marTop w:val="0"/>
      <w:marBottom w:val="0"/>
      <w:divBdr>
        <w:top w:val="none" w:sz="0" w:space="0" w:color="auto"/>
        <w:left w:val="none" w:sz="0" w:space="0" w:color="auto"/>
        <w:bottom w:val="none" w:sz="0" w:space="0" w:color="auto"/>
        <w:right w:val="none" w:sz="0" w:space="0" w:color="auto"/>
      </w:divBdr>
      <w:divsChild>
        <w:div w:id="600377886">
          <w:marLeft w:val="0"/>
          <w:marRight w:val="0"/>
          <w:marTop w:val="0"/>
          <w:marBottom w:val="0"/>
          <w:divBdr>
            <w:top w:val="none" w:sz="0" w:space="0" w:color="auto"/>
            <w:left w:val="none" w:sz="0" w:space="0" w:color="auto"/>
            <w:bottom w:val="none" w:sz="0" w:space="0" w:color="auto"/>
            <w:right w:val="none" w:sz="0" w:space="0" w:color="auto"/>
          </w:divBdr>
          <w:divsChild>
            <w:div w:id="900751144">
              <w:marLeft w:val="0"/>
              <w:marRight w:val="0"/>
              <w:marTop w:val="0"/>
              <w:marBottom w:val="0"/>
              <w:divBdr>
                <w:top w:val="none" w:sz="0" w:space="0" w:color="auto"/>
                <w:left w:val="none" w:sz="0" w:space="0" w:color="auto"/>
                <w:bottom w:val="none" w:sz="0" w:space="0" w:color="auto"/>
                <w:right w:val="none" w:sz="0" w:space="0" w:color="auto"/>
              </w:divBdr>
              <w:divsChild>
                <w:div w:id="14701188">
                  <w:marLeft w:val="0"/>
                  <w:marRight w:val="0"/>
                  <w:marTop w:val="105"/>
                  <w:marBottom w:val="0"/>
                  <w:divBdr>
                    <w:top w:val="none" w:sz="0" w:space="0" w:color="auto"/>
                    <w:left w:val="none" w:sz="0" w:space="0" w:color="auto"/>
                    <w:bottom w:val="none" w:sz="0" w:space="0" w:color="auto"/>
                    <w:right w:val="none" w:sz="0" w:space="0" w:color="auto"/>
                  </w:divBdr>
                  <w:divsChild>
                    <w:div w:id="650913161">
                      <w:marLeft w:val="450"/>
                      <w:marRight w:val="225"/>
                      <w:marTop w:val="0"/>
                      <w:marBottom w:val="0"/>
                      <w:divBdr>
                        <w:top w:val="none" w:sz="0" w:space="0" w:color="auto"/>
                        <w:left w:val="none" w:sz="0" w:space="0" w:color="auto"/>
                        <w:bottom w:val="none" w:sz="0" w:space="0" w:color="auto"/>
                        <w:right w:val="none" w:sz="0" w:space="0" w:color="auto"/>
                      </w:divBdr>
                      <w:divsChild>
                        <w:div w:id="2139103642">
                          <w:marLeft w:val="0"/>
                          <w:marRight w:val="0"/>
                          <w:marTop w:val="0"/>
                          <w:marBottom w:val="600"/>
                          <w:divBdr>
                            <w:top w:val="single" w:sz="6" w:space="0" w:color="314664"/>
                            <w:left w:val="single" w:sz="6" w:space="0" w:color="314664"/>
                            <w:bottom w:val="single" w:sz="6" w:space="0" w:color="314664"/>
                            <w:right w:val="single" w:sz="6" w:space="0" w:color="314664"/>
                          </w:divBdr>
                          <w:divsChild>
                            <w:div w:id="1540780153">
                              <w:marLeft w:val="0"/>
                              <w:marRight w:val="0"/>
                              <w:marTop w:val="0"/>
                              <w:marBottom w:val="0"/>
                              <w:divBdr>
                                <w:top w:val="none" w:sz="0" w:space="0" w:color="auto"/>
                                <w:left w:val="none" w:sz="0" w:space="0" w:color="auto"/>
                                <w:bottom w:val="none" w:sz="0" w:space="0" w:color="auto"/>
                                <w:right w:val="none" w:sz="0" w:space="0" w:color="auto"/>
                              </w:divBdr>
                              <w:divsChild>
                                <w:div w:id="1086851158">
                                  <w:marLeft w:val="0"/>
                                  <w:marRight w:val="0"/>
                                  <w:marTop w:val="0"/>
                                  <w:marBottom w:val="0"/>
                                  <w:divBdr>
                                    <w:top w:val="none" w:sz="0" w:space="0" w:color="auto"/>
                                    <w:left w:val="none" w:sz="0" w:space="0" w:color="auto"/>
                                    <w:bottom w:val="none" w:sz="0" w:space="0" w:color="auto"/>
                                    <w:right w:val="none" w:sz="0" w:space="0" w:color="auto"/>
                                  </w:divBdr>
                                  <w:divsChild>
                                    <w:div w:id="2084832458">
                                      <w:marLeft w:val="0"/>
                                      <w:marRight w:val="0"/>
                                      <w:marTop w:val="0"/>
                                      <w:marBottom w:val="0"/>
                                      <w:divBdr>
                                        <w:top w:val="none" w:sz="0" w:space="0" w:color="auto"/>
                                        <w:left w:val="none" w:sz="0" w:space="0" w:color="auto"/>
                                        <w:bottom w:val="none" w:sz="0" w:space="0" w:color="auto"/>
                                        <w:right w:val="none" w:sz="0" w:space="0" w:color="auto"/>
                                      </w:divBdr>
                                      <w:divsChild>
                                        <w:div w:id="580720451">
                                          <w:marLeft w:val="0"/>
                                          <w:marRight w:val="0"/>
                                          <w:marTop w:val="0"/>
                                          <w:marBottom w:val="0"/>
                                          <w:divBdr>
                                            <w:top w:val="none" w:sz="0" w:space="0" w:color="auto"/>
                                            <w:left w:val="none" w:sz="0" w:space="0" w:color="auto"/>
                                            <w:bottom w:val="none" w:sz="0" w:space="0" w:color="auto"/>
                                            <w:right w:val="none" w:sz="0" w:space="0" w:color="auto"/>
                                          </w:divBdr>
                                          <w:divsChild>
                                            <w:div w:id="1863393423">
                                              <w:marLeft w:val="0"/>
                                              <w:marRight w:val="0"/>
                                              <w:marTop w:val="0"/>
                                              <w:marBottom w:val="0"/>
                                              <w:divBdr>
                                                <w:top w:val="none" w:sz="0" w:space="0" w:color="auto"/>
                                                <w:left w:val="none" w:sz="0" w:space="0" w:color="auto"/>
                                                <w:bottom w:val="none" w:sz="0" w:space="0" w:color="auto"/>
                                                <w:right w:val="none" w:sz="0" w:space="0" w:color="auto"/>
                                              </w:divBdr>
                                              <w:divsChild>
                                                <w:div w:id="1301422352">
                                                  <w:marLeft w:val="0"/>
                                                  <w:marRight w:val="0"/>
                                                  <w:marTop w:val="0"/>
                                                  <w:marBottom w:val="0"/>
                                                  <w:divBdr>
                                                    <w:top w:val="none" w:sz="0" w:space="0" w:color="auto"/>
                                                    <w:left w:val="none" w:sz="0" w:space="0" w:color="auto"/>
                                                    <w:bottom w:val="none" w:sz="0" w:space="0" w:color="auto"/>
                                                    <w:right w:val="none" w:sz="0" w:space="0" w:color="auto"/>
                                                  </w:divBdr>
                                                  <w:divsChild>
                                                    <w:div w:id="311913325">
                                                      <w:marLeft w:val="0"/>
                                                      <w:marRight w:val="0"/>
                                                      <w:marTop w:val="0"/>
                                                      <w:marBottom w:val="0"/>
                                                      <w:divBdr>
                                                        <w:top w:val="none" w:sz="0" w:space="0" w:color="auto"/>
                                                        <w:left w:val="none" w:sz="0" w:space="0" w:color="auto"/>
                                                        <w:bottom w:val="none" w:sz="0" w:space="0" w:color="auto"/>
                                                        <w:right w:val="none" w:sz="0" w:space="0" w:color="auto"/>
                                                      </w:divBdr>
                                                      <w:divsChild>
                                                        <w:div w:id="1167477471">
                                                          <w:marLeft w:val="0"/>
                                                          <w:marRight w:val="0"/>
                                                          <w:marTop w:val="0"/>
                                                          <w:marBottom w:val="0"/>
                                                          <w:divBdr>
                                                            <w:top w:val="none" w:sz="0" w:space="0" w:color="auto"/>
                                                            <w:left w:val="none" w:sz="0" w:space="0" w:color="auto"/>
                                                            <w:bottom w:val="none" w:sz="0" w:space="0" w:color="auto"/>
                                                            <w:right w:val="none" w:sz="0" w:space="0" w:color="auto"/>
                                                          </w:divBdr>
                                                        </w:div>
                                                        <w:div w:id="1709720394">
                                                          <w:marLeft w:val="0"/>
                                                          <w:marRight w:val="0"/>
                                                          <w:marTop w:val="0"/>
                                                          <w:marBottom w:val="0"/>
                                                          <w:divBdr>
                                                            <w:top w:val="none" w:sz="0" w:space="0" w:color="auto"/>
                                                            <w:left w:val="none" w:sz="0" w:space="0" w:color="auto"/>
                                                            <w:bottom w:val="none" w:sz="0" w:space="0" w:color="auto"/>
                                                            <w:right w:val="none" w:sz="0" w:space="0" w:color="auto"/>
                                                          </w:divBdr>
                                                        </w:div>
                                                        <w:div w:id="20203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852138725">
      <w:bodyDiv w:val="1"/>
      <w:marLeft w:val="0"/>
      <w:marRight w:val="0"/>
      <w:marTop w:val="0"/>
      <w:marBottom w:val="0"/>
      <w:divBdr>
        <w:top w:val="none" w:sz="0" w:space="0" w:color="auto"/>
        <w:left w:val="none" w:sz="0" w:space="0" w:color="auto"/>
        <w:bottom w:val="none" w:sz="0" w:space="0" w:color="auto"/>
        <w:right w:val="none" w:sz="0" w:space="0" w:color="auto"/>
      </w:divBdr>
      <w:divsChild>
        <w:div w:id="1886721278">
          <w:marLeft w:val="0"/>
          <w:marRight w:val="0"/>
          <w:marTop w:val="0"/>
          <w:marBottom w:val="0"/>
          <w:divBdr>
            <w:top w:val="none" w:sz="0" w:space="0" w:color="auto"/>
            <w:left w:val="none" w:sz="0" w:space="0" w:color="auto"/>
            <w:bottom w:val="none" w:sz="0" w:space="0" w:color="auto"/>
            <w:right w:val="none" w:sz="0" w:space="0" w:color="auto"/>
          </w:divBdr>
          <w:divsChild>
            <w:div w:id="534856281">
              <w:marLeft w:val="0"/>
              <w:marRight w:val="0"/>
              <w:marTop w:val="0"/>
              <w:marBottom w:val="0"/>
              <w:divBdr>
                <w:top w:val="none" w:sz="0" w:space="0" w:color="auto"/>
                <w:left w:val="none" w:sz="0" w:space="0" w:color="auto"/>
                <w:bottom w:val="none" w:sz="0" w:space="0" w:color="auto"/>
                <w:right w:val="none" w:sz="0" w:space="0" w:color="auto"/>
              </w:divBdr>
              <w:divsChild>
                <w:div w:id="1576434837">
                  <w:marLeft w:val="0"/>
                  <w:marRight w:val="0"/>
                  <w:marTop w:val="105"/>
                  <w:marBottom w:val="0"/>
                  <w:divBdr>
                    <w:top w:val="none" w:sz="0" w:space="0" w:color="auto"/>
                    <w:left w:val="none" w:sz="0" w:space="0" w:color="auto"/>
                    <w:bottom w:val="none" w:sz="0" w:space="0" w:color="auto"/>
                    <w:right w:val="none" w:sz="0" w:space="0" w:color="auto"/>
                  </w:divBdr>
                  <w:divsChild>
                    <w:div w:id="200944252">
                      <w:marLeft w:val="450"/>
                      <w:marRight w:val="225"/>
                      <w:marTop w:val="0"/>
                      <w:marBottom w:val="0"/>
                      <w:divBdr>
                        <w:top w:val="none" w:sz="0" w:space="0" w:color="auto"/>
                        <w:left w:val="none" w:sz="0" w:space="0" w:color="auto"/>
                        <w:bottom w:val="none" w:sz="0" w:space="0" w:color="auto"/>
                        <w:right w:val="none" w:sz="0" w:space="0" w:color="auto"/>
                      </w:divBdr>
                      <w:divsChild>
                        <w:div w:id="33704051">
                          <w:marLeft w:val="0"/>
                          <w:marRight w:val="0"/>
                          <w:marTop w:val="0"/>
                          <w:marBottom w:val="600"/>
                          <w:divBdr>
                            <w:top w:val="single" w:sz="6" w:space="0" w:color="314664"/>
                            <w:left w:val="single" w:sz="6" w:space="0" w:color="314664"/>
                            <w:bottom w:val="single" w:sz="6" w:space="0" w:color="314664"/>
                            <w:right w:val="single" w:sz="6" w:space="0" w:color="314664"/>
                          </w:divBdr>
                          <w:divsChild>
                            <w:div w:id="1502699016">
                              <w:marLeft w:val="0"/>
                              <w:marRight w:val="0"/>
                              <w:marTop w:val="0"/>
                              <w:marBottom w:val="0"/>
                              <w:divBdr>
                                <w:top w:val="none" w:sz="0" w:space="0" w:color="auto"/>
                                <w:left w:val="none" w:sz="0" w:space="0" w:color="auto"/>
                                <w:bottom w:val="none" w:sz="0" w:space="0" w:color="auto"/>
                                <w:right w:val="none" w:sz="0" w:space="0" w:color="auto"/>
                              </w:divBdr>
                              <w:divsChild>
                                <w:div w:id="799106377">
                                  <w:marLeft w:val="0"/>
                                  <w:marRight w:val="0"/>
                                  <w:marTop w:val="0"/>
                                  <w:marBottom w:val="0"/>
                                  <w:divBdr>
                                    <w:top w:val="none" w:sz="0" w:space="0" w:color="auto"/>
                                    <w:left w:val="none" w:sz="0" w:space="0" w:color="auto"/>
                                    <w:bottom w:val="none" w:sz="0" w:space="0" w:color="auto"/>
                                    <w:right w:val="none" w:sz="0" w:space="0" w:color="auto"/>
                                  </w:divBdr>
                                  <w:divsChild>
                                    <w:div w:id="678309519">
                                      <w:marLeft w:val="0"/>
                                      <w:marRight w:val="0"/>
                                      <w:marTop w:val="0"/>
                                      <w:marBottom w:val="0"/>
                                      <w:divBdr>
                                        <w:top w:val="none" w:sz="0" w:space="0" w:color="auto"/>
                                        <w:left w:val="none" w:sz="0" w:space="0" w:color="auto"/>
                                        <w:bottom w:val="none" w:sz="0" w:space="0" w:color="auto"/>
                                        <w:right w:val="none" w:sz="0" w:space="0" w:color="auto"/>
                                      </w:divBdr>
                                      <w:divsChild>
                                        <w:div w:id="609245728">
                                          <w:marLeft w:val="0"/>
                                          <w:marRight w:val="0"/>
                                          <w:marTop w:val="0"/>
                                          <w:marBottom w:val="0"/>
                                          <w:divBdr>
                                            <w:top w:val="none" w:sz="0" w:space="0" w:color="auto"/>
                                            <w:left w:val="none" w:sz="0" w:space="0" w:color="auto"/>
                                            <w:bottom w:val="none" w:sz="0" w:space="0" w:color="auto"/>
                                            <w:right w:val="none" w:sz="0" w:space="0" w:color="auto"/>
                                          </w:divBdr>
                                          <w:divsChild>
                                            <w:div w:id="301158893">
                                              <w:marLeft w:val="0"/>
                                              <w:marRight w:val="0"/>
                                              <w:marTop w:val="0"/>
                                              <w:marBottom w:val="0"/>
                                              <w:divBdr>
                                                <w:top w:val="none" w:sz="0" w:space="0" w:color="auto"/>
                                                <w:left w:val="none" w:sz="0" w:space="0" w:color="auto"/>
                                                <w:bottom w:val="none" w:sz="0" w:space="0" w:color="auto"/>
                                                <w:right w:val="none" w:sz="0" w:space="0" w:color="auto"/>
                                              </w:divBdr>
                                              <w:divsChild>
                                                <w:div w:id="1210411833">
                                                  <w:marLeft w:val="0"/>
                                                  <w:marRight w:val="0"/>
                                                  <w:marTop w:val="0"/>
                                                  <w:marBottom w:val="0"/>
                                                  <w:divBdr>
                                                    <w:top w:val="none" w:sz="0" w:space="0" w:color="auto"/>
                                                    <w:left w:val="none" w:sz="0" w:space="0" w:color="auto"/>
                                                    <w:bottom w:val="none" w:sz="0" w:space="0" w:color="auto"/>
                                                    <w:right w:val="none" w:sz="0" w:space="0" w:color="auto"/>
                                                  </w:divBdr>
                                                  <w:divsChild>
                                                    <w:div w:id="490216465">
                                                      <w:marLeft w:val="0"/>
                                                      <w:marRight w:val="0"/>
                                                      <w:marTop w:val="0"/>
                                                      <w:marBottom w:val="0"/>
                                                      <w:divBdr>
                                                        <w:top w:val="none" w:sz="0" w:space="0" w:color="auto"/>
                                                        <w:left w:val="none" w:sz="0" w:space="0" w:color="auto"/>
                                                        <w:bottom w:val="none" w:sz="0" w:space="0" w:color="auto"/>
                                                        <w:right w:val="none" w:sz="0" w:space="0" w:color="auto"/>
                                                      </w:divBdr>
                                                      <w:divsChild>
                                                        <w:div w:id="1068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06590881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12">
          <w:marLeft w:val="0"/>
          <w:marRight w:val="0"/>
          <w:marTop w:val="0"/>
          <w:marBottom w:val="0"/>
          <w:divBdr>
            <w:top w:val="none" w:sz="0" w:space="0" w:color="auto"/>
            <w:left w:val="none" w:sz="0" w:space="0" w:color="auto"/>
            <w:bottom w:val="none" w:sz="0" w:space="0" w:color="auto"/>
            <w:right w:val="none" w:sz="0" w:space="0" w:color="auto"/>
          </w:divBdr>
          <w:divsChild>
            <w:div w:id="94250553">
              <w:marLeft w:val="0"/>
              <w:marRight w:val="0"/>
              <w:marTop w:val="0"/>
              <w:marBottom w:val="0"/>
              <w:divBdr>
                <w:top w:val="none" w:sz="0" w:space="0" w:color="auto"/>
                <w:left w:val="none" w:sz="0" w:space="0" w:color="auto"/>
                <w:bottom w:val="none" w:sz="0" w:space="0" w:color="auto"/>
                <w:right w:val="none" w:sz="0" w:space="0" w:color="auto"/>
              </w:divBdr>
              <w:divsChild>
                <w:div w:id="1843348458">
                  <w:marLeft w:val="0"/>
                  <w:marRight w:val="0"/>
                  <w:marTop w:val="105"/>
                  <w:marBottom w:val="0"/>
                  <w:divBdr>
                    <w:top w:val="none" w:sz="0" w:space="0" w:color="auto"/>
                    <w:left w:val="none" w:sz="0" w:space="0" w:color="auto"/>
                    <w:bottom w:val="none" w:sz="0" w:space="0" w:color="auto"/>
                    <w:right w:val="none" w:sz="0" w:space="0" w:color="auto"/>
                  </w:divBdr>
                  <w:divsChild>
                    <w:div w:id="1892226626">
                      <w:marLeft w:val="450"/>
                      <w:marRight w:val="225"/>
                      <w:marTop w:val="0"/>
                      <w:marBottom w:val="0"/>
                      <w:divBdr>
                        <w:top w:val="none" w:sz="0" w:space="0" w:color="auto"/>
                        <w:left w:val="none" w:sz="0" w:space="0" w:color="auto"/>
                        <w:bottom w:val="none" w:sz="0" w:space="0" w:color="auto"/>
                        <w:right w:val="none" w:sz="0" w:space="0" w:color="auto"/>
                      </w:divBdr>
                      <w:divsChild>
                        <w:div w:id="54471159">
                          <w:marLeft w:val="0"/>
                          <w:marRight w:val="0"/>
                          <w:marTop w:val="0"/>
                          <w:marBottom w:val="600"/>
                          <w:divBdr>
                            <w:top w:val="single" w:sz="6" w:space="0" w:color="314664"/>
                            <w:left w:val="single" w:sz="6" w:space="0" w:color="314664"/>
                            <w:bottom w:val="single" w:sz="6" w:space="0" w:color="314664"/>
                            <w:right w:val="single" w:sz="6" w:space="0" w:color="314664"/>
                          </w:divBdr>
                          <w:divsChild>
                            <w:div w:id="529491041">
                              <w:marLeft w:val="0"/>
                              <w:marRight w:val="0"/>
                              <w:marTop w:val="0"/>
                              <w:marBottom w:val="0"/>
                              <w:divBdr>
                                <w:top w:val="none" w:sz="0" w:space="0" w:color="auto"/>
                                <w:left w:val="none" w:sz="0" w:space="0" w:color="auto"/>
                                <w:bottom w:val="none" w:sz="0" w:space="0" w:color="auto"/>
                                <w:right w:val="none" w:sz="0" w:space="0" w:color="auto"/>
                              </w:divBdr>
                              <w:divsChild>
                                <w:div w:id="1372610504">
                                  <w:marLeft w:val="0"/>
                                  <w:marRight w:val="0"/>
                                  <w:marTop w:val="0"/>
                                  <w:marBottom w:val="0"/>
                                  <w:divBdr>
                                    <w:top w:val="none" w:sz="0" w:space="0" w:color="auto"/>
                                    <w:left w:val="none" w:sz="0" w:space="0" w:color="auto"/>
                                    <w:bottom w:val="none" w:sz="0" w:space="0" w:color="auto"/>
                                    <w:right w:val="none" w:sz="0" w:space="0" w:color="auto"/>
                                  </w:divBdr>
                                  <w:divsChild>
                                    <w:div w:id="1193961595">
                                      <w:marLeft w:val="0"/>
                                      <w:marRight w:val="0"/>
                                      <w:marTop w:val="0"/>
                                      <w:marBottom w:val="0"/>
                                      <w:divBdr>
                                        <w:top w:val="none" w:sz="0" w:space="0" w:color="auto"/>
                                        <w:left w:val="none" w:sz="0" w:space="0" w:color="auto"/>
                                        <w:bottom w:val="none" w:sz="0" w:space="0" w:color="auto"/>
                                        <w:right w:val="none" w:sz="0" w:space="0" w:color="auto"/>
                                      </w:divBdr>
                                      <w:divsChild>
                                        <w:div w:id="1290816736">
                                          <w:marLeft w:val="0"/>
                                          <w:marRight w:val="0"/>
                                          <w:marTop w:val="0"/>
                                          <w:marBottom w:val="0"/>
                                          <w:divBdr>
                                            <w:top w:val="none" w:sz="0" w:space="0" w:color="auto"/>
                                            <w:left w:val="none" w:sz="0" w:space="0" w:color="auto"/>
                                            <w:bottom w:val="none" w:sz="0" w:space="0" w:color="auto"/>
                                            <w:right w:val="none" w:sz="0" w:space="0" w:color="auto"/>
                                          </w:divBdr>
                                          <w:divsChild>
                                            <w:div w:id="405569217">
                                              <w:marLeft w:val="0"/>
                                              <w:marRight w:val="0"/>
                                              <w:marTop w:val="0"/>
                                              <w:marBottom w:val="0"/>
                                              <w:divBdr>
                                                <w:top w:val="none" w:sz="0" w:space="0" w:color="auto"/>
                                                <w:left w:val="none" w:sz="0" w:space="0" w:color="auto"/>
                                                <w:bottom w:val="none" w:sz="0" w:space="0" w:color="auto"/>
                                                <w:right w:val="none" w:sz="0" w:space="0" w:color="auto"/>
                                              </w:divBdr>
                                              <w:divsChild>
                                                <w:div w:id="592663939">
                                                  <w:marLeft w:val="0"/>
                                                  <w:marRight w:val="0"/>
                                                  <w:marTop w:val="0"/>
                                                  <w:marBottom w:val="0"/>
                                                  <w:divBdr>
                                                    <w:top w:val="none" w:sz="0" w:space="0" w:color="auto"/>
                                                    <w:left w:val="none" w:sz="0" w:space="0" w:color="auto"/>
                                                    <w:bottom w:val="none" w:sz="0" w:space="0" w:color="auto"/>
                                                    <w:right w:val="none" w:sz="0" w:space="0" w:color="auto"/>
                                                  </w:divBdr>
                                                  <w:divsChild>
                                                    <w:div w:id="1143278727">
                                                      <w:marLeft w:val="0"/>
                                                      <w:marRight w:val="0"/>
                                                      <w:marTop w:val="0"/>
                                                      <w:marBottom w:val="0"/>
                                                      <w:divBdr>
                                                        <w:top w:val="none" w:sz="0" w:space="0" w:color="auto"/>
                                                        <w:left w:val="none" w:sz="0" w:space="0" w:color="auto"/>
                                                        <w:bottom w:val="none" w:sz="0" w:space="0" w:color="auto"/>
                                                        <w:right w:val="none" w:sz="0" w:space="0" w:color="auto"/>
                                                      </w:divBdr>
                                                      <w:divsChild>
                                                        <w:div w:id="169296016">
                                                          <w:marLeft w:val="0"/>
                                                          <w:marRight w:val="0"/>
                                                          <w:marTop w:val="0"/>
                                                          <w:marBottom w:val="0"/>
                                                          <w:divBdr>
                                                            <w:top w:val="none" w:sz="0" w:space="0" w:color="auto"/>
                                                            <w:left w:val="none" w:sz="0" w:space="0" w:color="auto"/>
                                                            <w:bottom w:val="none" w:sz="0" w:space="0" w:color="auto"/>
                                                            <w:right w:val="none" w:sz="0" w:space="0" w:color="auto"/>
                                                          </w:divBdr>
                                                        </w:div>
                                                        <w:div w:id="247230969">
                                                          <w:marLeft w:val="0"/>
                                                          <w:marRight w:val="0"/>
                                                          <w:marTop w:val="0"/>
                                                          <w:marBottom w:val="0"/>
                                                          <w:divBdr>
                                                            <w:top w:val="none" w:sz="0" w:space="0" w:color="auto"/>
                                                            <w:left w:val="none" w:sz="0" w:space="0" w:color="auto"/>
                                                            <w:bottom w:val="none" w:sz="0" w:space="0" w:color="auto"/>
                                                            <w:right w:val="none" w:sz="0" w:space="0" w:color="auto"/>
                                                          </w:divBdr>
                                                        </w:div>
                                                        <w:div w:id="570390549">
                                                          <w:marLeft w:val="0"/>
                                                          <w:marRight w:val="0"/>
                                                          <w:marTop w:val="0"/>
                                                          <w:marBottom w:val="0"/>
                                                          <w:divBdr>
                                                            <w:top w:val="none" w:sz="0" w:space="0" w:color="auto"/>
                                                            <w:left w:val="none" w:sz="0" w:space="0" w:color="auto"/>
                                                            <w:bottom w:val="none" w:sz="0" w:space="0" w:color="auto"/>
                                                            <w:right w:val="none" w:sz="0" w:space="0" w:color="auto"/>
                                                          </w:divBdr>
                                                        </w:div>
                                                        <w:div w:id="651762914">
                                                          <w:marLeft w:val="0"/>
                                                          <w:marRight w:val="0"/>
                                                          <w:marTop w:val="0"/>
                                                          <w:marBottom w:val="0"/>
                                                          <w:divBdr>
                                                            <w:top w:val="none" w:sz="0" w:space="0" w:color="auto"/>
                                                            <w:left w:val="none" w:sz="0" w:space="0" w:color="auto"/>
                                                            <w:bottom w:val="none" w:sz="0" w:space="0" w:color="auto"/>
                                                            <w:right w:val="none" w:sz="0" w:space="0" w:color="auto"/>
                                                          </w:divBdr>
                                                        </w:div>
                                                        <w:div w:id="1164395888">
                                                          <w:marLeft w:val="0"/>
                                                          <w:marRight w:val="0"/>
                                                          <w:marTop w:val="0"/>
                                                          <w:marBottom w:val="0"/>
                                                          <w:divBdr>
                                                            <w:top w:val="none" w:sz="0" w:space="0" w:color="auto"/>
                                                            <w:left w:val="none" w:sz="0" w:space="0" w:color="auto"/>
                                                            <w:bottom w:val="none" w:sz="0" w:space="0" w:color="auto"/>
                                                            <w:right w:val="none" w:sz="0" w:space="0" w:color="auto"/>
                                                          </w:divBdr>
                                                        </w:div>
                                                        <w:div w:id="1318152259">
                                                          <w:marLeft w:val="0"/>
                                                          <w:marRight w:val="0"/>
                                                          <w:marTop w:val="0"/>
                                                          <w:marBottom w:val="0"/>
                                                          <w:divBdr>
                                                            <w:top w:val="none" w:sz="0" w:space="0" w:color="auto"/>
                                                            <w:left w:val="none" w:sz="0" w:space="0" w:color="auto"/>
                                                            <w:bottom w:val="none" w:sz="0" w:space="0" w:color="auto"/>
                                                            <w:right w:val="none" w:sz="0" w:space="0" w:color="auto"/>
                                                          </w:divBdr>
                                                        </w:div>
                                                        <w:div w:id="1796412093">
                                                          <w:marLeft w:val="0"/>
                                                          <w:marRight w:val="0"/>
                                                          <w:marTop w:val="0"/>
                                                          <w:marBottom w:val="0"/>
                                                          <w:divBdr>
                                                            <w:top w:val="none" w:sz="0" w:space="0" w:color="auto"/>
                                                            <w:left w:val="none" w:sz="0" w:space="0" w:color="auto"/>
                                                            <w:bottom w:val="none" w:sz="0" w:space="0" w:color="auto"/>
                                                            <w:right w:val="none" w:sz="0" w:space="0" w:color="auto"/>
                                                          </w:divBdr>
                                                        </w:div>
                                                        <w:div w:id="1838307354">
                                                          <w:marLeft w:val="0"/>
                                                          <w:marRight w:val="0"/>
                                                          <w:marTop w:val="0"/>
                                                          <w:marBottom w:val="0"/>
                                                          <w:divBdr>
                                                            <w:top w:val="none" w:sz="0" w:space="0" w:color="auto"/>
                                                            <w:left w:val="none" w:sz="0" w:space="0" w:color="auto"/>
                                                            <w:bottom w:val="none" w:sz="0" w:space="0" w:color="auto"/>
                                                            <w:right w:val="none" w:sz="0" w:space="0" w:color="auto"/>
                                                          </w:divBdr>
                                                        </w:div>
                                                        <w:div w:id="1851948109">
                                                          <w:marLeft w:val="0"/>
                                                          <w:marRight w:val="0"/>
                                                          <w:marTop w:val="0"/>
                                                          <w:marBottom w:val="0"/>
                                                          <w:divBdr>
                                                            <w:top w:val="none" w:sz="0" w:space="0" w:color="auto"/>
                                                            <w:left w:val="none" w:sz="0" w:space="0" w:color="auto"/>
                                                            <w:bottom w:val="none" w:sz="0" w:space="0" w:color="auto"/>
                                                            <w:right w:val="none" w:sz="0" w:space="0" w:color="auto"/>
                                                          </w:divBdr>
                                                        </w:div>
                                                        <w:div w:id="1947998078">
                                                          <w:marLeft w:val="0"/>
                                                          <w:marRight w:val="0"/>
                                                          <w:marTop w:val="0"/>
                                                          <w:marBottom w:val="0"/>
                                                          <w:divBdr>
                                                            <w:top w:val="none" w:sz="0" w:space="0" w:color="auto"/>
                                                            <w:left w:val="none" w:sz="0" w:space="0" w:color="auto"/>
                                                            <w:bottom w:val="none" w:sz="0" w:space="0" w:color="auto"/>
                                                            <w:right w:val="none" w:sz="0" w:space="0" w:color="auto"/>
                                                          </w:divBdr>
                                                        </w:div>
                                                        <w:div w:id="20819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29F3-8B9E-4ED9-951A-47A08DC8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15051</Words>
  <Characters>74808</Characters>
  <Application>Microsoft Office Word</Application>
  <DocSecurity>0</DocSecurity>
  <Lines>2266</Lines>
  <Paragraphs>926</Paragraphs>
  <ScaleCrop>false</ScaleCrop>
  <HeadingPairs>
    <vt:vector size="2" baseType="variant">
      <vt:variant>
        <vt:lpstr>Title</vt:lpstr>
      </vt:variant>
      <vt:variant>
        <vt:i4>1</vt:i4>
      </vt:variant>
    </vt:vector>
  </HeadingPairs>
  <TitlesOfParts>
    <vt:vector size="1" baseType="lpstr">
      <vt:lpstr>NRWT: related party and branch lending - an officials' issues paper on possible changes to the non-resident withholding tax rules</vt:lpstr>
    </vt:vector>
  </TitlesOfParts>
  <Company>Inland Revenue; The Treasury</Company>
  <LinksUpToDate>false</LinksUpToDate>
  <CharactersWithSpaces>88933</CharactersWithSpaces>
  <SharedDoc>false</SharedDoc>
  <HLinks>
    <vt:vector size="36" baseType="variant">
      <vt:variant>
        <vt:i4>1310781</vt:i4>
      </vt:variant>
      <vt:variant>
        <vt:i4>35</vt:i4>
      </vt:variant>
      <vt:variant>
        <vt:i4>0</vt:i4>
      </vt:variant>
      <vt:variant>
        <vt:i4>5</vt:i4>
      </vt:variant>
      <vt:variant>
        <vt:lpwstr/>
      </vt:variant>
      <vt:variant>
        <vt:lpwstr>_Toc142380646</vt:lpwstr>
      </vt:variant>
      <vt:variant>
        <vt:i4>1310781</vt:i4>
      </vt:variant>
      <vt:variant>
        <vt:i4>29</vt:i4>
      </vt:variant>
      <vt:variant>
        <vt:i4>0</vt:i4>
      </vt:variant>
      <vt:variant>
        <vt:i4>5</vt:i4>
      </vt:variant>
      <vt:variant>
        <vt:lpwstr/>
      </vt:variant>
      <vt:variant>
        <vt:lpwstr>_Toc142380645</vt:lpwstr>
      </vt:variant>
      <vt:variant>
        <vt:i4>1310781</vt:i4>
      </vt:variant>
      <vt:variant>
        <vt:i4>26</vt:i4>
      </vt:variant>
      <vt:variant>
        <vt:i4>0</vt:i4>
      </vt:variant>
      <vt:variant>
        <vt:i4>5</vt:i4>
      </vt:variant>
      <vt:variant>
        <vt:lpwstr/>
      </vt:variant>
      <vt:variant>
        <vt:lpwstr>_Toc142380644</vt:lpwstr>
      </vt:variant>
      <vt:variant>
        <vt:i4>1310781</vt:i4>
      </vt:variant>
      <vt:variant>
        <vt:i4>20</vt:i4>
      </vt:variant>
      <vt:variant>
        <vt:i4>0</vt:i4>
      </vt:variant>
      <vt:variant>
        <vt:i4>5</vt:i4>
      </vt:variant>
      <vt:variant>
        <vt:lpwstr/>
      </vt:variant>
      <vt:variant>
        <vt:lpwstr>_Toc142380643</vt:lpwstr>
      </vt:variant>
      <vt:variant>
        <vt:i4>1310781</vt:i4>
      </vt:variant>
      <vt:variant>
        <vt:i4>14</vt:i4>
      </vt:variant>
      <vt:variant>
        <vt:i4>0</vt:i4>
      </vt:variant>
      <vt:variant>
        <vt:i4>5</vt:i4>
      </vt:variant>
      <vt:variant>
        <vt:lpwstr/>
      </vt:variant>
      <vt:variant>
        <vt:lpwstr>_Toc142380642</vt:lpwstr>
      </vt:variant>
      <vt:variant>
        <vt:i4>1310781</vt:i4>
      </vt:variant>
      <vt:variant>
        <vt:i4>11</vt:i4>
      </vt:variant>
      <vt:variant>
        <vt:i4>0</vt:i4>
      </vt:variant>
      <vt:variant>
        <vt:i4>5</vt:i4>
      </vt:variant>
      <vt:variant>
        <vt:lpwstr/>
      </vt:variant>
      <vt:variant>
        <vt:lpwstr>_Toc142380641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NRWT: related party and branch lending - an officials' issues paper on possible changes to the non-resident withholding tax rules</dc:title>
  <dc:creator>Policy and Strategy, Inland Revenue; The Treasury</dc:creator>
  <dc:description>Published May 2015.</dc:description>
  <cp:lastModifiedBy>David Nind</cp:lastModifiedBy>
  <cp:revision>2</cp:revision>
  <dcterms:created xsi:type="dcterms:W3CDTF">2015-05-06T23:21:00Z</dcterms:created>
  <dcterms:modified xsi:type="dcterms:W3CDTF">2015-05-06T23:22:00Z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