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058" w:rsidRPr="00C45880" w:rsidRDefault="00CF4A6F" w:rsidP="003B3058">
      <w:pPr>
        <w:jc w:val="right"/>
      </w:pPr>
      <w:r w:rsidRPr="00C45880">
        <w:rPr>
          <w:rFonts w:ascii="Verdana" w:hAnsi="Verdana" w:cs="Times New Roman"/>
          <w:b/>
          <w:noProof/>
          <w:sz w:val="32"/>
          <w:szCs w:val="20"/>
          <w:lang w:eastAsia="en-NZ"/>
        </w:rPr>
        <w:drawing>
          <wp:anchor distT="0" distB="0" distL="114300" distR="114300" simplePos="0" relativeHeight="251659264" behindDoc="0" locked="0" layoutInCell="1" allowOverlap="1" wp14:anchorId="186720FD" wp14:editId="47693FB5">
            <wp:simplePos x="0" y="0"/>
            <wp:positionH relativeFrom="margin">
              <wp:align>left</wp:align>
            </wp:positionH>
            <wp:positionV relativeFrom="margin">
              <wp:align>top</wp:align>
            </wp:positionV>
            <wp:extent cx="2042160" cy="570230"/>
            <wp:effectExtent l="0" t="0" r="0" b="1270"/>
            <wp:wrapSquare wrapText="bothSides"/>
            <wp:docPr id="1" name="Picture 1" descr="Inland Revenue logo with Māori name, Te Tari Taake." title="Inland Reven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 logo black 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2160" cy="570230"/>
                    </a:xfrm>
                    <a:prstGeom prst="rect">
                      <a:avLst/>
                    </a:prstGeom>
                  </pic:spPr>
                </pic:pic>
              </a:graphicData>
            </a:graphic>
            <wp14:sizeRelH relativeFrom="page">
              <wp14:pctWidth>0</wp14:pctWidth>
            </wp14:sizeRelH>
            <wp14:sizeRelV relativeFrom="page">
              <wp14:pctHeight>0</wp14:pctHeight>
            </wp14:sizeRelV>
          </wp:anchor>
        </w:drawing>
      </w:r>
      <w:r w:rsidR="00767C45" w:rsidRPr="00C45880">
        <w:t>October 2018</w:t>
      </w:r>
    </w:p>
    <w:p w:rsidR="00CF4A6F" w:rsidRPr="00C45880" w:rsidRDefault="00CF4A6F" w:rsidP="00CF4A6F"/>
    <w:p w:rsidR="00793C11" w:rsidRPr="00C45880" w:rsidRDefault="00793C11" w:rsidP="00CF4A6F"/>
    <w:p w:rsidR="00767C45" w:rsidRPr="00C45880" w:rsidRDefault="00767C45" w:rsidP="00CF4A6F"/>
    <w:p w:rsidR="00767C45" w:rsidRPr="00C45880" w:rsidRDefault="00767C45" w:rsidP="00767C45">
      <w:pPr>
        <w:pStyle w:val="Title"/>
      </w:pPr>
      <w:r w:rsidRPr="00C45880">
        <w:t>Fact sheet: GST on low-value imported goods</w:t>
      </w:r>
      <w:r w:rsidR="006A725C" w:rsidRPr="00C45880">
        <w:t xml:space="preserve"> </w:t>
      </w:r>
      <w:r w:rsidR="006A725C" w:rsidRPr="00C45880">
        <w:rPr>
          <w:rFonts w:cs="Times New Roman"/>
        </w:rPr>
        <w:t>–</w:t>
      </w:r>
      <w:r w:rsidRPr="00C45880">
        <w:t xml:space="preserve"> </w:t>
      </w:r>
      <w:r w:rsidR="006A725C" w:rsidRPr="00C45880">
        <w:t>a</w:t>
      </w:r>
      <w:r w:rsidRPr="00C45880">
        <w:t>n</w:t>
      </w:r>
      <w:r w:rsidR="002D2655" w:rsidRPr="00C45880">
        <w:br/>
      </w:r>
      <w:bookmarkStart w:id="0" w:name="_GoBack"/>
      <w:r w:rsidRPr="00C45880">
        <w:t>offshore supplier registration system</w:t>
      </w:r>
      <w:bookmarkEnd w:id="0"/>
    </w:p>
    <w:p w:rsidR="00767C45" w:rsidRDefault="00767C45" w:rsidP="00536C26"/>
    <w:p w:rsidR="000C40D6" w:rsidRPr="00C45880" w:rsidRDefault="000C40D6" w:rsidP="00536C26"/>
    <w:p w:rsidR="00767C45" w:rsidRPr="00C45880" w:rsidRDefault="00767C45" w:rsidP="00767C45">
      <w:pPr>
        <w:pStyle w:val="Heading1"/>
      </w:pPr>
      <w:r w:rsidRPr="00C45880">
        <w:t>Summary of the proposals</w:t>
      </w:r>
    </w:p>
    <w:p w:rsidR="00767C45" w:rsidRPr="00C45880" w:rsidRDefault="00767C45" w:rsidP="00767C45"/>
    <w:p w:rsidR="00767C45" w:rsidRPr="00C45880" w:rsidRDefault="00767C45" w:rsidP="00767C45">
      <w:r w:rsidRPr="00C45880">
        <w:t>From 1 October 2019:</w:t>
      </w:r>
    </w:p>
    <w:p w:rsidR="00767C45" w:rsidRPr="00C45880" w:rsidRDefault="00767C45" w:rsidP="00767C45"/>
    <w:p w:rsidR="00767C45" w:rsidRPr="00C45880" w:rsidRDefault="00767C45" w:rsidP="00767C45">
      <w:pPr>
        <w:pStyle w:val="List-Bullet"/>
      </w:pPr>
      <w:r w:rsidRPr="00C45880">
        <w:t>Offshore suppliers would be required to register, collect, and return New Zealand GST on goods valued at or below $1,000 supplied to consumers in New Zealand.</w:t>
      </w:r>
    </w:p>
    <w:p w:rsidR="00767C45" w:rsidRPr="00C45880" w:rsidRDefault="00767C45" w:rsidP="00767C45">
      <w:pPr>
        <w:pStyle w:val="List-Bullet"/>
      </w:pPr>
      <w:r w:rsidRPr="00C45880">
        <w:t>The rules would apply when the good is outside New Zealand at the time of supply and is delivered to a New Zealand address.</w:t>
      </w:r>
    </w:p>
    <w:p w:rsidR="00767C45" w:rsidRPr="00C45880" w:rsidRDefault="00767C45" w:rsidP="00767C45">
      <w:pPr>
        <w:pStyle w:val="List-Bullet"/>
      </w:pPr>
      <w:r w:rsidRPr="00C45880">
        <w:t>Offshore suppliers would be required to register when their total taxable supplies of goods and services to New Zealand exceed $60,000 in a 12-month period. In certain circumstances, marketplaces and re-deliverers may also be required to register.</w:t>
      </w:r>
    </w:p>
    <w:p w:rsidR="00767C45" w:rsidRPr="00C45880" w:rsidRDefault="00767C45" w:rsidP="00767C45">
      <w:pPr>
        <w:pStyle w:val="List-Bullet"/>
      </w:pPr>
      <w:r w:rsidRPr="00C45880">
        <w:t>Tariffs and border cost recovery charges would be removed from imported consignments valued at or below $1,000.</w:t>
      </w:r>
    </w:p>
    <w:p w:rsidR="00767C45" w:rsidRPr="00C45880" w:rsidRDefault="00767C45" w:rsidP="00767C45">
      <w:pPr>
        <w:pStyle w:val="List-Bullet"/>
      </w:pPr>
      <w:r w:rsidRPr="00C45880">
        <w:t>The current processes for collecting GST and other duty at the border by Customs w</w:t>
      </w:r>
      <w:r w:rsidR="001E38A6">
        <w:t>ould</w:t>
      </w:r>
      <w:r w:rsidRPr="00C45880">
        <w:t xml:space="preserve"> continue to apply for consignments valued over $1,000. However, there will be processes put in place so Customs does not collect GST on goods in a consignment over $1,000 if GST was already collected by the supplier.</w:t>
      </w:r>
    </w:p>
    <w:p w:rsidR="00767C45" w:rsidRPr="00C45880" w:rsidRDefault="00767C45" w:rsidP="002D2655">
      <w:pPr>
        <w:pStyle w:val="List-Bullet"/>
        <w:spacing w:after="0"/>
      </w:pPr>
      <w:r w:rsidRPr="00C45880">
        <w:t>The current border processes for managing risks in relation to imported goods, including biosecurity assessment, will remain in place.</w:t>
      </w:r>
    </w:p>
    <w:p w:rsidR="000C40D6" w:rsidRPr="00C45880" w:rsidRDefault="000C40D6" w:rsidP="00767C45"/>
    <w:p w:rsidR="00767C45" w:rsidRDefault="002D2655" w:rsidP="000C40D6">
      <w:pPr>
        <w:pStyle w:val="Heading1"/>
      </w:pPr>
      <w:r w:rsidRPr="000C40D6">
        <w:t>What the changes would gener</w:t>
      </w:r>
      <w:r w:rsidR="001E6676" w:rsidRPr="000C40D6">
        <w:t>ally mean for different parties</w:t>
      </w:r>
    </w:p>
    <w:p w:rsidR="000C40D6" w:rsidRPr="000C40D6" w:rsidRDefault="000C40D6" w:rsidP="000C40D6"/>
    <w:tbl>
      <w:tblPr>
        <w:tblStyle w:val="TableGrid"/>
        <w:tblW w:w="0" w:type="auto"/>
        <w:tblInd w:w="108" w:type="dxa"/>
        <w:tblBorders>
          <w:top w:val="single" w:sz="4" w:space="0" w:color="9BBB59"/>
          <w:left w:val="single" w:sz="4" w:space="0" w:color="9BBB59"/>
          <w:bottom w:val="single" w:sz="4" w:space="0" w:color="9BBB59"/>
          <w:right w:val="single" w:sz="4" w:space="0" w:color="9BBB59"/>
          <w:insideH w:val="single" w:sz="4" w:space="0" w:color="9BBB59"/>
          <w:insideV w:val="none" w:sz="0" w:space="0" w:color="auto"/>
        </w:tblBorders>
        <w:tblLook w:val="04A0" w:firstRow="1" w:lastRow="0" w:firstColumn="1" w:lastColumn="0" w:noHBand="0" w:noVBand="1"/>
        <w:tblCaption w:val="What the changes would generally mean for different parties "/>
      </w:tblPr>
      <w:tblGrid>
        <w:gridCol w:w="2410"/>
        <w:gridCol w:w="3362"/>
        <w:gridCol w:w="3362"/>
      </w:tblGrid>
      <w:tr w:rsidR="00C7378C" w:rsidRPr="00C45880" w:rsidTr="00C7378C">
        <w:trPr>
          <w:tblHeader/>
        </w:trPr>
        <w:tc>
          <w:tcPr>
            <w:tcW w:w="2410" w:type="dxa"/>
            <w:shd w:val="clear" w:color="auto" w:fill="9BBB59"/>
          </w:tcPr>
          <w:p w:rsidR="00767C45" w:rsidRPr="00C45880" w:rsidRDefault="00767C45" w:rsidP="001E6676">
            <w:pPr>
              <w:spacing w:before="60" w:after="60"/>
              <w:jc w:val="left"/>
              <w:rPr>
                <w:b/>
                <w:color w:val="FFFFFF" w:themeColor="background1"/>
                <w:sz w:val="22"/>
              </w:rPr>
            </w:pPr>
          </w:p>
        </w:tc>
        <w:tc>
          <w:tcPr>
            <w:tcW w:w="3362" w:type="dxa"/>
            <w:shd w:val="clear" w:color="auto" w:fill="9BBB59"/>
          </w:tcPr>
          <w:p w:rsidR="00767C45" w:rsidRPr="00C45880" w:rsidRDefault="00767C45" w:rsidP="001E6676">
            <w:pPr>
              <w:spacing w:before="60" w:after="60"/>
              <w:jc w:val="left"/>
              <w:rPr>
                <w:b/>
                <w:color w:val="FFFFFF" w:themeColor="background1"/>
                <w:sz w:val="22"/>
              </w:rPr>
            </w:pPr>
            <w:r w:rsidRPr="00C45880">
              <w:rPr>
                <w:b/>
                <w:color w:val="FFFFFF" w:themeColor="background1"/>
                <w:sz w:val="22"/>
              </w:rPr>
              <w:t>Imported goods valued at or below $1,000</w:t>
            </w:r>
          </w:p>
        </w:tc>
        <w:tc>
          <w:tcPr>
            <w:tcW w:w="3362" w:type="dxa"/>
            <w:shd w:val="clear" w:color="auto" w:fill="9BBB59"/>
          </w:tcPr>
          <w:p w:rsidR="00767C45" w:rsidRPr="00C45880" w:rsidRDefault="00767C45" w:rsidP="001E6676">
            <w:pPr>
              <w:spacing w:before="60" w:after="60"/>
              <w:jc w:val="left"/>
              <w:rPr>
                <w:b/>
                <w:color w:val="FFFFFF" w:themeColor="background1"/>
                <w:sz w:val="22"/>
              </w:rPr>
            </w:pPr>
            <w:r w:rsidRPr="00C45880">
              <w:rPr>
                <w:b/>
                <w:color w:val="FFFFFF" w:themeColor="background1"/>
                <w:sz w:val="22"/>
              </w:rPr>
              <w:t>Imported consignments valued above $1,000</w:t>
            </w:r>
          </w:p>
        </w:tc>
      </w:tr>
      <w:tr w:rsidR="00767C45" w:rsidRPr="00C45880" w:rsidTr="00C7378C">
        <w:tc>
          <w:tcPr>
            <w:tcW w:w="2410" w:type="dxa"/>
          </w:tcPr>
          <w:p w:rsidR="00767C45" w:rsidRPr="00C45880" w:rsidRDefault="00767C45" w:rsidP="001E6676">
            <w:pPr>
              <w:spacing w:before="60" w:after="60"/>
              <w:jc w:val="left"/>
              <w:rPr>
                <w:b/>
                <w:sz w:val="20"/>
                <w:szCs w:val="20"/>
              </w:rPr>
            </w:pPr>
            <w:r w:rsidRPr="00C45880">
              <w:rPr>
                <w:b/>
                <w:sz w:val="20"/>
                <w:szCs w:val="20"/>
              </w:rPr>
              <w:t>New Zealand consumer</w:t>
            </w:r>
          </w:p>
        </w:tc>
        <w:tc>
          <w:tcPr>
            <w:tcW w:w="3362" w:type="dxa"/>
          </w:tcPr>
          <w:p w:rsidR="00767C45" w:rsidRPr="00C45880" w:rsidRDefault="00767C45" w:rsidP="001E6676">
            <w:pPr>
              <w:spacing w:before="60" w:after="60"/>
              <w:jc w:val="left"/>
              <w:rPr>
                <w:sz w:val="20"/>
                <w:szCs w:val="20"/>
              </w:rPr>
            </w:pPr>
            <w:r w:rsidRPr="00C45880">
              <w:rPr>
                <w:sz w:val="20"/>
                <w:szCs w:val="20"/>
              </w:rPr>
              <w:t>GST charged on your purchase at the point of sale.</w:t>
            </w:r>
          </w:p>
        </w:tc>
        <w:tc>
          <w:tcPr>
            <w:tcW w:w="3362" w:type="dxa"/>
          </w:tcPr>
          <w:p w:rsidR="00767C45" w:rsidRPr="00C45880" w:rsidRDefault="00767C45" w:rsidP="001E6676">
            <w:pPr>
              <w:spacing w:before="60" w:after="60"/>
              <w:jc w:val="left"/>
              <w:rPr>
                <w:sz w:val="20"/>
                <w:szCs w:val="20"/>
              </w:rPr>
            </w:pPr>
            <w:r w:rsidRPr="00C45880">
              <w:rPr>
                <w:sz w:val="20"/>
                <w:szCs w:val="20"/>
              </w:rPr>
              <w:t>GST collected on your purchase at the border by Customs (unless GST was charged at the point of sale).</w:t>
            </w:r>
          </w:p>
        </w:tc>
      </w:tr>
      <w:tr w:rsidR="00767C45" w:rsidRPr="00C45880" w:rsidTr="00C7378C">
        <w:tc>
          <w:tcPr>
            <w:tcW w:w="2410" w:type="dxa"/>
          </w:tcPr>
          <w:p w:rsidR="00767C45" w:rsidRPr="00C45880" w:rsidRDefault="00767C45" w:rsidP="001E6676">
            <w:pPr>
              <w:spacing w:before="60" w:after="60"/>
              <w:jc w:val="left"/>
              <w:rPr>
                <w:b/>
                <w:sz w:val="20"/>
                <w:szCs w:val="20"/>
              </w:rPr>
            </w:pPr>
            <w:r w:rsidRPr="00C45880">
              <w:rPr>
                <w:b/>
                <w:sz w:val="20"/>
                <w:szCs w:val="20"/>
              </w:rPr>
              <w:t>New Zealand GST-registered business</w:t>
            </w:r>
          </w:p>
        </w:tc>
        <w:tc>
          <w:tcPr>
            <w:tcW w:w="3362" w:type="dxa"/>
          </w:tcPr>
          <w:p w:rsidR="00767C45" w:rsidRPr="00C45880" w:rsidRDefault="00767C45" w:rsidP="001E6676">
            <w:pPr>
              <w:spacing w:before="60" w:after="60"/>
              <w:jc w:val="left"/>
              <w:rPr>
                <w:sz w:val="20"/>
                <w:szCs w:val="20"/>
              </w:rPr>
            </w:pPr>
            <w:r w:rsidRPr="00C45880">
              <w:rPr>
                <w:sz w:val="20"/>
                <w:szCs w:val="20"/>
              </w:rPr>
              <w:t>No GST charged on your purchase.</w:t>
            </w:r>
          </w:p>
        </w:tc>
        <w:tc>
          <w:tcPr>
            <w:tcW w:w="3362" w:type="dxa"/>
          </w:tcPr>
          <w:p w:rsidR="00767C45" w:rsidRPr="00C45880" w:rsidRDefault="00767C45" w:rsidP="001E6676">
            <w:pPr>
              <w:spacing w:before="60" w:after="60"/>
              <w:jc w:val="left"/>
              <w:rPr>
                <w:sz w:val="20"/>
                <w:szCs w:val="20"/>
              </w:rPr>
            </w:pPr>
            <w:r w:rsidRPr="00C45880">
              <w:rPr>
                <w:sz w:val="20"/>
                <w:szCs w:val="20"/>
              </w:rPr>
              <w:t>GST collected on your purchase at the border by Customs. Any GST incurred can be claimed back.</w:t>
            </w:r>
          </w:p>
        </w:tc>
      </w:tr>
      <w:tr w:rsidR="00767C45" w:rsidRPr="00C45880" w:rsidTr="00C7378C">
        <w:tc>
          <w:tcPr>
            <w:tcW w:w="2410" w:type="dxa"/>
          </w:tcPr>
          <w:p w:rsidR="00767C45" w:rsidRPr="00C45880" w:rsidRDefault="00767C45" w:rsidP="001E6676">
            <w:pPr>
              <w:spacing w:before="60" w:after="60"/>
              <w:jc w:val="left"/>
              <w:rPr>
                <w:b/>
                <w:sz w:val="20"/>
                <w:szCs w:val="20"/>
              </w:rPr>
            </w:pPr>
            <w:r w:rsidRPr="00C45880">
              <w:rPr>
                <w:b/>
                <w:sz w:val="20"/>
                <w:szCs w:val="20"/>
              </w:rPr>
              <w:t>Offshore suppliers, online marketplaces and re-deliverers that reach the registration threshold</w:t>
            </w:r>
          </w:p>
        </w:tc>
        <w:tc>
          <w:tcPr>
            <w:tcW w:w="3362" w:type="dxa"/>
          </w:tcPr>
          <w:p w:rsidR="00767C45" w:rsidRPr="00C45880" w:rsidRDefault="00767C45" w:rsidP="001E6676">
            <w:pPr>
              <w:spacing w:before="60" w:after="60"/>
              <w:jc w:val="left"/>
              <w:rPr>
                <w:sz w:val="20"/>
                <w:szCs w:val="20"/>
              </w:rPr>
            </w:pPr>
            <w:r w:rsidRPr="00C45880">
              <w:rPr>
                <w:sz w:val="20"/>
                <w:szCs w:val="20"/>
              </w:rPr>
              <w:t>GST should be charged, collected and remitted to Inland Revenue on supplies made to New Zealand consumers.</w:t>
            </w:r>
          </w:p>
          <w:p w:rsidR="00767C45" w:rsidRPr="00C45880" w:rsidRDefault="00767C45" w:rsidP="001E6676">
            <w:pPr>
              <w:spacing w:before="60" w:after="60"/>
              <w:jc w:val="left"/>
              <w:rPr>
                <w:sz w:val="20"/>
                <w:szCs w:val="20"/>
              </w:rPr>
            </w:pPr>
            <w:r w:rsidRPr="00C45880">
              <w:rPr>
                <w:sz w:val="20"/>
                <w:szCs w:val="20"/>
              </w:rPr>
              <w:t>GST should not be charged on supplies made to GST-registered businesses.</w:t>
            </w:r>
          </w:p>
        </w:tc>
        <w:tc>
          <w:tcPr>
            <w:tcW w:w="3362" w:type="dxa"/>
          </w:tcPr>
          <w:p w:rsidR="00767C45" w:rsidRPr="00C45880" w:rsidRDefault="00767C45" w:rsidP="001E6676">
            <w:pPr>
              <w:spacing w:before="60" w:after="60"/>
              <w:jc w:val="left"/>
              <w:rPr>
                <w:sz w:val="20"/>
                <w:szCs w:val="20"/>
              </w:rPr>
            </w:pPr>
            <w:r w:rsidRPr="00C45880">
              <w:rPr>
                <w:sz w:val="20"/>
                <w:szCs w:val="20"/>
              </w:rPr>
              <w:t>Customs would collect GST as the goods cross the border (unless GST was charged at the point of sale).</w:t>
            </w:r>
          </w:p>
        </w:tc>
      </w:tr>
    </w:tbl>
    <w:p w:rsidR="00767C45" w:rsidRPr="00C45880" w:rsidRDefault="00767C45" w:rsidP="00767C45"/>
    <w:p w:rsidR="002D2655" w:rsidRPr="00C45880" w:rsidRDefault="000C40D6" w:rsidP="002D2655">
      <w:r>
        <w:t>Note that the table only</w:t>
      </w:r>
      <w:r w:rsidR="00767C45" w:rsidRPr="00C45880">
        <w:t xml:space="preserve"> reflects how the proposed rules would work in the majority of cases and actual results may differ in some instances.</w:t>
      </w:r>
      <w:r w:rsidR="002D2655" w:rsidRPr="00C45880">
        <w:br w:type="page"/>
      </w:r>
    </w:p>
    <w:p w:rsidR="00767C45" w:rsidRPr="00C45880" w:rsidRDefault="00767C45" w:rsidP="00767C45">
      <w:pPr>
        <w:pStyle w:val="Heading1"/>
      </w:pPr>
      <w:r w:rsidRPr="00C45880">
        <w:lastRenderedPageBreak/>
        <w:t>Impact on consumers</w:t>
      </w:r>
    </w:p>
    <w:p w:rsidR="00767C45" w:rsidRPr="00C45880" w:rsidRDefault="00767C45" w:rsidP="00767C45"/>
    <w:p w:rsidR="00767C45" w:rsidRPr="00C45880" w:rsidRDefault="00767C45" w:rsidP="00767C45">
      <w:r w:rsidRPr="00C45880">
        <w:t>The proposed changes would not necessarily mean that all online purchases of goods by consumers will become more expensive.</w:t>
      </w:r>
    </w:p>
    <w:p w:rsidR="00767C45" w:rsidRPr="00C45880" w:rsidRDefault="00767C45" w:rsidP="00767C45"/>
    <w:p w:rsidR="00767C45" w:rsidRPr="00C45880" w:rsidRDefault="00767C45" w:rsidP="00767C45">
      <w:r w:rsidRPr="00C45880">
        <w:t>Under the proposals, if a consumer imports goods valued at or below $1,000 the offshore supplier would add GST to price of the online purchase. Goods valued below $400 which do not currently have GST, duties and cost</w:t>
      </w:r>
      <w:r w:rsidR="001E38A6">
        <w:t xml:space="preserve"> </w:t>
      </w:r>
      <w:r w:rsidRPr="00C45880">
        <w:t>recovery charges collected at the border would be more expensive under the proposal.</w:t>
      </w:r>
    </w:p>
    <w:p w:rsidR="00767C45" w:rsidRPr="00C45880" w:rsidRDefault="00767C45" w:rsidP="00767C45"/>
    <w:p w:rsidR="00767C45" w:rsidRPr="00C45880" w:rsidRDefault="00767C45" w:rsidP="00767C45">
      <w:r w:rsidRPr="00C45880">
        <w:t xml:space="preserve">However, goods valued below $400 but above the current </w:t>
      </w:r>
      <w:r w:rsidRPr="00C45880">
        <w:rPr>
          <w:rStyle w:val="Emphasis"/>
        </w:rPr>
        <w:t>de minimis</w:t>
      </w:r>
      <w:r w:rsidRPr="00C45880">
        <w:t xml:space="preserve"> of $60 of duty owing and all goods valued between $400 and $1,000 would be cheaper under the proposal.</w:t>
      </w:r>
      <w:r w:rsidRPr="00C45880">
        <w:rPr>
          <w:rStyle w:val="FootnoteReference"/>
        </w:rPr>
        <w:footnoteReference w:id="1"/>
      </w:r>
      <w:r w:rsidRPr="00C45880">
        <w:t xml:space="preserve"> This is because consumers would no longer pay tariff duty and cost recovery charges on these goods.</w:t>
      </w:r>
    </w:p>
    <w:p w:rsidR="00767C45" w:rsidRDefault="00767C45" w:rsidP="00767C45"/>
    <w:p w:rsidR="000C40D6" w:rsidRPr="00C45880" w:rsidRDefault="000C40D6" w:rsidP="00767C45"/>
    <w:p w:rsidR="00767C45" w:rsidRDefault="00767C45" w:rsidP="000C40D6">
      <w:pPr>
        <w:pStyle w:val="Heading1"/>
      </w:pPr>
      <w:r w:rsidRPr="000C40D6">
        <w:t>Example</w:t>
      </w:r>
    </w:p>
    <w:p w:rsidR="000C40D6" w:rsidRPr="000C40D6" w:rsidRDefault="000C40D6" w:rsidP="000C40D6"/>
    <w:tbl>
      <w:tblPr>
        <w:tblStyle w:val="TableGrid"/>
        <w:tblW w:w="0" w:type="auto"/>
        <w:tblInd w:w="108" w:type="dxa"/>
        <w:tblBorders>
          <w:top w:val="single" w:sz="4" w:space="0" w:color="9BBB59"/>
          <w:left w:val="single" w:sz="4" w:space="0" w:color="9BBB59"/>
          <w:bottom w:val="single" w:sz="4" w:space="0" w:color="9BBB59"/>
          <w:right w:val="single" w:sz="4" w:space="0" w:color="9BBB59"/>
          <w:insideH w:val="single" w:sz="4" w:space="0" w:color="9BBB59"/>
          <w:insideV w:val="none" w:sz="0" w:space="0" w:color="auto"/>
        </w:tblBorders>
        <w:tblLook w:val="04A0" w:firstRow="1" w:lastRow="0" w:firstColumn="1" w:lastColumn="0" w:noHBand="0" w:noVBand="1"/>
        <w:tblCaption w:val="Example"/>
      </w:tblPr>
      <w:tblGrid>
        <w:gridCol w:w="1418"/>
        <w:gridCol w:w="3858"/>
        <w:gridCol w:w="3858"/>
      </w:tblGrid>
      <w:tr w:rsidR="00767C45" w:rsidRPr="00C45880" w:rsidTr="00C7378C">
        <w:trPr>
          <w:tblHeader/>
        </w:trPr>
        <w:tc>
          <w:tcPr>
            <w:tcW w:w="1418" w:type="dxa"/>
            <w:shd w:val="clear" w:color="auto" w:fill="9BBB59"/>
          </w:tcPr>
          <w:p w:rsidR="00767C45" w:rsidRPr="00C45880" w:rsidRDefault="00767C45" w:rsidP="001E6676">
            <w:pPr>
              <w:spacing w:before="80" w:after="80"/>
              <w:jc w:val="left"/>
              <w:rPr>
                <w:b/>
                <w:color w:val="FFFFFF" w:themeColor="background1"/>
                <w:sz w:val="22"/>
              </w:rPr>
            </w:pPr>
            <w:r w:rsidRPr="00C45880">
              <w:rPr>
                <w:b/>
                <w:color w:val="FFFFFF" w:themeColor="background1"/>
                <w:sz w:val="22"/>
              </w:rPr>
              <w:t>Purchase</w:t>
            </w:r>
          </w:p>
        </w:tc>
        <w:tc>
          <w:tcPr>
            <w:tcW w:w="3858" w:type="dxa"/>
            <w:shd w:val="clear" w:color="auto" w:fill="9BBB59"/>
          </w:tcPr>
          <w:p w:rsidR="00767C45" w:rsidRPr="00C45880" w:rsidRDefault="00767C45" w:rsidP="001E6676">
            <w:pPr>
              <w:spacing w:before="80" w:after="80"/>
              <w:jc w:val="left"/>
              <w:rPr>
                <w:b/>
                <w:color w:val="FFFFFF" w:themeColor="background1"/>
                <w:sz w:val="22"/>
              </w:rPr>
            </w:pPr>
            <w:r w:rsidRPr="00C45880">
              <w:rPr>
                <w:b/>
                <w:color w:val="FFFFFF" w:themeColor="background1"/>
                <w:sz w:val="22"/>
              </w:rPr>
              <w:t>Current treatment</w:t>
            </w:r>
          </w:p>
        </w:tc>
        <w:tc>
          <w:tcPr>
            <w:tcW w:w="3858" w:type="dxa"/>
            <w:shd w:val="clear" w:color="auto" w:fill="9BBB59"/>
          </w:tcPr>
          <w:p w:rsidR="00767C45" w:rsidRPr="00C45880" w:rsidRDefault="00767C45" w:rsidP="001E6676">
            <w:pPr>
              <w:spacing w:before="80" w:after="80"/>
              <w:jc w:val="left"/>
              <w:rPr>
                <w:b/>
                <w:color w:val="FFFFFF" w:themeColor="background1"/>
                <w:sz w:val="22"/>
              </w:rPr>
            </w:pPr>
            <w:r w:rsidRPr="00C45880">
              <w:rPr>
                <w:b/>
                <w:color w:val="FFFFFF" w:themeColor="background1"/>
                <w:sz w:val="22"/>
              </w:rPr>
              <w:t>Proposed treatment</w:t>
            </w:r>
          </w:p>
        </w:tc>
      </w:tr>
      <w:tr w:rsidR="00767C45" w:rsidRPr="00C45880" w:rsidTr="00C7378C">
        <w:tc>
          <w:tcPr>
            <w:tcW w:w="1418" w:type="dxa"/>
          </w:tcPr>
          <w:p w:rsidR="00767C45" w:rsidRPr="00C45880" w:rsidRDefault="00767C45" w:rsidP="001E6676">
            <w:pPr>
              <w:spacing w:before="80" w:after="80"/>
              <w:jc w:val="left"/>
              <w:rPr>
                <w:b/>
                <w:sz w:val="20"/>
                <w:szCs w:val="20"/>
              </w:rPr>
            </w:pPr>
            <w:r w:rsidRPr="00C45880">
              <w:rPr>
                <w:b/>
                <w:sz w:val="20"/>
                <w:szCs w:val="20"/>
              </w:rPr>
              <w:t>$50 t-shirt</w:t>
            </w:r>
          </w:p>
        </w:tc>
        <w:tc>
          <w:tcPr>
            <w:tcW w:w="3858" w:type="dxa"/>
          </w:tcPr>
          <w:p w:rsidR="00767C45" w:rsidRPr="00C45880" w:rsidRDefault="00767C45" w:rsidP="001E6676">
            <w:pPr>
              <w:spacing w:before="80" w:after="80"/>
              <w:jc w:val="left"/>
              <w:rPr>
                <w:sz w:val="20"/>
                <w:szCs w:val="20"/>
              </w:rPr>
            </w:pPr>
            <w:r w:rsidRPr="00C45880">
              <w:rPr>
                <w:rStyle w:val="Emphasis"/>
                <w:sz w:val="20"/>
                <w:szCs w:val="20"/>
              </w:rPr>
              <w:t>Total cost of consignment:</w:t>
            </w:r>
            <w:r w:rsidRPr="00C45880">
              <w:rPr>
                <w:sz w:val="20"/>
                <w:szCs w:val="20"/>
              </w:rPr>
              <w:t xml:space="preserve"> </w:t>
            </w:r>
            <w:r w:rsidRPr="00C45880">
              <w:rPr>
                <w:rStyle w:val="Strong"/>
                <w:i/>
                <w:sz w:val="20"/>
                <w:szCs w:val="20"/>
              </w:rPr>
              <w:t>$50</w:t>
            </w:r>
          </w:p>
          <w:p w:rsidR="00767C45" w:rsidRPr="00C45880" w:rsidRDefault="00767C45" w:rsidP="001E6676">
            <w:pPr>
              <w:spacing w:before="80" w:after="80"/>
              <w:jc w:val="left"/>
              <w:rPr>
                <w:sz w:val="20"/>
                <w:szCs w:val="20"/>
              </w:rPr>
            </w:pPr>
            <w:r w:rsidRPr="00C45880">
              <w:rPr>
                <w:sz w:val="20"/>
                <w:szCs w:val="20"/>
              </w:rPr>
              <w:t>No current charges at the border.</w:t>
            </w:r>
          </w:p>
        </w:tc>
        <w:tc>
          <w:tcPr>
            <w:tcW w:w="3858" w:type="dxa"/>
          </w:tcPr>
          <w:p w:rsidR="00767C45" w:rsidRPr="00C45880" w:rsidRDefault="00767C45" w:rsidP="001E6676">
            <w:pPr>
              <w:spacing w:before="80" w:after="80"/>
              <w:jc w:val="left"/>
              <w:rPr>
                <w:rStyle w:val="Emphasis"/>
                <w:sz w:val="20"/>
                <w:szCs w:val="20"/>
              </w:rPr>
            </w:pPr>
            <w:r w:rsidRPr="00C45880">
              <w:rPr>
                <w:rStyle w:val="Emphasis"/>
                <w:sz w:val="20"/>
                <w:szCs w:val="20"/>
              </w:rPr>
              <w:t xml:space="preserve">Total cost of consignment: </w:t>
            </w:r>
            <w:r w:rsidRPr="00C45880">
              <w:rPr>
                <w:rStyle w:val="Emphasis"/>
                <w:b/>
                <w:sz w:val="20"/>
                <w:szCs w:val="20"/>
              </w:rPr>
              <w:t>$57.50</w:t>
            </w:r>
          </w:p>
          <w:p w:rsidR="00767C45" w:rsidRPr="00C45880" w:rsidRDefault="00767C45" w:rsidP="001E6676">
            <w:pPr>
              <w:spacing w:before="80" w:after="80"/>
              <w:jc w:val="left"/>
              <w:rPr>
                <w:sz w:val="20"/>
                <w:szCs w:val="20"/>
              </w:rPr>
            </w:pPr>
            <w:r w:rsidRPr="00C45880">
              <w:rPr>
                <w:sz w:val="20"/>
                <w:szCs w:val="20"/>
              </w:rPr>
              <w:t xml:space="preserve">$50 t-shirt </w:t>
            </w:r>
            <w:r w:rsidR="002D2655" w:rsidRPr="00C45880">
              <w:rPr>
                <w:sz w:val="20"/>
                <w:szCs w:val="20"/>
              </w:rPr>
              <w:sym w:font="Symbol" w:char="F02B"/>
            </w:r>
            <w:r w:rsidRPr="00C45880">
              <w:rPr>
                <w:sz w:val="20"/>
                <w:szCs w:val="20"/>
              </w:rPr>
              <w:t xml:space="preserve"> $7.50 GST collected by the offshore supplier.</w:t>
            </w:r>
          </w:p>
        </w:tc>
      </w:tr>
      <w:tr w:rsidR="00767C45" w:rsidRPr="00C45880" w:rsidTr="00C7378C">
        <w:tc>
          <w:tcPr>
            <w:tcW w:w="1418" w:type="dxa"/>
          </w:tcPr>
          <w:p w:rsidR="00767C45" w:rsidRPr="00C45880" w:rsidRDefault="00767C45" w:rsidP="001E6676">
            <w:pPr>
              <w:spacing w:before="80" w:after="80"/>
              <w:jc w:val="left"/>
              <w:rPr>
                <w:b/>
                <w:sz w:val="20"/>
                <w:szCs w:val="20"/>
              </w:rPr>
            </w:pPr>
            <w:r w:rsidRPr="00C45880">
              <w:rPr>
                <w:b/>
                <w:sz w:val="20"/>
                <w:szCs w:val="20"/>
              </w:rPr>
              <w:t>$300 jacket</w:t>
            </w:r>
          </w:p>
        </w:tc>
        <w:tc>
          <w:tcPr>
            <w:tcW w:w="3858" w:type="dxa"/>
          </w:tcPr>
          <w:p w:rsidR="00767C45" w:rsidRPr="00C45880" w:rsidRDefault="00767C45" w:rsidP="001E6676">
            <w:pPr>
              <w:spacing w:before="80" w:after="80"/>
              <w:jc w:val="left"/>
              <w:rPr>
                <w:rStyle w:val="Emphasis"/>
                <w:sz w:val="20"/>
                <w:szCs w:val="20"/>
              </w:rPr>
            </w:pPr>
            <w:r w:rsidRPr="00C45880">
              <w:rPr>
                <w:rStyle w:val="Emphasis"/>
                <w:sz w:val="20"/>
                <w:szCs w:val="20"/>
              </w:rPr>
              <w:t xml:space="preserve">Total cost of consignment: </w:t>
            </w:r>
            <w:r w:rsidRPr="00C45880">
              <w:rPr>
                <w:rStyle w:val="Emphasis"/>
                <w:b/>
                <w:sz w:val="20"/>
                <w:szCs w:val="20"/>
              </w:rPr>
              <w:t>$432.17</w:t>
            </w:r>
          </w:p>
          <w:p w:rsidR="00767C45" w:rsidRPr="00C45880" w:rsidRDefault="00767C45" w:rsidP="001E6676">
            <w:pPr>
              <w:spacing w:before="80" w:after="80"/>
              <w:jc w:val="left"/>
              <w:rPr>
                <w:sz w:val="20"/>
                <w:szCs w:val="20"/>
              </w:rPr>
            </w:pPr>
            <w:r w:rsidRPr="00C45880">
              <w:rPr>
                <w:sz w:val="20"/>
                <w:szCs w:val="20"/>
              </w:rPr>
              <w:t xml:space="preserve">$300 jacket </w:t>
            </w:r>
            <w:r w:rsidR="002D2655" w:rsidRPr="00C45880">
              <w:rPr>
                <w:sz w:val="20"/>
                <w:szCs w:val="20"/>
              </w:rPr>
              <w:sym w:font="Symbol" w:char="F02B"/>
            </w:r>
            <w:r w:rsidRPr="00C45880">
              <w:rPr>
                <w:sz w:val="20"/>
                <w:szCs w:val="20"/>
              </w:rPr>
              <w:t xml:space="preserve"> $30 tariff (10% </w:t>
            </w:r>
            <w:r w:rsidR="002D2655" w:rsidRPr="00C45880">
              <w:rPr>
                <w:sz w:val="20"/>
                <w:szCs w:val="20"/>
              </w:rPr>
              <w:sym w:font="Symbol" w:char="F0B4"/>
            </w:r>
            <w:r w:rsidRPr="00C45880">
              <w:rPr>
                <w:sz w:val="20"/>
                <w:szCs w:val="20"/>
              </w:rPr>
              <w:t xml:space="preserve"> $300) </w:t>
            </w:r>
            <w:r w:rsidR="002D2655" w:rsidRPr="00C45880">
              <w:rPr>
                <w:sz w:val="20"/>
                <w:szCs w:val="20"/>
              </w:rPr>
              <w:sym w:font="Symbol" w:char="F02B"/>
            </w:r>
            <w:r w:rsidRPr="00C45880">
              <w:rPr>
                <w:sz w:val="20"/>
                <w:szCs w:val="20"/>
              </w:rPr>
              <w:t xml:space="preserve"> $49.50 GST (15% </w:t>
            </w:r>
            <w:r w:rsidR="002D2655" w:rsidRPr="00C45880">
              <w:rPr>
                <w:sz w:val="20"/>
                <w:szCs w:val="20"/>
              </w:rPr>
              <w:sym w:font="Symbol" w:char="F0B4"/>
            </w:r>
            <w:r w:rsidRPr="00C45880">
              <w:rPr>
                <w:sz w:val="20"/>
                <w:szCs w:val="20"/>
              </w:rPr>
              <w:t xml:space="preserve"> $330) </w:t>
            </w:r>
            <w:r w:rsidR="002D2655" w:rsidRPr="00C45880">
              <w:rPr>
                <w:sz w:val="20"/>
                <w:szCs w:val="20"/>
              </w:rPr>
              <w:sym w:font="Symbol" w:char="F02B"/>
            </w:r>
            <w:r w:rsidR="002D2655" w:rsidRPr="00C45880">
              <w:rPr>
                <w:sz w:val="20"/>
                <w:szCs w:val="20"/>
              </w:rPr>
              <w:t xml:space="preserve"> $52.67 border processing fee.</w:t>
            </w:r>
          </w:p>
        </w:tc>
        <w:tc>
          <w:tcPr>
            <w:tcW w:w="3858" w:type="dxa"/>
          </w:tcPr>
          <w:p w:rsidR="00767C45" w:rsidRPr="00C45880" w:rsidRDefault="00767C45" w:rsidP="001E6676">
            <w:pPr>
              <w:spacing w:before="80" w:after="80"/>
              <w:jc w:val="left"/>
              <w:rPr>
                <w:rStyle w:val="Emphasis"/>
                <w:sz w:val="20"/>
                <w:szCs w:val="20"/>
              </w:rPr>
            </w:pPr>
            <w:r w:rsidRPr="00C45880">
              <w:rPr>
                <w:rStyle w:val="Emphasis"/>
                <w:sz w:val="20"/>
                <w:szCs w:val="20"/>
              </w:rPr>
              <w:t xml:space="preserve">Total cost of consignment: </w:t>
            </w:r>
            <w:r w:rsidRPr="00C45880">
              <w:rPr>
                <w:rStyle w:val="Emphasis"/>
                <w:b/>
                <w:sz w:val="20"/>
                <w:szCs w:val="20"/>
              </w:rPr>
              <w:t>$345</w:t>
            </w:r>
          </w:p>
          <w:p w:rsidR="00767C45" w:rsidRPr="00C45880" w:rsidRDefault="00767C45" w:rsidP="001E6676">
            <w:pPr>
              <w:spacing w:before="80" w:after="80"/>
              <w:jc w:val="left"/>
              <w:rPr>
                <w:sz w:val="20"/>
                <w:szCs w:val="20"/>
              </w:rPr>
            </w:pPr>
            <w:r w:rsidRPr="00C45880">
              <w:rPr>
                <w:sz w:val="20"/>
                <w:szCs w:val="20"/>
              </w:rPr>
              <w:t xml:space="preserve">$300 jacket </w:t>
            </w:r>
            <w:r w:rsidR="002D2655" w:rsidRPr="00C45880">
              <w:rPr>
                <w:sz w:val="20"/>
                <w:szCs w:val="20"/>
              </w:rPr>
              <w:sym w:font="Symbol" w:char="F02B"/>
            </w:r>
            <w:r w:rsidRPr="00C45880">
              <w:rPr>
                <w:sz w:val="20"/>
                <w:szCs w:val="20"/>
              </w:rPr>
              <w:t xml:space="preserve"> $45 GST collected by the offshore supplier.</w:t>
            </w:r>
          </w:p>
        </w:tc>
      </w:tr>
      <w:tr w:rsidR="00767C45" w:rsidRPr="00C45880" w:rsidTr="00C7378C">
        <w:tc>
          <w:tcPr>
            <w:tcW w:w="1418" w:type="dxa"/>
          </w:tcPr>
          <w:p w:rsidR="00767C45" w:rsidRPr="00C45880" w:rsidRDefault="00767C45" w:rsidP="001E6676">
            <w:pPr>
              <w:spacing w:before="80" w:after="80"/>
              <w:jc w:val="left"/>
              <w:rPr>
                <w:b/>
                <w:sz w:val="20"/>
                <w:szCs w:val="20"/>
              </w:rPr>
            </w:pPr>
            <w:r w:rsidRPr="00C45880">
              <w:rPr>
                <w:b/>
                <w:sz w:val="20"/>
                <w:szCs w:val="20"/>
              </w:rPr>
              <w:t>$600 phone</w:t>
            </w:r>
          </w:p>
        </w:tc>
        <w:tc>
          <w:tcPr>
            <w:tcW w:w="3858" w:type="dxa"/>
          </w:tcPr>
          <w:p w:rsidR="00767C45" w:rsidRPr="00C45880" w:rsidRDefault="002D2655" w:rsidP="001E6676">
            <w:pPr>
              <w:spacing w:before="80" w:after="80"/>
              <w:jc w:val="left"/>
              <w:rPr>
                <w:i/>
                <w:sz w:val="20"/>
                <w:szCs w:val="20"/>
              </w:rPr>
            </w:pPr>
            <w:r w:rsidRPr="00C45880">
              <w:rPr>
                <w:i/>
                <w:sz w:val="20"/>
                <w:szCs w:val="20"/>
              </w:rPr>
              <w:t xml:space="preserve">Total cost of consignment: </w:t>
            </w:r>
            <w:r w:rsidRPr="00C45880">
              <w:rPr>
                <w:b/>
                <w:i/>
                <w:sz w:val="20"/>
                <w:szCs w:val="20"/>
              </w:rPr>
              <w:t>$742.67</w:t>
            </w:r>
          </w:p>
          <w:p w:rsidR="002D2655" w:rsidRPr="00C45880" w:rsidRDefault="002D2655" w:rsidP="001E6676">
            <w:pPr>
              <w:spacing w:before="80" w:after="80"/>
              <w:jc w:val="left"/>
              <w:rPr>
                <w:sz w:val="20"/>
                <w:szCs w:val="20"/>
              </w:rPr>
            </w:pPr>
            <w:r w:rsidRPr="00C45880">
              <w:rPr>
                <w:sz w:val="20"/>
                <w:szCs w:val="20"/>
              </w:rPr>
              <w:t xml:space="preserve">$600 phone </w:t>
            </w:r>
            <w:r w:rsidRPr="00C45880">
              <w:rPr>
                <w:sz w:val="20"/>
                <w:szCs w:val="20"/>
              </w:rPr>
              <w:sym w:font="Symbol" w:char="F02B"/>
            </w:r>
            <w:r w:rsidRPr="00C45880">
              <w:rPr>
                <w:sz w:val="20"/>
                <w:szCs w:val="20"/>
              </w:rPr>
              <w:t xml:space="preserve"> $90 GST (15% </w:t>
            </w:r>
            <w:r w:rsidRPr="00C45880">
              <w:rPr>
                <w:sz w:val="20"/>
                <w:szCs w:val="20"/>
              </w:rPr>
              <w:sym w:font="Symbol" w:char="F0B4"/>
            </w:r>
            <w:r w:rsidRPr="00C45880">
              <w:rPr>
                <w:sz w:val="20"/>
                <w:szCs w:val="20"/>
              </w:rPr>
              <w:t xml:space="preserve"> $600) </w:t>
            </w:r>
            <w:r w:rsidRPr="00C45880">
              <w:rPr>
                <w:sz w:val="20"/>
                <w:szCs w:val="20"/>
              </w:rPr>
              <w:sym w:font="Symbol" w:char="F02B"/>
            </w:r>
            <w:r w:rsidRPr="00C45880">
              <w:rPr>
                <w:sz w:val="20"/>
                <w:szCs w:val="20"/>
              </w:rPr>
              <w:t xml:space="preserve"> $52.67 border processing fee.</w:t>
            </w:r>
          </w:p>
        </w:tc>
        <w:tc>
          <w:tcPr>
            <w:tcW w:w="3858" w:type="dxa"/>
          </w:tcPr>
          <w:p w:rsidR="00767C45" w:rsidRPr="00C45880" w:rsidRDefault="002D2655" w:rsidP="001E6676">
            <w:pPr>
              <w:spacing w:before="80" w:after="80"/>
              <w:jc w:val="left"/>
              <w:rPr>
                <w:i/>
                <w:sz w:val="20"/>
                <w:szCs w:val="20"/>
              </w:rPr>
            </w:pPr>
            <w:r w:rsidRPr="00C45880">
              <w:rPr>
                <w:i/>
                <w:sz w:val="20"/>
                <w:szCs w:val="20"/>
              </w:rPr>
              <w:t xml:space="preserve">Total cost of consignment: </w:t>
            </w:r>
            <w:r w:rsidRPr="00C45880">
              <w:rPr>
                <w:b/>
                <w:i/>
                <w:sz w:val="20"/>
                <w:szCs w:val="20"/>
              </w:rPr>
              <w:t>$690</w:t>
            </w:r>
          </w:p>
          <w:p w:rsidR="002D2655" w:rsidRPr="00C45880" w:rsidRDefault="002D2655" w:rsidP="001E6676">
            <w:pPr>
              <w:spacing w:before="80" w:after="80"/>
              <w:jc w:val="left"/>
              <w:rPr>
                <w:sz w:val="20"/>
                <w:szCs w:val="20"/>
              </w:rPr>
            </w:pPr>
            <w:r w:rsidRPr="00C45880">
              <w:rPr>
                <w:sz w:val="20"/>
                <w:szCs w:val="20"/>
              </w:rPr>
              <w:t xml:space="preserve">$600 phone </w:t>
            </w:r>
            <w:r w:rsidRPr="00C45880">
              <w:rPr>
                <w:sz w:val="20"/>
                <w:szCs w:val="20"/>
              </w:rPr>
              <w:sym w:font="Symbol" w:char="F02B"/>
            </w:r>
            <w:r w:rsidRPr="00C45880">
              <w:rPr>
                <w:sz w:val="20"/>
                <w:szCs w:val="20"/>
              </w:rPr>
              <w:t xml:space="preserve"> $90 GST collected by the offshore supplier.</w:t>
            </w:r>
          </w:p>
        </w:tc>
      </w:tr>
    </w:tbl>
    <w:p w:rsidR="00767C45" w:rsidRPr="00C45880" w:rsidRDefault="00767C45" w:rsidP="00767C45"/>
    <w:p w:rsidR="00767C45" w:rsidRPr="00C45880" w:rsidRDefault="00767C45" w:rsidP="00767C45"/>
    <w:p w:rsidR="00767C45" w:rsidRPr="00C45880" w:rsidRDefault="00767C45" w:rsidP="002D2655">
      <w:pPr>
        <w:pStyle w:val="Heading1"/>
      </w:pPr>
      <w:r w:rsidRPr="00C45880">
        <w:t>Registration requirements for offshore suppliers</w:t>
      </w:r>
    </w:p>
    <w:p w:rsidR="00767C45" w:rsidRPr="00C45880" w:rsidRDefault="00767C45" w:rsidP="00767C45"/>
    <w:p w:rsidR="00767C45" w:rsidRPr="00C45880" w:rsidRDefault="00767C45" w:rsidP="00767C45">
      <w:r w:rsidRPr="00C45880">
        <w:t>Offshore suppliers would be required to register and return GST if their total taxable supplies in a 12-month period to consumers in New Zealand exceed $60,000. This is the same threshold that applies to domestic businesses and to offshore suppliers of cross-border services. Offshore suppliers would not be required to collect GST on goods supplied to GST-registered businesses.</w:t>
      </w:r>
    </w:p>
    <w:p w:rsidR="00767C45" w:rsidRPr="00C45880" w:rsidRDefault="00767C45" w:rsidP="00767C45"/>
    <w:p w:rsidR="002D2655" w:rsidRPr="00C45880" w:rsidRDefault="002D2655" w:rsidP="00767C45"/>
    <w:p w:rsidR="00767C45" w:rsidRPr="00C45880" w:rsidRDefault="00767C45" w:rsidP="002D2655">
      <w:pPr>
        <w:pStyle w:val="Heading1"/>
      </w:pPr>
      <w:r w:rsidRPr="00C45880">
        <w:t>Rules for electronic marketplaces</w:t>
      </w:r>
    </w:p>
    <w:p w:rsidR="00767C45" w:rsidRPr="00C45880" w:rsidRDefault="00767C45" w:rsidP="00767C45"/>
    <w:p w:rsidR="00767C45" w:rsidRPr="00C45880" w:rsidRDefault="00767C45" w:rsidP="00767C45">
      <w:r w:rsidRPr="00C45880">
        <w:t>The offshore supplier registration system will include special rules for electronic marketplaces. These rules would apply in situations where an offshore supplier sells their goods through a marketplace. Marketplaces would be required to collect and return the GST on the supplies of low-value goods made to New Zealand consumers by non-resident suppliers on the marketplaces’ platforms.</w:t>
      </w:r>
    </w:p>
    <w:p w:rsidR="00767C45" w:rsidRPr="00C45880" w:rsidRDefault="00767C45" w:rsidP="00767C45"/>
    <w:p w:rsidR="00767C45" w:rsidRPr="00C45880" w:rsidRDefault="00767C45" w:rsidP="00767C45">
      <w:r w:rsidRPr="00C45880">
        <w:lastRenderedPageBreak/>
        <w:t xml:space="preserve">The rules for electronic marketplaces apply broadly to both resident and non-resident marketplace operators. A marketplace would only not be liable for collecting GST on the sales made on their platform if they do not authorise the payment, authorise the delivery or directly or indirectly set any of the </w:t>
      </w:r>
      <w:r w:rsidR="001E38A6">
        <w:t xml:space="preserve">terms or </w:t>
      </w:r>
      <w:r w:rsidRPr="00C45880">
        <w:t>conditions of the supply. These rules are consistent with Australia’s equivalent rules for electronic distribution platforms.</w:t>
      </w:r>
    </w:p>
    <w:p w:rsidR="00767C45" w:rsidRPr="00C45880" w:rsidRDefault="00767C45" w:rsidP="00767C45"/>
    <w:p w:rsidR="00767C45" w:rsidRPr="00C45880" w:rsidRDefault="00767C45" w:rsidP="00767C45">
      <w:r w:rsidRPr="00C45880">
        <w:t>The $60,000 registration threshold w</w:t>
      </w:r>
      <w:r w:rsidR="001E38A6">
        <w:t>ould</w:t>
      </w:r>
      <w:r w:rsidRPr="00C45880">
        <w:t xml:space="preserve"> also apply to marketplaces.</w:t>
      </w:r>
    </w:p>
    <w:p w:rsidR="00767C45" w:rsidRPr="00C45880" w:rsidRDefault="00767C45" w:rsidP="00767C45"/>
    <w:p w:rsidR="002D2655" w:rsidRPr="00C45880" w:rsidRDefault="002D2655" w:rsidP="00767C45"/>
    <w:p w:rsidR="00767C45" w:rsidRPr="00C45880" w:rsidRDefault="00767C45" w:rsidP="002D2655">
      <w:pPr>
        <w:pStyle w:val="Heading1"/>
      </w:pPr>
      <w:r w:rsidRPr="00C45880">
        <w:t>Rules for re-deliverers</w:t>
      </w:r>
    </w:p>
    <w:p w:rsidR="00767C45" w:rsidRPr="00C45880" w:rsidRDefault="00767C45" w:rsidP="00767C45"/>
    <w:p w:rsidR="00767C45" w:rsidRPr="00C45880" w:rsidRDefault="00767C45" w:rsidP="00767C45">
      <w:r w:rsidRPr="00C45880">
        <w:t>The offshore supplier registration system will also include special rules for re-deliverers.</w:t>
      </w:r>
      <w:r w:rsidR="00B3081B">
        <w:br/>
      </w:r>
      <w:r w:rsidRPr="00C45880">
        <w:t>Re-deliverers are used by consumers when the supplier or marketplace does not offer shipping to New Zealand. The good is instead shipped to an overseas “hub” or mailbox, which then ships the good to New Zealand. Under the rules, re-deliverers would be required to register and return GST in respect of goods that they “re-deliver” to a New Zealand address. These rules w</w:t>
      </w:r>
      <w:r w:rsidR="001E38A6">
        <w:t>ould</w:t>
      </w:r>
      <w:r w:rsidRPr="00C45880">
        <w:t xml:space="preserve"> apply equally to both resident and non-resident re-deliverers.</w:t>
      </w:r>
    </w:p>
    <w:p w:rsidR="00767C45" w:rsidRPr="00C45880" w:rsidRDefault="00767C45" w:rsidP="00767C45"/>
    <w:p w:rsidR="00767C45" w:rsidRPr="00C45880" w:rsidRDefault="00767C45" w:rsidP="00767C45">
      <w:r w:rsidRPr="00C45880">
        <w:t>The $60,000 GST registration threshold w</w:t>
      </w:r>
      <w:r w:rsidR="001E38A6">
        <w:t>ould</w:t>
      </w:r>
      <w:r w:rsidRPr="00C45880">
        <w:t xml:space="preserve"> also apply to re-deliverers.</w:t>
      </w:r>
    </w:p>
    <w:p w:rsidR="00767C45" w:rsidRPr="00C45880" w:rsidRDefault="00767C45" w:rsidP="00767C45"/>
    <w:p w:rsidR="002D2655" w:rsidRPr="00C45880" w:rsidRDefault="002D2655" w:rsidP="00767C45"/>
    <w:p w:rsidR="00767C45" w:rsidRPr="00C45880" w:rsidRDefault="00767C45" w:rsidP="002D2655">
      <w:pPr>
        <w:pStyle w:val="Heading1"/>
      </w:pPr>
      <w:r w:rsidRPr="00C45880">
        <w:t>Next steps</w:t>
      </w:r>
    </w:p>
    <w:p w:rsidR="002D2655" w:rsidRPr="00C45880" w:rsidRDefault="002D2655" w:rsidP="00767C45"/>
    <w:p w:rsidR="00767C45" w:rsidRPr="00C45880" w:rsidRDefault="00767C45" w:rsidP="00767C45">
      <w:r w:rsidRPr="00C45880">
        <w:t>The proposed rules will be included in a bill currently scheduled for introduction in November 2018.</w:t>
      </w:r>
    </w:p>
    <w:sectPr w:rsidR="00767C45" w:rsidRPr="00C45880" w:rsidSect="009D27A0">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BC4" w:rsidRDefault="00413BC4" w:rsidP="00DE5454">
      <w:r>
        <w:separator/>
      </w:r>
    </w:p>
  </w:endnote>
  <w:endnote w:type="continuationSeparator" w:id="0">
    <w:p w:rsidR="00413BC4" w:rsidRDefault="00413BC4" w:rsidP="00DE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359102"/>
      <w:docPartObj>
        <w:docPartGallery w:val="Page Numbers (Bottom of Page)"/>
        <w:docPartUnique/>
      </w:docPartObj>
    </w:sdtPr>
    <w:sdtEndPr>
      <w:rPr>
        <w:noProof/>
        <w:sz w:val="22"/>
      </w:rPr>
    </w:sdtEndPr>
    <w:sdtContent>
      <w:p w:rsidR="00413BC4" w:rsidRPr="00984A50" w:rsidRDefault="00413BC4" w:rsidP="00984A50">
        <w:pPr>
          <w:pStyle w:val="Footer"/>
          <w:jc w:val="center"/>
          <w:rPr>
            <w:sz w:val="22"/>
          </w:rPr>
        </w:pPr>
        <w:r w:rsidRPr="00984A50">
          <w:rPr>
            <w:sz w:val="22"/>
          </w:rPr>
          <w:fldChar w:fldCharType="begin"/>
        </w:r>
        <w:r w:rsidRPr="00984A50">
          <w:rPr>
            <w:sz w:val="22"/>
          </w:rPr>
          <w:instrText xml:space="preserve"> PAGE   \* MERGEFORMAT </w:instrText>
        </w:r>
        <w:r w:rsidRPr="00984A50">
          <w:rPr>
            <w:sz w:val="22"/>
          </w:rPr>
          <w:fldChar w:fldCharType="separate"/>
        </w:r>
        <w:r w:rsidR="00D77E26">
          <w:rPr>
            <w:noProof/>
            <w:sz w:val="22"/>
          </w:rPr>
          <w:t>1</w:t>
        </w:r>
        <w:r w:rsidRPr="00984A50">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BC4" w:rsidRDefault="00413BC4" w:rsidP="00DE5454">
      <w:r>
        <w:separator/>
      </w:r>
    </w:p>
  </w:footnote>
  <w:footnote w:type="continuationSeparator" w:id="0">
    <w:p w:rsidR="00413BC4" w:rsidRDefault="00413BC4" w:rsidP="00DE5454">
      <w:r>
        <w:continuationSeparator/>
      </w:r>
    </w:p>
  </w:footnote>
  <w:footnote w:id="1">
    <w:p w:rsidR="00767C45" w:rsidRDefault="00767C45">
      <w:pPr>
        <w:pStyle w:val="FootnoteText"/>
      </w:pPr>
      <w:r>
        <w:rPr>
          <w:rStyle w:val="FootnoteReference"/>
        </w:rPr>
        <w:footnoteRef/>
      </w:r>
      <w:r>
        <w:t xml:space="preserve"> </w:t>
      </w:r>
      <w:r w:rsidRPr="00767C45">
        <w:t>The exceptions to this are alcohol and tobacco products. Excise taxes, GST and other charges would continue to be collected on these goods at the border by Customs, regardless of their value.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519"/>
    <w:multiLevelType w:val="hybridMultilevel"/>
    <w:tmpl w:val="70FE57FA"/>
    <w:lvl w:ilvl="0" w:tplc="825C818A">
      <w:start w:val="1"/>
      <w:numFmt w:val="bullet"/>
      <w:pStyle w:val="List-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AC028CE"/>
    <w:multiLevelType w:val="multilevel"/>
    <w:tmpl w:val="3BF4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1F016E"/>
    <w:multiLevelType w:val="hybridMultilevel"/>
    <w:tmpl w:val="10E09D46"/>
    <w:lvl w:ilvl="0" w:tplc="14090001">
      <w:start w:val="1"/>
      <w:numFmt w:val="bullet"/>
      <w:lvlText w:val=""/>
      <w:lvlJc w:val="left"/>
      <w:pPr>
        <w:ind w:left="270" w:hanging="360"/>
      </w:pPr>
      <w:rPr>
        <w:rFonts w:ascii="Symbol" w:hAnsi="Symbol" w:hint="default"/>
      </w:rPr>
    </w:lvl>
    <w:lvl w:ilvl="1" w:tplc="14090003" w:tentative="1">
      <w:start w:val="1"/>
      <w:numFmt w:val="bullet"/>
      <w:lvlText w:val="o"/>
      <w:lvlJc w:val="left"/>
      <w:pPr>
        <w:ind w:left="990" w:hanging="360"/>
      </w:pPr>
      <w:rPr>
        <w:rFonts w:ascii="Courier New" w:hAnsi="Courier New" w:cs="Courier New" w:hint="default"/>
      </w:rPr>
    </w:lvl>
    <w:lvl w:ilvl="2" w:tplc="14090005" w:tentative="1">
      <w:start w:val="1"/>
      <w:numFmt w:val="bullet"/>
      <w:lvlText w:val=""/>
      <w:lvlJc w:val="left"/>
      <w:pPr>
        <w:ind w:left="1710" w:hanging="360"/>
      </w:pPr>
      <w:rPr>
        <w:rFonts w:ascii="Wingdings" w:hAnsi="Wingdings" w:hint="default"/>
      </w:rPr>
    </w:lvl>
    <w:lvl w:ilvl="3" w:tplc="14090001" w:tentative="1">
      <w:start w:val="1"/>
      <w:numFmt w:val="bullet"/>
      <w:lvlText w:val=""/>
      <w:lvlJc w:val="left"/>
      <w:pPr>
        <w:ind w:left="2430" w:hanging="360"/>
      </w:pPr>
      <w:rPr>
        <w:rFonts w:ascii="Symbol" w:hAnsi="Symbol" w:hint="default"/>
      </w:rPr>
    </w:lvl>
    <w:lvl w:ilvl="4" w:tplc="14090003" w:tentative="1">
      <w:start w:val="1"/>
      <w:numFmt w:val="bullet"/>
      <w:lvlText w:val="o"/>
      <w:lvlJc w:val="left"/>
      <w:pPr>
        <w:ind w:left="3150" w:hanging="360"/>
      </w:pPr>
      <w:rPr>
        <w:rFonts w:ascii="Courier New" w:hAnsi="Courier New" w:cs="Courier New" w:hint="default"/>
      </w:rPr>
    </w:lvl>
    <w:lvl w:ilvl="5" w:tplc="14090005" w:tentative="1">
      <w:start w:val="1"/>
      <w:numFmt w:val="bullet"/>
      <w:lvlText w:val=""/>
      <w:lvlJc w:val="left"/>
      <w:pPr>
        <w:ind w:left="3870" w:hanging="360"/>
      </w:pPr>
      <w:rPr>
        <w:rFonts w:ascii="Wingdings" w:hAnsi="Wingdings" w:hint="default"/>
      </w:rPr>
    </w:lvl>
    <w:lvl w:ilvl="6" w:tplc="14090001" w:tentative="1">
      <w:start w:val="1"/>
      <w:numFmt w:val="bullet"/>
      <w:lvlText w:val=""/>
      <w:lvlJc w:val="left"/>
      <w:pPr>
        <w:ind w:left="4590" w:hanging="360"/>
      </w:pPr>
      <w:rPr>
        <w:rFonts w:ascii="Symbol" w:hAnsi="Symbol" w:hint="default"/>
      </w:rPr>
    </w:lvl>
    <w:lvl w:ilvl="7" w:tplc="14090003" w:tentative="1">
      <w:start w:val="1"/>
      <w:numFmt w:val="bullet"/>
      <w:lvlText w:val="o"/>
      <w:lvlJc w:val="left"/>
      <w:pPr>
        <w:ind w:left="5310" w:hanging="360"/>
      </w:pPr>
      <w:rPr>
        <w:rFonts w:ascii="Courier New" w:hAnsi="Courier New" w:cs="Courier New" w:hint="default"/>
      </w:rPr>
    </w:lvl>
    <w:lvl w:ilvl="8" w:tplc="14090005" w:tentative="1">
      <w:start w:val="1"/>
      <w:numFmt w:val="bullet"/>
      <w:lvlText w:val=""/>
      <w:lvlJc w:val="left"/>
      <w:pPr>
        <w:ind w:left="6030" w:hanging="360"/>
      </w:pPr>
      <w:rPr>
        <w:rFonts w:ascii="Wingdings" w:hAnsi="Wingdings" w:hint="default"/>
      </w:rPr>
    </w:lvl>
  </w:abstractNum>
  <w:abstractNum w:abstractNumId="3">
    <w:nsid w:val="124E6CC1"/>
    <w:multiLevelType w:val="hybridMultilevel"/>
    <w:tmpl w:val="6114AE74"/>
    <w:lvl w:ilvl="0" w:tplc="74E623D8">
      <w:numFmt w:val="bullet"/>
      <w:lvlText w:val="-"/>
      <w:lvlJc w:val="left"/>
      <w:pPr>
        <w:ind w:left="135" w:hanging="585"/>
      </w:pPr>
      <w:rPr>
        <w:rFonts w:ascii="Verdana" w:eastAsia="Times New Roman" w:hAnsi="Verdana" w:cs="Times New Roman" w:hint="default"/>
      </w:rPr>
    </w:lvl>
    <w:lvl w:ilvl="1" w:tplc="14090003" w:tentative="1">
      <w:start w:val="1"/>
      <w:numFmt w:val="bullet"/>
      <w:lvlText w:val="o"/>
      <w:lvlJc w:val="left"/>
      <w:pPr>
        <w:ind w:left="630" w:hanging="360"/>
      </w:pPr>
      <w:rPr>
        <w:rFonts w:ascii="Courier New" w:hAnsi="Courier New" w:cs="Courier New" w:hint="default"/>
      </w:rPr>
    </w:lvl>
    <w:lvl w:ilvl="2" w:tplc="14090005" w:tentative="1">
      <w:start w:val="1"/>
      <w:numFmt w:val="bullet"/>
      <w:lvlText w:val=""/>
      <w:lvlJc w:val="left"/>
      <w:pPr>
        <w:ind w:left="1350" w:hanging="360"/>
      </w:pPr>
      <w:rPr>
        <w:rFonts w:ascii="Wingdings" w:hAnsi="Wingdings" w:hint="default"/>
      </w:rPr>
    </w:lvl>
    <w:lvl w:ilvl="3" w:tplc="14090001" w:tentative="1">
      <w:start w:val="1"/>
      <w:numFmt w:val="bullet"/>
      <w:lvlText w:val=""/>
      <w:lvlJc w:val="left"/>
      <w:pPr>
        <w:ind w:left="2070" w:hanging="360"/>
      </w:pPr>
      <w:rPr>
        <w:rFonts w:ascii="Symbol" w:hAnsi="Symbol" w:hint="default"/>
      </w:rPr>
    </w:lvl>
    <w:lvl w:ilvl="4" w:tplc="14090003" w:tentative="1">
      <w:start w:val="1"/>
      <w:numFmt w:val="bullet"/>
      <w:lvlText w:val="o"/>
      <w:lvlJc w:val="left"/>
      <w:pPr>
        <w:ind w:left="2790" w:hanging="360"/>
      </w:pPr>
      <w:rPr>
        <w:rFonts w:ascii="Courier New" w:hAnsi="Courier New" w:cs="Courier New" w:hint="default"/>
      </w:rPr>
    </w:lvl>
    <w:lvl w:ilvl="5" w:tplc="14090005" w:tentative="1">
      <w:start w:val="1"/>
      <w:numFmt w:val="bullet"/>
      <w:lvlText w:val=""/>
      <w:lvlJc w:val="left"/>
      <w:pPr>
        <w:ind w:left="3510" w:hanging="360"/>
      </w:pPr>
      <w:rPr>
        <w:rFonts w:ascii="Wingdings" w:hAnsi="Wingdings" w:hint="default"/>
      </w:rPr>
    </w:lvl>
    <w:lvl w:ilvl="6" w:tplc="14090001" w:tentative="1">
      <w:start w:val="1"/>
      <w:numFmt w:val="bullet"/>
      <w:lvlText w:val=""/>
      <w:lvlJc w:val="left"/>
      <w:pPr>
        <w:ind w:left="4230" w:hanging="360"/>
      </w:pPr>
      <w:rPr>
        <w:rFonts w:ascii="Symbol" w:hAnsi="Symbol" w:hint="default"/>
      </w:rPr>
    </w:lvl>
    <w:lvl w:ilvl="7" w:tplc="14090003" w:tentative="1">
      <w:start w:val="1"/>
      <w:numFmt w:val="bullet"/>
      <w:lvlText w:val="o"/>
      <w:lvlJc w:val="left"/>
      <w:pPr>
        <w:ind w:left="4950" w:hanging="360"/>
      </w:pPr>
      <w:rPr>
        <w:rFonts w:ascii="Courier New" w:hAnsi="Courier New" w:cs="Courier New" w:hint="default"/>
      </w:rPr>
    </w:lvl>
    <w:lvl w:ilvl="8" w:tplc="14090005" w:tentative="1">
      <w:start w:val="1"/>
      <w:numFmt w:val="bullet"/>
      <w:lvlText w:val=""/>
      <w:lvlJc w:val="left"/>
      <w:pPr>
        <w:ind w:left="5670" w:hanging="360"/>
      </w:pPr>
      <w:rPr>
        <w:rFonts w:ascii="Wingdings" w:hAnsi="Wingdings" w:hint="default"/>
      </w:rPr>
    </w:lvl>
  </w:abstractNum>
  <w:abstractNum w:abstractNumId="4">
    <w:nsid w:val="17A84E67"/>
    <w:multiLevelType w:val="multilevel"/>
    <w:tmpl w:val="F61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7509E"/>
    <w:multiLevelType w:val="hybridMultilevel"/>
    <w:tmpl w:val="E9BEC7FC"/>
    <w:lvl w:ilvl="0" w:tplc="1876BB9C">
      <w:start w:val="1"/>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3F11DAE"/>
    <w:multiLevelType w:val="multilevel"/>
    <w:tmpl w:val="907E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63DB6"/>
    <w:multiLevelType w:val="hybridMultilevel"/>
    <w:tmpl w:val="EEC2104E"/>
    <w:lvl w:ilvl="0" w:tplc="C0365B8E">
      <w:start w:val="1"/>
      <w:numFmt w:val="decimal"/>
      <w:lvlText w:val="%1."/>
      <w:lvlJc w:val="left"/>
      <w:pPr>
        <w:ind w:left="-88" w:hanging="360"/>
      </w:pPr>
      <w:rPr>
        <w:rFonts w:hint="default"/>
      </w:rPr>
    </w:lvl>
    <w:lvl w:ilvl="1" w:tplc="14090019" w:tentative="1">
      <w:start w:val="1"/>
      <w:numFmt w:val="lowerLetter"/>
      <w:lvlText w:val="%2."/>
      <w:lvlJc w:val="left"/>
      <w:pPr>
        <w:ind w:left="632" w:hanging="360"/>
      </w:pPr>
    </w:lvl>
    <w:lvl w:ilvl="2" w:tplc="1409001B" w:tentative="1">
      <w:start w:val="1"/>
      <w:numFmt w:val="lowerRoman"/>
      <w:lvlText w:val="%3."/>
      <w:lvlJc w:val="right"/>
      <w:pPr>
        <w:ind w:left="1352" w:hanging="180"/>
      </w:pPr>
    </w:lvl>
    <w:lvl w:ilvl="3" w:tplc="1409000F" w:tentative="1">
      <w:start w:val="1"/>
      <w:numFmt w:val="decimal"/>
      <w:lvlText w:val="%4."/>
      <w:lvlJc w:val="left"/>
      <w:pPr>
        <w:ind w:left="2072" w:hanging="360"/>
      </w:pPr>
    </w:lvl>
    <w:lvl w:ilvl="4" w:tplc="14090019" w:tentative="1">
      <w:start w:val="1"/>
      <w:numFmt w:val="lowerLetter"/>
      <w:lvlText w:val="%5."/>
      <w:lvlJc w:val="left"/>
      <w:pPr>
        <w:ind w:left="2792" w:hanging="360"/>
      </w:pPr>
    </w:lvl>
    <w:lvl w:ilvl="5" w:tplc="1409001B" w:tentative="1">
      <w:start w:val="1"/>
      <w:numFmt w:val="lowerRoman"/>
      <w:lvlText w:val="%6."/>
      <w:lvlJc w:val="right"/>
      <w:pPr>
        <w:ind w:left="3512" w:hanging="180"/>
      </w:pPr>
    </w:lvl>
    <w:lvl w:ilvl="6" w:tplc="1409000F" w:tentative="1">
      <w:start w:val="1"/>
      <w:numFmt w:val="decimal"/>
      <w:lvlText w:val="%7."/>
      <w:lvlJc w:val="left"/>
      <w:pPr>
        <w:ind w:left="4232" w:hanging="360"/>
      </w:pPr>
    </w:lvl>
    <w:lvl w:ilvl="7" w:tplc="14090019" w:tentative="1">
      <w:start w:val="1"/>
      <w:numFmt w:val="lowerLetter"/>
      <w:lvlText w:val="%8."/>
      <w:lvlJc w:val="left"/>
      <w:pPr>
        <w:ind w:left="4952" w:hanging="360"/>
      </w:pPr>
    </w:lvl>
    <w:lvl w:ilvl="8" w:tplc="1409001B" w:tentative="1">
      <w:start w:val="1"/>
      <w:numFmt w:val="lowerRoman"/>
      <w:lvlText w:val="%9."/>
      <w:lvlJc w:val="right"/>
      <w:pPr>
        <w:ind w:left="5672" w:hanging="180"/>
      </w:pPr>
    </w:lvl>
  </w:abstractNum>
  <w:abstractNum w:abstractNumId="8">
    <w:nsid w:val="2AC04AA9"/>
    <w:multiLevelType w:val="multilevel"/>
    <w:tmpl w:val="1762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3E5373"/>
    <w:multiLevelType w:val="hybridMultilevel"/>
    <w:tmpl w:val="60A2B422"/>
    <w:lvl w:ilvl="0" w:tplc="34981EF6">
      <w:start w:val="1"/>
      <w:numFmt w:val="decimal"/>
      <w:pStyle w:val="List-Numbered"/>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nsid w:val="2E6212F7"/>
    <w:multiLevelType w:val="hybridMultilevel"/>
    <w:tmpl w:val="8B62D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09F7EFF"/>
    <w:multiLevelType w:val="multilevel"/>
    <w:tmpl w:val="83E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D277A1"/>
    <w:multiLevelType w:val="hybridMultilevel"/>
    <w:tmpl w:val="72688B92"/>
    <w:lvl w:ilvl="0" w:tplc="4378E7BA">
      <w:start w:val="1"/>
      <w:numFmt w:val="bullet"/>
      <w:lvlText w:val=""/>
      <w:lvlJc w:val="left"/>
      <w:pPr>
        <w:ind w:left="135" w:hanging="585"/>
      </w:pPr>
      <w:rPr>
        <w:rFonts w:ascii="Symbol" w:hAnsi="Symbol" w:hint="default"/>
        <w:b/>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27421B8"/>
    <w:multiLevelType w:val="hybridMultilevel"/>
    <w:tmpl w:val="96C45C90"/>
    <w:lvl w:ilvl="0" w:tplc="74E623D8">
      <w:numFmt w:val="bullet"/>
      <w:lvlText w:val="-"/>
      <w:lvlJc w:val="left"/>
      <w:pPr>
        <w:ind w:left="135" w:hanging="585"/>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C423DC7"/>
    <w:multiLevelType w:val="hybridMultilevel"/>
    <w:tmpl w:val="96281EDE"/>
    <w:lvl w:ilvl="0" w:tplc="14090005">
      <w:start w:val="1"/>
      <w:numFmt w:val="bullet"/>
      <w:lvlText w:val=""/>
      <w:lvlJc w:val="left"/>
      <w:pPr>
        <w:ind w:left="-90" w:hanging="360"/>
      </w:pPr>
      <w:rPr>
        <w:rFonts w:ascii="Wingdings" w:hAnsi="Wingdings" w:hint="default"/>
      </w:rPr>
    </w:lvl>
    <w:lvl w:ilvl="1" w:tplc="14090003" w:tentative="1">
      <w:start w:val="1"/>
      <w:numFmt w:val="bullet"/>
      <w:lvlText w:val="o"/>
      <w:lvlJc w:val="left"/>
      <w:pPr>
        <w:ind w:left="630" w:hanging="360"/>
      </w:pPr>
      <w:rPr>
        <w:rFonts w:ascii="Courier New" w:hAnsi="Courier New" w:cs="Courier New" w:hint="default"/>
      </w:rPr>
    </w:lvl>
    <w:lvl w:ilvl="2" w:tplc="14090005" w:tentative="1">
      <w:start w:val="1"/>
      <w:numFmt w:val="bullet"/>
      <w:lvlText w:val=""/>
      <w:lvlJc w:val="left"/>
      <w:pPr>
        <w:ind w:left="1350" w:hanging="360"/>
      </w:pPr>
      <w:rPr>
        <w:rFonts w:ascii="Wingdings" w:hAnsi="Wingdings" w:hint="default"/>
      </w:rPr>
    </w:lvl>
    <w:lvl w:ilvl="3" w:tplc="14090001" w:tentative="1">
      <w:start w:val="1"/>
      <w:numFmt w:val="bullet"/>
      <w:lvlText w:val=""/>
      <w:lvlJc w:val="left"/>
      <w:pPr>
        <w:ind w:left="2070" w:hanging="360"/>
      </w:pPr>
      <w:rPr>
        <w:rFonts w:ascii="Symbol" w:hAnsi="Symbol" w:hint="default"/>
      </w:rPr>
    </w:lvl>
    <w:lvl w:ilvl="4" w:tplc="14090003" w:tentative="1">
      <w:start w:val="1"/>
      <w:numFmt w:val="bullet"/>
      <w:lvlText w:val="o"/>
      <w:lvlJc w:val="left"/>
      <w:pPr>
        <w:ind w:left="2790" w:hanging="360"/>
      </w:pPr>
      <w:rPr>
        <w:rFonts w:ascii="Courier New" w:hAnsi="Courier New" w:cs="Courier New" w:hint="default"/>
      </w:rPr>
    </w:lvl>
    <w:lvl w:ilvl="5" w:tplc="14090005" w:tentative="1">
      <w:start w:val="1"/>
      <w:numFmt w:val="bullet"/>
      <w:lvlText w:val=""/>
      <w:lvlJc w:val="left"/>
      <w:pPr>
        <w:ind w:left="3510" w:hanging="360"/>
      </w:pPr>
      <w:rPr>
        <w:rFonts w:ascii="Wingdings" w:hAnsi="Wingdings" w:hint="default"/>
      </w:rPr>
    </w:lvl>
    <w:lvl w:ilvl="6" w:tplc="14090001" w:tentative="1">
      <w:start w:val="1"/>
      <w:numFmt w:val="bullet"/>
      <w:lvlText w:val=""/>
      <w:lvlJc w:val="left"/>
      <w:pPr>
        <w:ind w:left="4230" w:hanging="360"/>
      </w:pPr>
      <w:rPr>
        <w:rFonts w:ascii="Symbol" w:hAnsi="Symbol" w:hint="default"/>
      </w:rPr>
    </w:lvl>
    <w:lvl w:ilvl="7" w:tplc="14090003" w:tentative="1">
      <w:start w:val="1"/>
      <w:numFmt w:val="bullet"/>
      <w:lvlText w:val="o"/>
      <w:lvlJc w:val="left"/>
      <w:pPr>
        <w:ind w:left="4950" w:hanging="360"/>
      </w:pPr>
      <w:rPr>
        <w:rFonts w:ascii="Courier New" w:hAnsi="Courier New" w:cs="Courier New" w:hint="default"/>
      </w:rPr>
    </w:lvl>
    <w:lvl w:ilvl="8" w:tplc="14090005" w:tentative="1">
      <w:start w:val="1"/>
      <w:numFmt w:val="bullet"/>
      <w:lvlText w:val=""/>
      <w:lvlJc w:val="left"/>
      <w:pPr>
        <w:ind w:left="5670" w:hanging="360"/>
      </w:pPr>
      <w:rPr>
        <w:rFonts w:ascii="Wingdings" w:hAnsi="Wingdings" w:hint="default"/>
      </w:rPr>
    </w:lvl>
  </w:abstractNum>
  <w:abstractNum w:abstractNumId="15">
    <w:nsid w:val="57C14008"/>
    <w:multiLevelType w:val="multilevel"/>
    <w:tmpl w:val="8348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190B92"/>
    <w:multiLevelType w:val="hybridMultilevel"/>
    <w:tmpl w:val="1BF28D2E"/>
    <w:lvl w:ilvl="0" w:tplc="1409000F">
      <w:start w:val="1"/>
      <w:numFmt w:val="decimal"/>
      <w:lvlText w:val="%1."/>
      <w:lvlJc w:val="left"/>
      <w:pPr>
        <w:ind w:left="644"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5C087A91"/>
    <w:multiLevelType w:val="multilevel"/>
    <w:tmpl w:val="DB2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6E39D7"/>
    <w:multiLevelType w:val="hybridMultilevel"/>
    <w:tmpl w:val="50E4BAA2"/>
    <w:lvl w:ilvl="0" w:tplc="6CD0EBE4">
      <w:numFmt w:val="bullet"/>
      <w:lvlText w:val=""/>
      <w:lvlJc w:val="left"/>
      <w:pPr>
        <w:ind w:left="-90" w:hanging="360"/>
      </w:pPr>
      <w:rPr>
        <w:rFonts w:ascii="Symbol" w:eastAsia="Times New Roman" w:hAnsi="Symbol" w:cs="Times New Roman" w:hint="default"/>
      </w:rPr>
    </w:lvl>
    <w:lvl w:ilvl="1" w:tplc="14090003" w:tentative="1">
      <w:start w:val="1"/>
      <w:numFmt w:val="bullet"/>
      <w:lvlText w:val="o"/>
      <w:lvlJc w:val="left"/>
      <w:pPr>
        <w:ind w:left="630" w:hanging="360"/>
      </w:pPr>
      <w:rPr>
        <w:rFonts w:ascii="Courier New" w:hAnsi="Courier New" w:cs="Courier New" w:hint="default"/>
      </w:rPr>
    </w:lvl>
    <w:lvl w:ilvl="2" w:tplc="14090005" w:tentative="1">
      <w:start w:val="1"/>
      <w:numFmt w:val="bullet"/>
      <w:lvlText w:val=""/>
      <w:lvlJc w:val="left"/>
      <w:pPr>
        <w:ind w:left="1350" w:hanging="360"/>
      </w:pPr>
      <w:rPr>
        <w:rFonts w:ascii="Wingdings" w:hAnsi="Wingdings" w:hint="default"/>
      </w:rPr>
    </w:lvl>
    <w:lvl w:ilvl="3" w:tplc="14090001" w:tentative="1">
      <w:start w:val="1"/>
      <w:numFmt w:val="bullet"/>
      <w:lvlText w:val=""/>
      <w:lvlJc w:val="left"/>
      <w:pPr>
        <w:ind w:left="2070" w:hanging="360"/>
      </w:pPr>
      <w:rPr>
        <w:rFonts w:ascii="Symbol" w:hAnsi="Symbol" w:hint="default"/>
      </w:rPr>
    </w:lvl>
    <w:lvl w:ilvl="4" w:tplc="14090003" w:tentative="1">
      <w:start w:val="1"/>
      <w:numFmt w:val="bullet"/>
      <w:lvlText w:val="o"/>
      <w:lvlJc w:val="left"/>
      <w:pPr>
        <w:ind w:left="2790" w:hanging="360"/>
      </w:pPr>
      <w:rPr>
        <w:rFonts w:ascii="Courier New" w:hAnsi="Courier New" w:cs="Courier New" w:hint="default"/>
      </w:rPr>
    </w:lvl>
    <w:lvl w:ilvl="5" w:tplc="14090005" w:tentative="1">
      <w:start w:val="1"/>
      <w:numFmt w:val="bullet"/>
      <w:lvlText w:val=""/>
      <w:lvlJc w:val="left"/>
      <w:pPr>
        <w:ind w:left="3510" w:hanging="360"/>
      </w:pPr>
      <w:rPr>
        <w:rFonts w:ascii="Wingdings" w:hAnsi="Wingdings" w:hint="default"/>
      </w:rPr>
    </w:lvl>
    <w:lvl w:ilvl="6" w:tplc="14090001" w:tentative="1">
      <w:start w:val="1"/>
      <w:numFmt w:val="bullet"/>
      <w:lvlText w:val=""/>
      <w:lvlJc w:val="left"/>
      <w:pPr>
        <w:ind w:left="4230" w:hanging="360"/>
      </w:pPr>
      <w:rPr>
        <w:rFonts w:ascii="Symbol" w:hAnsi="Symbol" w:hint="default"/>
      </w:rPr>
    </w:lvl>
    <w:lvl w:ilvl="7" w:tplc="14090003" w:tentative="1">
      <w:start w:val="1"/>
      <w:numFmt w:val="bullet"/>
      <w:lvlText w:val="o"/>
      <w:lvlJc w:val="left"/>
      <w:pPr>
        <w:ind w:left="4950" w:hanging="360"/>
      </w:pPr>
      <w:rPr>
        <w:rFonts w:ascii="Courier New" w:hAnsi="Courier New" w:cs="Courier New" w:hint="default"/>
      </w:rPr>
    </w:lvl>
    <w:lvl w:ilvl="8" w:tplc="14090005" w:tentative="1">
      <w:start w:val="1"/>
      <w:numFmt w:val="bullet"/>
      <w:lvlText w:val=""/>
      <w:lvlJc w:val="left"/>
      <w:pPr>
        <w:ind w:left="5670" w:hanging="360"/>
      </w:pPr>
      <w:rPr>
        <w:rFonts w:ascii="Wingdings" w:hAnsi="Wingdings" w:hint="default"/>
      </w:rPr>
    </w:lvl>
  </w:abstractNum>
  <w:num w:numId="1">
    <w:abstractNumId w:val="4"/>
  </w:num>
  <w:num w:numId="2">
    <w:abstractNumId w:val="6"/>
  </w:num>
  <w:num w:numId="3">
    <w:abstractNumId w:val="17"/>
  </w:num>
  <w:num w:numId="4">
    <w:abstractNumId w:val="15"/>
  </w:num>
  <w:num w:numId="5">
    <w:abstractNumId w:val="11"/>
  </w:num>
  <w:num w:numId="6">
    <w:abstractNumId w:val="8"/>
  </w:num>
  <w:num w:numId="7">
    <w:abstractNumId w:val="1"/>
  </w:num>
  <w:num w:numId="8">
    <w:abstractNumId w:val="10"/>
  </w:num>
  <w:num w:numId="9">
    <w:abstractNumId w:val="5"/>
  </w:num>
  <w:num w:numId="10">
    <w:abstractNumId w:val="2"/>
  </w:num>
  <w:num w:numId="11">
    <w:abstractNumId w:val="18"/>
  </w:num>
  <w:num w:numId="12">
    <w:abstractNumId w:val="14"/>
  </w:num>
  <w:num w:numId="13">
    <w:abstractNumId w:val="16"/>
  </w:num>
  <w:num w:numId="14">
    <w:abstractNumId w:val="3"/>
  </w:num>
  <w:num w:numId="15">
    <w:abstractNumId w:val="13"/>
  </w:num>
  <w:num w:numId="16">
    <w:abstractNumId w:val="12"/>
  </w:num>
  <w:num w:numId="17">
    <w:abstractNumId w:val="7"/>
  </w:num>
  <w:num w:numId="18">
    <w:abstractNumId w:val="0"/>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D64"/>
    <w:rsid w:val="00002079"/>
    <w:rsid w:val="000035B8"/>
    <w:rsid w:val="00006191"/>
    <w:rsid w:val="0001280B"/>
    <w:rsid w:val="00013177"/>
    <w:rsid w:val="00015940"/>
    <w:rsid w:val="00016356"/>
    <w:rsid w:val="00022AF1"/>
    <w:rsid w:val="00027780"/>
    <w:rsid w:val="00030175"/>
    <w:rsid w:val="00033206"/>
    <w:rsid w:val="00035741"/>
    <w:rsid w:val="00036F33"/>
    <w:rsid w:val="000376CF"/>
    <w:rsid w:val="00040E91"/>
    <w:rsid w:val="000528E7"/>
    <w:rsid w:val="00057993"/>
    <w:rsid w:val="00060748"/>
    <w:rsid w:val="00074C85"/>
    <w:rsid w:val="000763E4"/>
    <w:rsid w:val="00080FD4"/>
    <w:rsid w:val="00086E10"/>
    <w:rsid w:val="00087D2D"/>
    <w:rsid w:val="00092E76"/>
    <w:rsid w:val="0009575F"/>
    <w:rsid w:val="00096503"/>
    <w:rsid w:val="000B3705"/>
    <w:rsid w:val="000C40D6"/>
    <w:rsid w:val="000D58A6"/>
    <w:rsid w:val="000D6405"/>
    <w:rsid w:val="000E0D64"/>
    <w:rsid w:val="000E502B"/>
    <w:rsid w:val="000E7654"/>
    <w:rsid w:val="000F65D5"/>
    <w:rsid w:val="000F6A34"/>
    <w:rsid w:val="00100EE1"/>
    <w:rsid w:val="001077D3"/>
    <w:rsid w:val="0011124E"/>
    <w:rsid w:val="00113F43"/>
    <w:rsid w:val="00114BC1"/>
    <w:rsid w:val="00121D85"/>
    <w:rsid w:val="00124B7B"/>
    <w:rsid w:val="00142313"/>
    <w:rsid w:val="00143855"/>
    <w:rsid w:val="001614EC"/>
    <w:rsid w:val="00161D0E"/>
    <w:rsid w:val="00165A55"/>
    <w:rsid w:val="00177C8D"/>
    <w:rsid w:val="00181CF4"/>
    <w:rsid w:val="00182AAB"/>
    <w:rsid w:val="001837F8"/>
    <w:rsid w:val="00187ADC"/>
    <w:rsid w:val="00192B82"/>
    <w:rsid w:val="001A0B89"/>
    <w:rsid w:val="001A2332"/>
    <w:rsid w:val="001B05D5"/>
    <w:rsid w:val="001B459A"/>
    <w:rsid w:val="001C08DF"/>
    <w:rsid w:val="001C3B96"/>
    <w:rsid w:val="001C55B7"/>
    <w:rsid w:val="001C6FE7"/>
    <w:rsid w:val="001D23B2"/>
    <w:rsid w:val="001E0E24"/>
    <w:rsid w:val="001E2E4B"/>
    <w:rsid w:val="001E38A6"/>
    <w:rsid w:val="001E64F7"/>
    <w:rsid w:val="001E6676"/>
    <w:rsid w:val="001E6677"/>
    <w:rsid w:val="001F40E4"/>
    <w:rsid w:val="00202EF8"/>
    <w:rsid w:val="00206CBF"/>
    <w:rsid w:val="0021248F"/>
    <w:rsid w:val="00220606"/>
    <w:rsid w:val="002425EF"/>
    <w:rsid w:val="00255AA9"/>
    <w:rsid w:val="00262330"/>
    <w:rsid w:val="0026598F"/>
    <w:rsid w:val="002878FE"/>
    <w:rsid w:val="00292F10"/>
    <w:rsid w:val="002A5C9E"/>
    <w:rsid w:val="002B5BC2"/>
    <w:rsid w:val="002C6A49"/>
    <w:rsid w:val="002C6FE8"/>
    <w:rsid w:val="002C7D72"/>
    <w:rsid w:val="002D2655"/>
    <w:rsid w:val="002D4514"/>
    <w:rsid w:val="002F145B"/>
    <w:rsid w:val="002F68F7"/>
    <w:rsid w:val="00300092"/>
    <w:rsid w:val="00301D4E"/>
    <w:rsid w:val="003032DC"/>
    <w:rsid w:val="003058D6"/>
    <w:rsid w:val="00311093"/>
    <w:rsid w:val="00312578"/>
    <w:rsid w:val="00321880"/>
    <w:rsid w:val="00321A32"/>
    <w:rsid w:val="00322169"/>
    <w:rsid w:val="00332C80"/>
    <w:rsid w:val="00335CCA"/>
    <w:rsid w:val="00341003"/>
    <w:rsid w:val="00341F31"/>
    <w:rsid w:val="003579EC"/>
    <w:rsid w:val="00360ECD"/>
    <w:rsid w:val="003614D4"/>
    <w:rsid w:val="00365971"/>
    <w:rsid w:val="0036729B"/>
    <w:rsid w:val="00372588"/>
    <w:rsid w:val="0037398D"/>
    <w:rsid w:val="0037484F"/>
    <w:rsid w:val="003834B3"/>
    <w:rsid w:val="003834CD"/>
    <w:rsid w:val="00383ABC"/>
    <w:rsid w:val="0038477F"/>
    <w:rsid w:val="003865F7"/>
    <w:rsid w:val="003910FD"/>
    <w:rsid w:val="00391EBC"/>
    <w:rsid w:val="00395981"/>
    <w:rsid w:val="003B3058"/>
    <w:rsid w:val="003B6D42"/>
    <w:rsid w:val="003C2144"/>
    <w:rsid w:val="003C60AF"/>
    <w:rsid w:val="003C732A"/>
    <w:rsid w:val="003D277A"/>
    <w:rsid w:val="003D356A"/>
    <w:rsid w:val="003D3FB2"/>
    <w:rsid w:val="003D5A89"/>
    <w:rsid w:val="003E21AE"/>
    <w:rsid w:val="003E2A82"/>
    <w:rsid w:val="003E5D03"/>
    <w:rsid w:val="003E6B37"/>
    <w:rsid w:val="003F30C4"/>
    <w:rsid w:val="003F6FA5"/>
    <w:rsid w:val="00413BC4"/>
    <w:rsid w:val="00415445"/>
    <w:rsid w:val="0043583A"/>
    <w:rsid w:val="00442BD6"/>
    <w:rsid w:val="00444100"/>
    <w:rsid w:val="004537E4"/>
    <w:rsid w:val="0045723C"/>
    <w:rsid w:val="004622D6"/>
    <w:rsid w:val="00465D8A"/>
    <w:rsid w:val="0046627B"/>
    <w:rsid w:val="00467300"/>
    <w:rsid w:val="00472A3A"/>
    <w:rsid w:val="00475918"/>
    <w:rsid w:val="00480BC9"/>
    <w:rsid w:val="00487397"/>
    <w:rsid w:val="00491114"/>
    <w:rsid w:val="004A271F"/>
    <w:rsid w:val="004A2E00"/>
    <w:rsid w:val="004A3628"/>
    <w:rsid w:val="004A456E"/>
    <w:rsid w:val="004B469A"/>
    <w:rsid w:val="004B4A12"/>
    <w:rsid w:val="004B5EF7"/>
    <w:rsid w:val="004D3D47"/>
    <w:rsid w:val="004E5620"/>
    <w:rsid w:val="004F66FE"/>
    <w:rsid w:val="005010D3"/>
    <w:rsid w:val="00502706"/>
    <w:rsid w:val="0050338F"/>
    <w:rsid w:val="005150B8"/>
    <w:rsid w:val="00516EF9"/>
    <w:rsid w:val="00525A43"/>
    <w:rsid w:val="00527AAC"/>
    <w:rsid w:val="005313CC"/>
    <w:rsid w:val="005352EF"/>
    <w:rsid w:val="00536C26"/>
    <w:rsid w:val="005548B3"/>
    <w:rsid w:val="005623B1"/>
    <w:rsid w:val="00570515"/>
    <w:rsid w:val="00576E43"/>
    <w:rsid w:val="005A08EF"/>
    <w:rsid w:val="005A2397"/>
    <w:rsid w:val="005A7BE5"/>
    <w:rsid w:val="005B52C3"/>
    <w:rsid w:val="005B5E58"/>
    <w:rsid w:val="005C471C"/>
    <w:rsid w:val="005D3EAE"/>
    <w:rsid w:val="005E5CA0"/>
    <w:rsid w:val="005E6253"/>
    <w:rsid w:val="005E6340"/>
    <w:rsid w:val="005F69B8"/>
    <w:rsid w:val="00602E87"/>
    <w:rsid w:val="00616A8B"/>
    <w:rsid w:val="0062112A"/>
    <w:rsid w:val="00626055"/>
    <w:rsid w:val="0064163B"/>
    <w:rsid w:val="00643756"/>
    <w:rsid w:val="00651FF1"/>
    <w:rsid w:val="00652401"/>
    <w:rsid w:val="00661255"/>
    <w:rsid w:val="00661E3A"/>
    <w:rsid w:val="00674B2F"/>
    <w:rsid w:val="00680D52"/>
    <w:rsid w:val="00685B1F"/>
    <w:rsid w:val="0069022E"/>
    <w:rsid w:val="00692CD2"/>
    <w:rsid w:val="00695E5D"/>
    <w:rsid w:val="006A1097"/>
    <w:rsid w:val="006A31BE"/>
    <w:rsid w:val="006A725C"/>
    <w:rsid w:val="006B01B5"/>
    <w:rsid w:val="006C0967"/>
    <w:rsid w:val="006C1B27"/>
    <w:rsid w:val="006C2AAB"/>
    <w:rsid w:val="006C72EE"/>
    <w:rsid w:val="006D651E"/>
    <w:rsid w:val="006E4A97"/>
    <w:rsid w:val="006E7DB6"/>
    <w:rsid w:val="006F22B0"/>
    <w:rsid w:val="006F55A6"/>
    <w:rsid w:val="00735D05"/>
    <w:rsid w:val="0073730A"/>
    <w:rsid w:val="00753448"/>
    <w:rsid w:val="007537DE"/>
    <w:rsid w:val="00763F88"/>
    <w:rsid w:val="00767C45"/>
    <w:rsid w:val="00775EFE"/>
    <w:rsid w:val="007822BA"/>
    <w:rsid w:val="00793C11"/>
    <w:rsid w:val="00794D1A"/>
    <w:rsid w:val="00795E88"/>
    <w:rsid w:val="007A04BC"/>
    <w:rsid w:val="007A2D42"/>
    <w:rsid w:val="007A41E9"/>
    <w:rsid w:val="007A6CC2"/>
    <w:rsid w:val="007A7D8A"/>
    <w:rsid w:val="007B1DE9"/>
    <w:rsid w:val="007B632C"/>
    <w:rsid w:val="007D26BD"/>
    <w:rsid w:val="007D429F"/>
    <w:rsid w:val="007F7301"/>
    <w:rsid w:val="007F7B44"/>
    <w:rsid w:val="00805A6F"/>
    <w:rsid w:val="00814D68"/>
    <w:rsid w:val="00817DEB"/>
    <w:rsid w:val="00827A88"/>
    <w:rsid w:val="00830B04"/>
    <w:rsid w:val="00832A9E"/>
    <w:rsid w:val="008378FA"/>
    <w:rsid w:val="00844789"/>
    <w:rsid w:val="00846723"/>
    <w:rsid w:val="00850CF3"/>
    <w:rsid w:val="008523B3"/>
    <w:rsid w:val="0085595B"/>
    <w:rsid w:val="00856366"/>
    <w:rsid w:val="0085671A"/>
    <w:rsid w:val="00856E9F"/>
    <w:rsid w:val="008579E8"/>
    <w:rsid w:val="00872C25"/>
    <w:rsid w:val="0087339C"/>
    <w:rsid w:val="00890BE1"/>
    <w:rsid w:val="00891253"/>
    <w:rsid w:val="00896BD0"/>
    <w:rsid w:val="008A2922"/>
    <w:rsid w:val="008A70B1"/>
    <w:rsid w:val="008A7DE5"/>
    <w:rsid w:val="008B033F"/>
    <w:rsid w:val="008C194A"/>
    <w:rsid w:val="008C1EB7"/>
    <w:rsid w:val="008D0610"/>
    <w:rsid w:val="008D1873"/>
    <w:rsid w:val="008D4A59"/>
    <w:rsid w:val="008E256C"/>
    <w:rsid w:val="008E613C"/>
    <w:rsid w:val="008F4A3E"/>
    <w:rsid w:val="00901D62"/>
    <w:rsid w:val="00906F60"/>
    <w:rsid w:val="00907D3D"/>
    <w:rsid w:val="00923A7C"/>
    <w:rsid w:val="00940050"/>
    <w:rsid w:val="009420DC"/>
    <w:rsid w:val="0094210B"/>
    <w:rsid w:val="00946D8B"/>
    <w:rsid w:val="00950842"/>
    <w:rsid w:val="009650EF"/>
    <w:rsid w:val="00966933"/>
    <w:rsid w:val="0097037A"/>
    <w:rsid w:val="00974DB1"/>
    <w:rsid w:val="00977C16"/>
    <w:rsid w:val="00981B46"/>
    <w:rsid w:val="0098452E"/>
    <w:rsid w:val="00984A50"/>
    <w:rsid w:val="0099635E"/>
    <w:rsid w:val="00996526"/>
    <w:rsid w:val="00996606"/>
    <w:rsid w:val="009A1A35"/>
    <w:rsid w:val="009A4DDE"/>
    <w:rsid w:val="009A5020"/>
    <w:rsid w:val="009A75EE"/>
    <w:rsid w:val="009A79A5"/>
    <w:rsid w:val="009A7DFC"/>
    <w:rsid w:val="009B7341"/>
    <w:rsid w:val="009C3FDA"/>
    <w:rsid w:val="009C60A5"/>
    <w:rsid w:val="009D0A43"/>
    <w:rsid w:val="009D1008"/>
    <w:rsid w:val="009D27A0"/>
    <w:rsid w:val="009D315F"/>
    <w:rsid w:val="009D5C0D"/>
    <w:rsid w:val="009E2847"/>
    <w:rsid w:val="009E2F8F"/>
    <w:rsid w:val="009F351A"/>
    <w:rsid w:val="00A12572"/>
    <w:rsid w:val="00A14944"/>
    <w:rsid w:val="00A14F5D"/>
    <w:rsid w:val="00A16E25"/>
    <w:rsid w:val="00A2278C"/>
    <w:rsid w:val="00A245E5"/>
    <w:rsid w:val="00A2711D"/>
    <w:rsid w:val="00A52041"/>
    <w:rsid w:val="00A53077"/>
    <w:rsid w:val="00A53F73"/>
    <w:rsid w:val="00A65AE9"/>
    <w:rsid w:val="00A722F1"/>
    <w:rsid w:val="00A76692"/>
    <w:rsid w:val="00A807D8"/>
    <w:rsid w:val="00A82635"/>
    <w:rsid w:val="00A85141"/>
    <w:rsid w:val="00A85827"/>
    <w:rsid w:val="00A904E6"/>
    <w:rsid w:val="00A96F43"/>
    <w:rsid w:val="00A97E7B"/>
    <w:rsid w:val="00AB108F"/>
    <w:rsid w:val="00AB2F1E"/>
    <w:rsid w:val="00AB30F1"/>
    <w:rsid w:val="00AB6982"/>
    <w:rsid w:val="00AC005F"/>
    <w:rsid w:val="00AC0CE8"/>
    <w:rsid w:val="00AC25C9"/>
    <w:rsid w:val="00AD0DBA"/>
    <w:rsid w:val="00AE06DF"/>
    <w:rsid w:val="00AE1E12"/>
    <w:rsid w:val="00AE39A7"/>
    <w:rsid w:val="00AE62C1"/>
    <w:rsid w:val="00AF232F"/>
    <w:rsid w:val="00B00E5E"/>
    <w:rsid w:val="00B10A07"/>
    <w:rsid w:val="00B12BEF"/>
    <w:rsid w:val="00B3081B"/>
    <w:rsid w:val="00B335BF"/>
    <w:rsid w:val="00B376E5"/>
    <w:rsid w:val="00B45501"/>
    <w:rsid w:val="00B50EA2"/>
    <w:rsid w:val="00B5187C"/>
    <w:rsid w:val="00B5535A"/>
    <w:rsid w:val="00B73352"/>
    <w:rsid w:val="00B77449"/>
    <w:rsid w:val="00B84084"/>
    <w:rsid w:val="00B85565"/>
    <w:rsid w:val="00B85D42"/>
    <w:rsid w:val="00B93331"/>
    <w:rsid w:val="00B97279"/>
    <w:rsid w:val="00BA0940"/>
    <w:rsid w:val="00BA1D49"/>
    <w:rsid w:val="00BA44C3"/>
    <w:rsid w:val="00BA7F57"/>
    <w:rsid w:val="00BB4C63"/>
    <w:rsid w:val="00BD1E70"/>
    <w:rsid w:val="00BD2AB8"/>
    <w:rsid w:val="00BE1291"/>
    <w:rsid w:val="00BF360F"/>
    <w:rsid w:val="00BF38BC"/>
    <w:rsid w:val="00C11261"/>
    <w:rsid w:val="00C13F9F"/>
    <w:rsid w:val="00C400F8"/>
    <w:rsid w:val="00C45880"/>
    <w:rsid w:val="00C460CA"/>
    <w:rsid w:val="00C46814"/>
    <w:rsid w:val="00C55F6F"/>
    <w:rsid w:val="00C578AD"/>
    <w:rsid w:val="00C61440"/>
    <w:rsid w:val="00C633B8"/>
    <w:rsid w:val="00C640CF"/>
    <w:rsid w:val="00C72997"/>
    <w:rsid w:val="00C7378C"/>
    <w:rsid w:val="00C77057"/>
    <w:rsid w:val="00C82E37"/>
    <w:rsid w:val="00C86311"/>
    <w:rsid w:val="00C97E3C"/>
    <w:rsid w:val="00CA0847"/>
    <w:rsid w:val="00CA62BB"/>
    <w:rsid w:val="00CA6BED"/>
    <w:rsid w:val="00CA6DCC"/>
    <w:rsid w:val="00CB1DB0"/>
    <w:rsid w:val="00CC4C50"/>
    <w:rsid w:val="00CC64BF"/>
    <w:rsid w:val="00CC735A"/>
    <w:rsid w:val="00CD2F9F"/>
    <w:rsid w:val="00CE2DA8"/>
    <w:rsid w:val="00CE5DA5"/>
    <w:rsid w:val="00CF4A6F"/>
    <w:rsid w:val="00D036F0"/>
    <w:rsid w:val="00D17E5A"/>
    <w:rsid w:val="00D36B68"/>
    <w:rsid w:val="00D60FE1"/>
    <w:rsid w:val="00D62F43"/>
    <w:rsid w:val="00D66354"/>
    <w:rsid w:val="00D66749"/>
    <w:rsid w:val="00D73442"/>
    <w:rsid w:val="00D77E26"/>
    <w:rsid w:val="00D83534"/>
    <w:rsid w:val="00D865BF"/>
    <w:rsid w:val="00DA68C6"/>
    <w:rsid w:val="00DB1DC8"/>
    <w:rsid w:val="00DB3159"/>
    <w:rsid w:val="00DB640D"/>
    <w:rsid w:val="00DC22B6"/>
    <w:rsid w:val="00DC6F08"/>
    <w:rsid w:val="00DE0BBC"/>
    <w:rsid w:val="00DE2D26"/>
    <w:rsid w:val="00DE39E0"/>
    <w:rsid w:val="00DE5454"/>
    <w:rsid w:val="00DF21C9"/>
    <w:rsid w:val="00E00A20"/>
    <w:rsid w:val="00E03B22"/>
    <w:rsid w:val="00E14C1D"/>
    <w:rsid w:val="00E14DAC"/>
    <w:rsid w:val="00E20DC6"/>
    <w:rsid w:val="00E228E8"/>
    <w:rsid w:val="00E315C2"/>
    <w:rsid w:val="00E325DD"/>
    <w:rsid w:val="00E32D0E"/>
    <w:rsid w:val="00E32EED"/>
    <w:rsid w:val="00E369B0"/>
    <w:rsid w:val="00E36F33"/>
    <w:rsid w:val="00E61F79"/>
    <w:rsid w:val="00E65F60"/>
    <w:rsid w:val="00E775CB"/>
    <w:rsid w:val="00E84B04"/>
    <w:rsid w:val="00E85304"/>
    <w:rsid w:val="00E9152D"/>
    <w:rsid w:val="00E9164F"/>
    <w:rsid w:val="00E96AFC"/>
    <w:rsid w:val="00EA1BCC"/>
    <w:rsid w:val="00EA31C4"/>
    <w:rsid w:val="00EC3CAC"/>
    <w:rsid w:val="00EC461B"/>
    <w:rsid w:val="00EC6B63"/>
    <w:rsid w:val="00ED14A1"/>
    <w:rsid w:val="00ED1784"/>
    <w:rsid w:val="00ED209B"/>
    <w:rsid w:val="00EE3ECC"/>
    <w:rsid w:val="00EF1367"/>
    <w:rsid w:val="00EF1F34"/>
    <w:rsid w:val="00EF67BE"/>
    <w:rsid w:val="00F04E12"/>
    <w:rsid w:val="00F10896"/>
    <w:rsid w:val="00F10F5A"/>
    <w:rsid w:val="00F14A59"/>
    <w:rsid w:val="00F24A25"/>
    <w:rsid w:val="00F41643"/>
    <w:rsid w:val="00F436AE"/>
    <w:rsid w:val="00F6031F"/>
    <w:rsid w:val="00F624AD"/>
    <w:rsid w:val="00F64628"/>
    <w:rsid w:val="00F670FE"/>
    <w:rsid w:val="00F76CBC"/>
    <w:rsid w:val="00F93A36"/>
    <w:rsid w:val="00FA026E"/>
    <w:rsid w:val="00FB1125"/>
    <w:rsid w:val="00FB16D3"/>
    <w:rsid w:val="00FB4161"/>
    <w:rsid w:val="00FC3FD5"/>
    <w:rsid w:val="00FD152E"/>
    <w:rsid w:val="00FD2431"/>
    <w:rsid w:val="00FD4B03"/>
    <w:rsid w:val="00FD6C31"/>
    <w:rsid w:val="00FE0137"/>
    <w:rsid w:val="00FF58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76"/>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CF4A6F"/>
    <w:pPr>
      <w:outlineLvl w:val="0"/>
    </w:pPr>
    <w:rPr>
      <w:b/>
    </w:rPr>
  </w:style>
  <w:style w:type="paragraph" w:styleId="Heading2">
    <w:name w:val="heading 2"/>
    <w:basedOn w:val="Normal"/>
    <w:next w:val="Normal"/>
    <w:link w:val="Heading2Char"/>
    <w:uiPriority w:val="9"/>
    <w:qFormat/>
    <w:rsid w:val="00096503"/>
    <w:pPr>
      <w:outlineLvl w:val="1"/>
    </w:pPr>
    <w:rPr>
      <w:b/>
      <w:i/>
    </w:rPr>
  </w:style>
  <w:style w:type="paragraph" w:styleId="Heading3">
    <w:name w:val="heading 3"/>
    <w:basedOn w:val="Normal"/>
    <w:next w:val="Normal"/>
    <w:link w:val="Heading3Char"/>
    <w:uiPriority w:val="9"/>
    <w:unhideWhenUsed/>
    <w:qFormat/>
    <w:rsid w:val="00096503"/>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F43"/>
    <w:pPr>
      <w:spacing w:before="100" w:beforeAutospacing="1" w:after="100" w:afterAutospacing="1"/>
    </w:pPr>
    <w:rPr>
      <w:rFonts w:eastAsia="Times New Roman" w:cs="Times New Roman"/>
      <w:szCs w:val="24"/>
      <w:lang w:eastAsia="en-NZ"/>
    </w:rPr>
  </w:style>
  <w:style w:type="paragraph" w:customStyle="1" w:styleId="Default">
    <w:name w:val="Default"/>
    <w:rsid w:val="00516EF9"/>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96503"/>
    <w:pPr>
      <w:spacing w:after="140"/>
      <w:ind w:left="567" w:hanging="567"/>
    </w:pPr>
  </w:style>
  <w:style w:type="paragraph" w:styleId="BalloonText">
    <w:name w:val="Balloon Text"/>
    <w:basedOn w:val="Normal"/>
    <w:link w:val="BalloonTextChar"/>
    <w:uiPriority w:val="99"/>
    <w:semiHidden/>
    <w:unhideWhenUsed/>
    <w:rsid w:val="003614D4"/>
    <w:rPr>
      <w:rFonts w:ascii="Tahoma" w:hAnsi="Tahoma" w:cs="Tahoma"/>
      <w:sz w:val="16"/>
      <w:szCs w:val="16"/>
    </w:rPr>
  </w:style>
  <w:style w:type="character" w:customStyle="1" w:styleId="BalloonTextChar">
    <w:name w:val="Balloon Text Char"/>
    <w:basedOn w:val="DefaultParagraphFont"/>
    <w:link w:val="BalloonText"/>
    <w:uiPriority w:val="99"/>
    <w:semiHidden/>
    <w:rsid w:val="003614D4"/>
    <w:rPr>
      <w:rFonts w:ascii="Tahoma" w:hAnsi="Tahoma" w:cs="Tahoma"/>
      <w:sz w:val="16"/>
      <w:szCs w:val="16"/>
    </w:rPr>
  </w:style>
  <w:style w:type="character" w:styleId="CommentReference">
    <w:name w:val="annotation reference"/>
    <w:basedOn w:val="DefaultParagraphFont"/>
    <w:uiPriority w:val="99"/>
    <w:semiHidden/>
    <w:unhideWhenUsed/>
    <w:rsid w:val="00890BE1"/>
    <w:rPr>
      <w:sz w:val="16"/>
      <w:szCs w:val="16"/>
    </w:rPr>
  </w:style>
  <w:style w:type="paragraph" w:styleId="CommentText">
    <w:name w:val="annotation text"/>
    <w:basedOn w:val="Normal"/>
    <w:link w:val="CommentTextChar"/>
    <w:uiPriority w:val="99"/>
    <w:semiHidden/>
    <w:unhideWhenUsed/>
    <w:rsid w:val="00890BE1"/>
    <w:rPr>
      <w:sz w:val="20"/>
      <w:szCs w:val="20"/>
    </w:rPr>
  </w:style>
  <w:style w:type="character" w:customStyle="1" w:styleId="CommentTextChar">
    <w:name w:val="Comment Text Char"/>
    <w:basedOn w:val="DefaultParagraphFont"/>
    <w:link w:val="CommentText"/>
    <w:uiPriority w:val="99"/>
    <w:semiHidden/>
    <w:rsid w:val="00890BE1"/>
    <w:rPr>
      <w:sz w:val="20"/>
      <w:szCs w:val="20"/>
    </w:rPr>
  </w:style>
  <w:style w:type="paragraph" w:styleId="CommentSubject">
    <w:name w:val="annotation subject"/>
    <w:basedOn w:val="CommentText"/>
    <w:next w:val="CommentText"/>
    <w:link w:val="CommentSubjectChar"/>
    <w:uiPriority w:val="99"/>
    <w:semiHidden/>
    <w:unhideWhenUsed/>
    <w:rsid w:val="00890BE1"/>
    <w:rPr>
      <w:b/>
      <w:bCs/>
    </w:rPr>
  </w:style>
  <w:style w:type="character" w:customStyle="1" w:styleId="CommentSubjectChar">
    <w:name w:val="Comment Subject Char"/>
    <w:basedOn w:val="CommentTextChar"/>
    <w:link w:val="CommentSubject"/>
    <w:uiPriority w:val="99"/>
    <w:semiHidden/>
    <w:rsid w:val="00890BE1"/>
    <w:rPr>
      <w:b/>
      <w:bCs/>
      <w:sz w:val="20"/>
      <w:szCs w:val="20"/>
    </w:rPr>
  </w:style>
  <w:style w:type="character" w:styleId="Hyperlink">
    <w:name w:val="Hyperlink"/>
    <w:basedOn w:val="DefaultParagraphFont"/>
    <w:uiPriority w:val="99"/>
    <w:unhideWhenUsed/>
    <w:rsid w:val="00124B7B"/>
    <w:rPr>
      <w:color w:val="0000FF" w:themeColor="hyperlink"/>
      <w:u w:val="single"/>
    </w:rPr>
  </w:style>
  <w:style w:type="character" w:styleId="FollowedHyperlink">
    <w:name w:val="FollowedHyperlink"/>
    <w:basedOn w:val="DefaultParagraphFont"/>
    <w:uiPriority w:val="99"/>
    <w:semiHidden/>
    <w:unhideWhenUsed/>
    <w:rsid w:val="009D5C0D"/>
    <w:rPr>
      <w:color w:val="800080" w:themeColor="followedHyperlink"/>
      <w:u w:val="single"/>
    </w:rPr>
  </w:style>
  <w:style w:type="paragraph" w:styleId="Header">
    <w:name w:val="header"/>
    <w:basedOn w:val="Normal"/>
    <w:link w:val="HeaderChar"/>
    <w:uiPriority w:val="99"/>
    <w:unhideWhenUsed/>
    <w:rsid w:val="00DE5454"/>
    <w:pPr>
      <w:tabs>
        <w:tab w:val="center" w:pos="4513"/>
        <w:tab w:val="right" w:pos="9026"/>
      </w:tabs>
    </w:pPr>
  </w:style>
  <w:style w:type="character" w:customStyle="1" w:styleId="HeaderChar">
    <w:name w:val="Header Char"/>
    <w:basedOn w:val="DefaultParagraphFont"/>
    <w:link w:val="Header"/>
    <w:uiPriority w:val="99"/>
    <w:rsid w:val="00DE5454"/>
  </w:style>
  <w:style w:type="paragraph" w:styleId="Footer">
    <w:name w:val="footer"/>
    <w:basedOn w:val="Normal"/>
    <w:link w:val="FooterChar"/>
    <w:uiPriority w:val="99"/>
    <w:unhideWhenUsed/>
    <w:rsid w:val="00DE5454"/>
    <w:pPr>
      <w:tabs>
        <w:tab w:val="center" w:pos="4513"/>
        <w:tab w:val="right" w:pos="9026"/>
      </w:tabs>
    </w:pPr>
  </w:style>
  <w:style w:type="character" w:customStyle="1" w:styleId="FooterChar">
    <w:name w:val="Footer Char"/>
    <w:basedOn w:val="DefaultParagraphFont"/>
    <w:link w:val="Footer"/>
    <w:uiPriority w:val="99"/>
    <w:rsid w:val="00DE5454"/>
  </w:style>
  <w:style w:type="paragraph" w:styleId="FootnoteText">
    <w:name w:val="footnote text"/>
    <w:basedOn w:val="Normal"/>
    <w:link w:val="FootnoteTextChar"/>
    <w:uiPriority w:val="99"/>
    <w:semiHidden/>
    <w:unhideWhenUsed/>
    <w:rsid w:val="00A14944"/>
    <w:rPr>
      <w:sz w:val="20"/>
      <w:szCs w:val="20"/>
    </w:rPr>
  </w:style>
  <w:style w:type="character" w:customStyle="1" w:styleId="FootnoteTextChar">
    <w:name w:val="Footnote Text Char"/>
    <w:basedOn w:val="DefaultParagraphFont"/>
    <w:link w:val="FootnoteText"/>
    <w:uiPriority w:val="99"/>
    <w:semiHidden/>
    <w:rsid w:val="00A14944"/>
    <w:rPr>
      <w:sz w:val="20"/>
      <w:szCs w:val="20"/>
    </w:rPr>
  </w:style>
  <w:style w:type="character" w:styleId="FootnoteReference">
    <w:name w:val="footnote reference"/>
    <w:basedOn w:val="DefaultParagraphFont"/>
    <w:uiPriority w:val="99"/>
    <w:semiHidden/>
    <w:unhideWhenUsed/>
    <w:rsid w:val="00A14944"/>
    <w:rPr>
      <w:vertAlign w:val="superscript"/>
    </w:rPr>
  </w:style>
  <w:style w:type="character" w:customStyle="1" w:styleId="Heading2Char">
    <w:name w:val="Heading 2 Char"/>
    <w:basedOn w:val="DefaultParagraphFont"/>
    <w:link w:val="Heading2"/>
    <w:uiPriority w:val="9"/>
    <w:rsid w:val="00096503"/>
    <w:rPr>
      <w:rFonts w:ascii="Times New Roman" w:hAnsi="Times New Roman"/>
      <w:b/>
      <w:i/>
      <w:sz w:val="24"/>
    </w:rPr>
  </w:style>
  <w:style w:type="paragraph" w:styleId="Title">
    <w:name w:val="Title"/>
    <w:basedOn w:val="Normal"/>
    <w:next w:val="Normal"/>
    <w:link w:val="TitleChar"/>
    <w:uiPriority w:val="10"/>
    <w:qFormat/>
    <w:rsid w:val="007A7D8A"/>
    <w:pPr>
      <w:jc w:val="center"/>
    </w:pPr>
    <w:rPr>
      <w:b/>
      <w:sz w:val="36"/>
      <w:szCs w:val="36"/>
    </w:rPr>
  </w:style>
  <w:style w:type="character" w:customStyle="1" w:styleId="TitleChar">
    <w:name w:val="Title Char"/>
    <w:basedOn w:val="DefaultParagraphFont"/>
    <w:link w:val="Title"/>
    <w:uiPriority w:val="10"/>
    <w:rsid w:val="007A7D8A"/>
    <w:rPr>
      <w:rFonts w:ascii="Times New Roman" w:hAnsi="Times New Roman"/>
      <w:b/>
      <w:sz w:val="36"/>
      <w:szCs w:val="36"/>
    </w:rPr>
  </w:style>
  <w:style w:type="character" w:customStyle="1" w:styleId="Heading1Char">
    <w:name w:val="Heading 1 Char"/>
    <w:basedOn w:val="DefaultParagraphFont"/>
    <w:link w:val="Heading1"/>
    <w:uiPriority w:val="9"/>
    <w:rsid w:val="00CF4A6F"/>
    <w:rPr>
      <w:rFonts w:ascii="Times New Roman" w:hAnsi="Times New Roman"/>
      <w:b/>
      <w:sz w:val="24"/>
    </w:rPr>
  </w:style>
  <w:style w:type="character" w:customStyle="1" w:styleId="Heading3Char">
    <w:name w:val="Heading 3 Char"/>
    <w:basedOn w:val="DefaultParagraphFont"/>
    <w:link w:val="Heading3"/>
    <w:uiPriority w:val="9"/>
    <w:rsid w:val="00096503"/>
    <w:rPr>
      <w:rFonts w:ascii="Times New Roman" w:hAnsi="Times New Roman"/>
      <w:i/>
      <w:sz w:val="24"/>
    </w:rPr>
  </w:style>
  <w:style w:type="paragraph" w:customStyle="1" w:styleId="List-Numbered">
    <w:name w:val="List - Numbered"/>
    <w:basedOn w:val="Normal"/>
    <w:qFormat/>
    <w:rsid w:val="00CE5DA5"/>
    <w:pPr>
      <w:numPr>
        <w:numId w:val="19"/>
      </w:numPr>
      <w:ind w:left="567" w:hanging="567"/>
    </w:pPr>
  </w:style>
  <w:style w:type="paragraph" w:customStyle="1" w:styleId="List-Bullet">
    <w:name w:val="List - Bullet"/>
    <w:basedOn w:val="Normal"/>
    <w:qFormat/>
    <w:rsid w:val="00CE5DA5"/>
    <w:pPr>
      <w:numPr>
        <w:numId w:val="18"/>
      </w:numPr>
      <w:spacing w:after="140"/>
      <w:ind w:left="567" w:hanging="567"/>
    </w:pPr>
  </w:style>
  <w:style w:type="table" w:styleId="TableGrid">
    <w:name w:val="Table Grid"/>
    <w:basedOn w:val="TableNormal"/>
    <w:uiPriority w:val="59"/>
    <w:rsid w:val="00CE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D2655"/>
    <w:rPr>
      <w:i/>
      <w:iCs/>
    </w:rPr>
  </w:style>
  <w:style w:type="paragraph" w:customStyle="1" w:styleId="Caption-Table">
    <w:name w:val="Caption - Table"/>
    <w:basedOn w:val="Normal"/>
    <w:qFormat/>
    <w:rsid w:val="002D2655"/>
    <w:pPr>
      <w:spacing w:after="120"/>
    </w:pPr>
    <w:rPr>
      <w:b/>
      <w:sz w:val="22"/>
    </w:rPr>
  </w:style>
  <w:style w:type="character" w:styleId="Strong">
    <w:name w:val="Strong"/>
    <w:basedOn w:val="DefaultParagraphFont"/>
    <w:uiPriority w:val="22"/>
    <w:qFormat/>
    <w:rsid w:val="002D26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76"/>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CF4A6F"/>
    <w:pPr>
      <w:outlineLvl w:val="0"/>
    </w:pPr>
    <w:rPr>
      <w:b/>
    </w:rPr>
  </w:style>
  <w:style w:type="paragraph" w:styleId="Heading2">
    <w:name w:val="heading 2"/>
    <w:basedOn w:val="Normal"/>
    <w:next w:val="Normal"/>
    <w:link w:val="Heading2Char"/>
    <w:uiPriority w:val="9"/>
    <w:qFormat/>
    <w:rsid w:val="00096503"/>
    <w:pPr>
      <w:outlineLvl w:val="1"/>
    </w:pPr>
    <w:rPr>
      <w:b/>
      <w:i/>
    </w:rPr>
  </w:style>
  <w:style w:type="paragraph" w:styleId="Heading3">
    <w:name w:val="heading 3"/>
    <w:basedOn w:val="Normal"/>
    <w:next w:val="Normal"/>
    <w:link w:val="Heading3Char"/>
    <w:uiPriority w:val="9"/>
    <w:unhideWhenUsed/>
    <w:qFormat/>
    <w:rsid w:val="00096503"/>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F43"/>
    <w:pPr>
      <w:spacing w:before="100" w:beforeAutospacing="1" w:after="100" w:afterAutospacing="1"/>
    </w:pPr>
    <w:rPr>
      <w:rFonts w:eastAsia="Times New Roman" w:cs="Times New Roman"/>
      <w:szCs w:val="24"/>
      <w:lang w:eastAsia="en-NZ"/>
    </w:rPr>
  </w:style>
  <w:style w:type="paragraph" w:customStyle="1" w:styleId="Default">
    <w:name w:val="Default"/>
    <w:rsid w:val="00516EF9"/>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96503"/>
    <w:pPr>
      <w:spacing w:after="140"/>
      <w:ind w:left="567" w:hanging="567"/>
    </w:pPr>
  </w:style>
  <w:style w:type="paragraph" w:styleId="BalloonText">
    <w:name w:val="Balloon Text"/>
    <w:basedOn w:val="Normal"/>
    <w:link w:val="BalloonTextChar"/>
    <w:uiPriority w:val="99"/>
    <w:semiHidden/>
    <w:unhideWhenUsed/>
    <w:rsid w:val="003614D4"/>
    <w:rPr>
      <w:rFonts w:ascii="Tahoma" w:hAnsi="Tahoma" w:cs="Tahoma"/>
      <w:sz w:val="16"/>
      <w:szCs w:val="16"/>
    </w:rPr>
  </w:style>
  <w:style w:type="character" w:customStyle="1" w:styleId="BalloonTextChar">
    <w:name w:val="Balloon Text Char"/>
    <w:basedOn w:val="DefaultParagraphFont"/>
    <w:link w:val="BalloonText"/>
    <w:uiPriority w:val="99"/>
    <w:semiHidden/>
    <w:rsid w:val="003614D4"/>
    <w:rPr>
      <w:rFonts w:ascii="Tahoma" w:hAnsi="Tahoma" w:cs="Tahoma"/>
      <w:sz w:val="16"/>
      <w:szCs w:val="16"/>
    </w:rPr>
  </w:style>
  <w:style w:type="character" w:styleId="CommentReference">
    <w:name w:val="annotation reference"/>
    <w:basedOn w:val="DefaultParagraphFont"/>
    <w:uiPriority w:val="99"/>
    <w:semiHidden/>
    <w:unhideWhenUsed/>
    <w:rsid w:val="00890BE1"/>
    <w:rPr>
      <w:sz w:val="16"/>
      <w:szCs w:val="16"/>
    </w:rPr>
  </w:style>
  <w:style w:type="paragraph" w:styleId="CommentText">
    <w:name w:val="annotation text"/>
    <w:basedOn w:val="Normal"/>
    <w:link w:val="CommentTextChar"/>
    <w:uiPriority w:val="99"/>
    <w:semiHidden/>
    <w:unhideWhenUsed/>
    <w:rsid w:val="00890BE1"/>
    <w:rPr>
      <w:sz w:val="20"/>
      <w:szCs w:val="20"/>
    </w:rPr>
  </w:style>
  <w:style w:type="character" w:customStyle="1" w:styleId="CommentTextChar">
    <w:name w:val="Comment Text Char"/>
    <w:basedOn w:val="DefaultParagraphFont"/>
    <w:link w:val="CommentText"/>
    <w:uiPriority w:val="99"/>
    <w:semiHidden/>
    <w:rsid w:val="00890BE1"/>
    <w:rPr>
      <w:sz w:val="20"/>
      <w:szCs w:val="20"/>
    </w:rPr>
  </w:style>
  <w:style w:type="paragraph" w:styleId="CommentSubject">
    <w:name w:val="annotation subject"/>
    <w:basedOn w:val="CommentText"/>
    <w:next w:val="CommentText"/>
    <w:link w:val="CommentSubjectChar"/>
    <w:uiPriority w:val="99"/>
    <w:semiHidden/>
    <w:unhideWhenUsed/>
    <w:rsid w:val="00890BE1"/>
    <w:rPr>
      <w:b/>
      <w:bCs/>
    </w:rPr>
  </w:style>
  <w:style w:type="character" w:customStyle="1" w:styleId="CommentSubjectChar">
    <w:name w:val="Comment Subject Char"/>
    <w:basedOn w:val="CommentTextChar"/>
    <w:link w:val="CommentSubject"/>
    <w:uiPriority w:val="99"/>
    <w:semiHidden/>
    <w:rsid w:val="00890BE1"/>
    <w:rPr>
      <w:b/>
      <w:bCs/>
      <w:sz w:val="20"/>
      <w:szCs w:val="20"/>
    </w:rPr>
  </w:style>
  <w:style w:type="character" w:styleId="Hyperlink">
    <w:name w:val="Hyperlink"/>
    <w:basedOn w:val="DefaultParagraphFont"/>
    <w:uiPriority w:val="99"/>
    <w:unhideWhenUsed/>
    <w:rsid w:val="00124B7B"/>
    <w:rPr>
      <w:color w:val="0000FF" w:themeColor="hyperlink"/>
      <w:u w:val="single"/>
    </w:rPr>
  </w:style>
  <w:style w:type="character" w:styleId="FollowedHyperlink">
    <w:name w:val="FollowedHyperlink"/>
    <w:basedOn w:val="DefaultParagraphFont"/>
    <w:uiPriority w:val="99"/>
    <w:semiHidden/>
    <w:unhideWhenUsed/>
    <w:rsid w:val="009D5C0D"/>
    <w:rPr>
      <w:color w:val="800080" w:themeColor="followedHyperlink"/>
      <w:u w:val="single"/>
    </w:rPr>
  </w:style>
  <w:style w:type="paragraph" w:styleId="Header">
    <w:name w:val="header"/>
    <w:basedOn w:val="Normal"/>
    <w:link w:val="HeaderChar"/>
    <w:uiPriority w:val="99"/>
    <w:unhideWhenUsed/>
    <w:rsid w:val="00DE5454"/>
    <w:pPr>
      <w:tabs>
        <w:tab w:val="center" w:pos="4513"/>
        <w:tab w:val="right" w:pos="9026"/>
      </w:tabs>
    </w:pPr>
  </w:style>
  <w:style w:type="character" w:customStyle="1" w:styleId="HeaderChar">
    <w:name w:val="Header Char"/>
    <w:basedOn w:val="DefaultParagraphFont"/>
    <w:link w:val="Header"/>
    <w:uiPriority w:val="99"/>
    <w:rsid w:val="00DE5454"/>
  </w:style>
  <w:style w:type="paragraph" w:styleId="Footer">
    <w:name w:val="footer"/>
    <w:basedOn w:val="Normal"/>
    <w:link w:val="FooterChar"/>
    <w:uiPriority w:val="99"/>
    <w:unhideWhenUsed/>
    <w:rsid w:val="00DE5454"/>
    <w:pPr>
      <w:tabs>
        <w:tab w:val="center" w:pos="4513"/>
        <w:tab w:val="right" w:pos="9026"/>
      </w:tabs>
    </w:pPr>
  </w:style>
  <w:style w:type="character" w:customStyle="1" w:styleId="FooterChar">
    <w:name w:val="Footer Char"/>
    <w:basedOn w:val="DefaultParagraphFont"/>
    <w:link w:val="Footer"/>
    <w:uiPriority w:val="99"/>
    <w:rsid w:val="00DE5454"/>
  </w:style>
  <w:style w:type="paragraph" w:styleId="FootnoteText">
    <w:name w:val="footnote text"/>
    <w:basedOn w:val="Normal"/>
    <w:link w:val="FootnoteTextChar"/>
    <w:uiPriority w:val="99"/>
    <w:semiHidden/>
    <w:unhideWhenUsed/>
    <w:rsid w:val="00A14944"/>
    <w:rPr>
      <w:sz w:val="20"/>
      <w:szCs w:val="20"/>
    </w:rPr>
  </w:style>
  <w:style w:type="character" w:customStyle="1" w:styleId="FootnoteTextChar">
    <w:name w:val="Footnote Text Char"/>
    <w:basedOn w:val="DefaultParagraphFont"/>
    <w:link w:val="FootnoteText"/>
    <w:uiPriority w:val="99"/>
    <w:semiHidden/>
    <w:rsid w:val="00A14944"/>
    <w:rPr>
      <w:sz w:val="20"/>
      <w:szCs w:val="20"/>
    </w:rPr>
  </w:style>
  <w:style w:type="character" w:styleId="FootnoteReference">
    <w:name w:val="footnote reference"/>
    <w:basedOn w:val="DefaultParagraphFont"/>
    <w:uiPriority w:val="99"/>
    <w:semiHidden/>
    <w:unhideWhenUsed/>
    <w:rsid w:val="00A14944"/>
    <w:rPr>
      <w:vertAlign w:val="superscript"/>
    </w:rPr>
  </w:style>
  <w:style w:type="character" w:customStyle="1" w:styleId="Heading2Char">
    <w:name w:val="Heading 2 Char"/>
    <w:basedOn w:val="DefaultParagraphFont"/>
    <w:link w:val="Heading2"/>
    <w:uiPriority w:val="9"/>
    <w:rsid w:val="00096503"/>
    <w:rPr>
      <w:rFonts w:ascii="Times New Roman" w:hAnsi="Times New Roman"/>
      <w:b/>
      <w:i/>
      <w:sz w:val="24"/>
    </w:rPr>
  </w:style>
  <w:style w:type="paragraph" w:styleId="Title">
    <w:name w:val="Title"/>
    <w:basedOn w:val="Normal"/>
    <w:next w:val="Normal"/>
    <w:link w:val="TitleChar"/>
    <w:uiPriority w:val="10"/>
    <w:qFormat/>
    <w:rsid w:val="007A7D8A"/>
    <w:pPr>
      <w:jc w:val="center"/>
    </w:pPr>
    <w:rPr>
      <w:b/>
      <w:sz w:val="36"/>
      <w:szCs w:val="36"/>
    </w:rPr>
  </w:style>
  <w:style w:type="character" w:customStyle="1" w:styleId="TitleChar">
    <w:name w:val="Title Char"/>
    <w:basedOn w:val="DefaultParagraphFont"/>
    <w:link w:val="Title"/>
    <w:uiPriority w:val="10"/>
    <w:rsid w:val="007A7D8A"/>
    <w:rPr>
      <w:rFonts w:ascii="Times New Roman" w:hAnsi="Times New Roman"/>
      <w:b/>
      <w:sz w:val="36"/>
      <w:szCs w:val="36"/>
    </w:rPr>
  </w:style>
  <w:style w:type="character" w:customStyle="1" w:styleId="Heading1Char">
    <w:name w:val="Heading 1 Char"/>
    <w:basedOn w:val="DefaultParagraphFont"/>
    <w:link w:val="Heading1"/>
    <w:uiPriority w:val="9"/>
    <w:rsid w:val="00CF4A6F"/>
    <w:rPr>
      <w:rFonts w:ascii="Times New Roman" w:hAnsi="Times New Roman"/>
      <w:b/>
      <w:sz w:val="24"/>
    </w:rPr>
  </w:style>
  <w:style w:type="character" w:customStyle="1" w:styleId="Heading3Char">
    <w:name w:val="Heading 3 Char"/>
    <w:basedOn w:val="DefaultParagraphFont"/>
    <w:link w:val="Heading3"/>
    <w:uiPriority w:val="9"/>
    <w:rsid w:val="00096503"/>
    <w:rPr>
      <w:rFonts w:ascii="Times New Roman" w:hAnsi="Times New Roman"/>
      <w:i/>
      <w:sz w:val="24"/>
    </w:rPr>
  </w:style>
  <w:style w:type="paragraph" w:customStyle="1" w:styleId="List-Numbered">
    <w:name w:val="List - Numbered"/>
    <w:basedOn w:val="Normal"/>
    <w:qFormat/>
    <w:rsid w:val="00CE5DA5"/>
    <w:pPr>
      <w:numPr>
        <w:numId w:val="19"/>
      </w:numPr>
      <w:ind w:left="567" w:hanging="567"/>
    </w:pPr>
  </w:style>
  <w:style w:type="paragraph" w:customStyle="1" w:styleId="List-Bullet">
    <w:name w:val="List - Bullet"/>
    <w:basedOn w:val="Normal"/>
    <w:qFormat/>
    <w:rsid w:val="00CE5DA5"/>
    <w:pPr>
      <w:numPr>
        <w:numId w:val="18"/>
      </w:numPr>
      <w:spacing w:after="140"/>
      <w:ind w:left="567" w:hanging="567"/>
    </w:pPr>
  </w:style>
  <w:style w:type="table" w:styleId="TableGrid">
    <w:name w:val="Table Grid"/>
    <w:basedOn w:val="TableNormal"/>
    <w:uiPriority w:val="59"/>
    <w:rsid w:val="00CE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D2655"/>
    <w:rPr>
      <w:i/>
      <w:iCs/>
    </w:rPr>
  </w:style>
  <w:style w:type="paragraph" w:customStyle="1" w:styleId="Caption-Table">
    <w:name w:val="Caption - Table"/>
    <w:basedOn w:val="Normal"/>
    <w:qFormat/>
    <w:rsid w:val="002D2655"/>
    <w:pPr>
      <w:spacing w:after="120"/>
    </w:pPr>
    <w:rPr>
      <w:b/>
      <w:sz w:val="22"/>
    </w:rPr>
  </w:style>
  <w:style w:type="character" w:styleId="Strong">
    <w:name w:val="Strong"/>
    <w:basedOn w:val="DefaultParagraphFont"/>
    <w:uiPriority w:val="22"/>
    <w:qFormat/>
    <w:rsid w:val="002D2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03494">
      <w:bodyDiv w:val="1"/>
      <w:marLeft w:val="0"/>
      <w:marRight w:val="0"/>
      <w:marTop w:val="0"/>
      <w:marBottom w:val="0"/>
      <w:divBdr>
        <w:top w:val="none" w:sz="0" w:space="0" w:color="auto"/>
        <w:left w:val="none" w:sz="0" w:space="0" w:color="auto"/>
        <w:bottom w:val="none" w:sz="0" w:space="0" w:color="auto"/>
        <w:right w:val="none" w:sz="0" w:space="0" w:color="auto"/>
      </w:divBdr>
    </w:div>
    <w:div w:id="343939925">
      <w:bodyDiv w:val="1"/>
      <w:marLeft w:val="0"/>
      <w:marRight w:val="0"/>
      <w:marTop w:val="0"/>
      <w:marBottom w:val="0"/>
      <w:divBdr>
        <w:top w:val="none" w:sz="0" w:space="0" w:color="auto"/>
        <w:left w:val="none" w:sz="0" w:space="0" w:color="auto"/>
        <w:bottom w:val="none" w:sz="0" w:space="0" w:color="auto"/>
        <w:right w:val="none" w:sz="0" w:space="0" w:color="auto"/>
      </w:divBdr>
    </w:div>
    <w:div w:id="676427384">
      <w:bodyDiv w:val="1"/>
      <w:marLeft w:val="0"/>
      <w:marRight w:val="0"/>
      <w:marTop w:val="0"/>
      <w:marBottom w:val="0"/>
      <w:divBdr>
        <w:top w:val="none" w:sz="0" w:space="0" w:color="auto"/>
        <w:left w:val="none" w:sz="0" w:space="0" w:color="auto"/>
        <w:bottom w:val="none" w:sz="0" w:space="0" w:color="auto"/>
        <w:right w:val="none" w:sz="0" w:space="0" w:color="auto"/>
      </w:divBdr>
      <w:divsChild>
        <w:div w:id="1345670152">
          <w:marLeft w:val="0"/>
          <w:marRight w:val="0"/>
          <w:marTop w:val="0"/>
          <w:marBottom w:val="0"/>
          <w:divBdr>
            <w:top w:val="none" w:sz="0" w:space="0" w:color="auto"/>
            <w:left w:val="none" w:sz="0" w:space="0" w:color="auto"/>
            <w:bottom w:val="none" w:sz="0" w:space="0" w:color="auto"/>
            <w:right w:val="none" w:sz="0" w:space="0" w:color="auto"/>
          </w:divBdr>
          <w:divsChild>
            <w:div w:id="374308094">
              <w:marLeft w:val="0"/>
              <w:marRight w:val="0"/>
              <w:marTop w:val="0"/>
              <w:marBottom w:val="0"/>
              <w:divBdr>
                <w:top w:val="none" w:sz="0" w:space="0" w:color="auto"/>
                <w:left w:val="none" w:sz="0" w:space="0" w:color="auto"/>
                <w:bottom w:val="none" w:sz="0" w:space="0" w:color="auto"/>
                <w:right w:val="none" w:sz="0" w:space="0" w:color="auto"/>
              </w:divBdr>
              <w:divsChild>
                <w:div w:id="1095322373">
                  <w:marLeft w:val="0"/>
                  <w:marRight w:val="0"/>
                  <w:marTop w:val="0"/>
                  <w:marBottom w:val="0"/>
                  <w:divBdr>
                    <w:top w:val="none" w:sz="0" w:space="0" w:color="auto"/>
                    <w:left w:val="none" w:sz="0" w:space="0" w:color="auto"/>
                    <w:bottom w:val="none" w:sz="0" w:space="0" w:color="auto"/>
                    <w:right w:val="none" w:sz="0" w:space="0" w:color="auto"/>
                  </w:divBdr>
                  <w:divsChild>
                    <w:div w:id="20383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02422">
      <w:bodyDiv w:val="1"/>
      <w:marLeft w:val="0"/>
      <w:marRight w:val="0"/>
      <w:marTop w:val="0"/>
      <w:marBottom w:val="0"/>
      <w:divBdr>
        <w:top w:val="none" w:sz="0" w:space="0" w:color="auto"/>
        <w:left w:val="none" w:sz="0" w:space="0" w:color="auto"/>
        <w:bottom w:val="none" w:sz="0" w:space="0" w:color="auto"/>
        <w:right w:val="none" w:sz="0" w:space="0" w:color="auto"/>
      </w:divBdr>
      <w:divsChild>
        <w:div w:id="1357274389">
          <w:marLeft w:val="0"/>
          <w:marRight w:val="0"/>
          <w:marTop w:val="0"/>
          <w:marBottom w:val="0"/>
          <w:divBdr>
            <w:top w:val="none" w:sz="0" w:space="0" w:color="auto"/>
            <w:left w:val="none" w:sz="0" w:space="0" w:color="auto"/>
            <w:bottom w:val="none" w:sz="0" w:space="0" w:color="auto"/>
            <w:right w:val="none" w:sz="0" w:space="0" w:color="auto"/>
          </w:divBdr>
          <w:divsChild>
            <w:div w:id="167260899">
              <w:marLeft w:val="0"/>
              <w:marRight w:val="0"/>
              <w:marTop w:val="0"/>
              <w:marBottom w:val="0"/>
              <w:divBdr>
                <w:top w:val="none" w:sz="0" w:space="0" w:color="auto"/>
                <w:left w:val="none" w:sz="0" w:space="0" w:color="auto"/>
                <w:bottom w:val="none" w:sz="0" w:space="0" w:color="auto"/>
                <w:right w:val="none" w:sz="0" w:space="0" w:color="auto"/>
              </w:divBdr>
              <w:divsChild>
                <w:div w:id="126896427">
                  <w:marLeft w:val="0"/>
                  <w:marRight w:val="0"/>
                  <w:marTop w:val="0"/>
                  <w:marBottom w:val="0"/>
                  <w:divBdr>
                    <w:top w:val="none" w:sz="0" w:space="0" w:color="auto"/>
                    <w:left w:val="none" w:sz="0" w:space="0" w:color="auto"/>
                    <w:bottom w:val="none" w:sz="0" w:space="0" w:color="auto"/>
                    <w:right w:val="none" w:sz="0" w:space="0" w:color="auto"/>
                  </w:divBdr>
                  <w:divsChild>
                    <w:div w:id="10023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53928">
      <w:bodyDiv w:val="1"/>
      <w:marLeft w:val="0"/>
      <w:marRight w:val="0"/>
      <w:marTop w:val="0"/>
      <w:marBottom w:val="0"/>
      <w:divBdr>
        <w:top w:val="none" w:sz="0" w:space="0" w:color="auto"/>
        <w:left w:val="none" w:sz="0" w:space="0" w:color="auto"/>
        <w:bottom w:val="none" w:sz="0" w:space="0" w:color="auto"/>
        <w:right w:val="none" w:sz="0" w:space="0" w:color="auto"/>
      </w:divBdr>
    </w:div>
    <w:div w:id="977566165">
      <w:bodyDiv w:val="1"/>
      <w:marLeft w:val="0"/>
      <w:marRight w:val="0"/>
      <w:marTop w:val="0"/>
      <w:marBottom w:val="0"/>
      <w:divBdr>
        <w:top w:val="none" w:sz="0" w:space="0" w:color="auto"/>
        <w:left w:val="none" w:sz="0" w:space="0" w:color="auto"/>
        <w:bottom w:val="none" w:sz="0" w:space="0" w:color="auto"/>
        <w:right w:val="none" w:sz="0" w:space="0" w:color="auto"/>
      </w:divBdr>
    </w:div>
    <w:div w:id="1655447199">
      <w:bodyDiv w:val="1"/>
      <w:marLeft w:val="0"/>
      <w:marRight w:val="0"/>
      <w:marTop w:val="0"/>
      <w:marBottom w:val="0"/>
      <w:divBdr>
        <w:top w:val="none" w:sz="0" w:space="0" w:color="auto"/>
        <w:left w:val="none" w:sz="0" w:space="0" w:color="auto"/>
        <w:bottom w:val="none" w:sz="0" w:space="0" w:color="auto"/>
        <w:right w:val="none" w:sz="0" w:space="0" w:color="auto"/>
      </w:divBdr>
      <w:divsChild>
        <w:div w:id="518979690">
          <w:marLeft w:val="0"/>
          <w:marRight w:val="0"/>
          <w:marTop w:val="0"/>
          <w:marBottom w:val="0"/>
          <w:divBdr>
            <w:top w:val="none" w:sz="0" w:space="0" w:color="auto"/>
            <w:left w:val="none" w:sz="0" w:space="0" w:color="auto"/>
            <w:bottom w:val="none" w:sz="0" w:space="0" w:color="auto"/>
            <w:right w:val="none" w:sz="0" w:space="0" w:color="auto"/>
          </w:divBdr>
          <w:divsChild>
            <w:div w:id="1038623517">
              <w:marLeft w:val="0"/>
              <w:marRight w:val="0"/>
              <w:marTop w:val="0"/>
              <w:marBottom w:val="0"/>
              <w:divBdr>
                <w:top w:val="none" w:sz="0" w:space="0" w:color="auto"/>
                <w:left w:val="none" w:sz="0" w:space="0" w:color="auto"/>
                <w:bottom w:val="none" w:sz="0" w:space="0" w:color="auto"/>
                <w:right w:val="none" w:sz="0" w:space="0" w:color="auto"/>
              </w:divBdr>
              <w:divsChild>
                <w:div w:id="528883892">
                  <w:marLeft w:val="0"/>
                  <w:marRight w:val="0"/>
                  <w:marTop w:val="0"/>
                  <w:marBottom w:val="0"/>
                  <w:divBdr>
                    <w:top w:val="none" w:sz="0" w:space="0" w:color="auto"/>
                    <w:left w:val="none" w:sz="0" w:space="0" w:color="auto"/>
                    <w:bottom w:val="none" w:sz="0" w:space="0" w:color="auto"/>
                    <w:right w:val="none" w:sz="0" w:space="0" w:color="auto"/>
                  </w:divBdr>
                  <w:divsChild>
                    <w:div w:id="11798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8009">
      <w:bodyDiv w:val="1"/>
      <w:marLeft w:val="0"/>
      <w:marRight w:val="0"/>
      <w:marTop w:val="0"/>
      <w:marBottom w:val="0"/>
      <w:divBdr>
        <w:top w:val="none" w:sz="0" w:space="0" w:color="auto"/>
        <w:left w:val="none" w:sz="0" w:space="0" w:color="auto"/>
        <w:bottom w:val="none" w:sz="0" w:space="0" w:color="auto"/>
        <w:right w:val="none" w:sz="0" w:space="0" w:color="auto"/>
      </w:divBdr>
    </w:div>
    <w:div w:id="20833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9169-952B-4CF2-94DF-69028AF1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4809</Characters>
  <Application>Microsoft Office Word</Application>
  <DocSecurity>0</DocSecurity>
  <Lines>147</Lines>
  <Paragraphs>58</Paragraphs>
  <ScaleCrop>false</ScaleCrop>
  <HeadingPairs>
    <vt:vector size="2" baseType="variant">
      <vt:variant>
        <vt:lpstr>Title</vt:lpstr>
      </vt:variant>
      <vt:variant>
        <vt:i4>1</vt:i4>
      </vt:variant>
    </vt:vector>
  </HeadingPairs>
  <TitlesOfParts>
    <vt:vector size="1" baseType="lpstr">
      <vt:lpstr>Fact sheet: GST on low-value imported goods – an offshore supplier registration system (October 2018)</vt:lpstr>
    </vt:vector>
  </TitlesOfParts>
  <Company>Inland Revenue</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GST on low-value imported goods – an offshore supplier registration system (October 2018)</dc:title>
  <dc:creator>Policy and Strategy</dc:creator>
  <dc:description/>
  <cp:lastModifiedBy>David Nind</cp:lastModifiedBy>
  <cp:revision>2</cp:revision>
  <dcterms:created xsi:type="dcterms:W3CDTF">2018-10-17T02:57:00Z</dcterms:created>
  <dcterms:modified xsi:type="dcterms:W3CDTF">2018-10-17T02:57:00Z</dcterms:modified>
</cp:coreProperties>
</file>