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A3" w:rsidRPr="000C6D7B" w:rsidRDefault="00A81CA3" w:rsidP="001D4542">
      <w:pPr>
        <w:pStyle w:val="Heading1"/>
      </w:pPr>
      <w:bookmarkStart w:id="0" w:name="_GoBack"/>
      <w:bookmarkEnd w:id="0"/>
      <w:r w:rsidRPr="000C6D7B">
        <w:t xml:space="preserve">Fact Sheet </w:t>
      </w:r>
      <w:r w:rsidR="004F206C">
        <w:t>3</w:t>
      </w:r>
      <w:r w:rsidRPr="000C6D7B">
        <w:t xml:space="preserve"> </w:t>
      </w:r>
      <w:r w:rsidR="006F42FC">
        <w:t xml:space="preserve">– </w:t>
      </w:r>
      <w:r w:rsidRPr="000C6D7B">
        <w:t>Changes to Working for Families</w:t>
      </w:r>
    </w:p>
    <w:p w:rsidR="00A81CA3" w:rsidRPr="000C6D7B" w:rsidRDefault="00A81CA3" w:rsidP="001D4542">
      <w:pPr>
        <w:pStyle w:val="Heading2"/>
      </w:pPr>
      <w:r w:rsidRPr="000C6D7B">
        <w:t>Summary</w:t>
      </w:r>
    </w:p>
    <w:p w:rsidR="00A81CA3" w:rsidRPr="001D4542" w:rsidRDefault="00A81CA3" w:rsidP="001D4542">
      <w:pPr>
        <w:pStyle w:val="Heading3"/>
        <w:rPr>
          <w:b w:val="0"/>
        </w:rPr>
      </w:pPr>
      <w:r w:rsidRPr="001D4542">
        <w:rPr>
          <w:b w:val="0"/>
        </w:rPr>
        <w:t>From 1 April 2018</w:t>
      </w:r>
      <w:r w:rsidR="0056151C" w:rsidRPr="001D4542">
        <w:rPr>
          <w:b w:val="0"/>
        </w:rPr>
        <w:t>:</w:t>
      </w:r>
    </w:p>
    <w:p w:rsidR="00D242A8" w:rsidRPr="00D242A8" w:rsidRDefault="00D242A8" w:rsidP="00D508EB">
      <w:pPr>
        <w:pStyle w:val="ListParagraph"/>
        <w:numPr>
          <w:ilvl w:val="0"/>
          <w:numId w:val="1"/>
        </w:numPr>
        <w:ind w:left="568" w:hanging="284"/>
        <w:contextualSpacing w:val="0"/>
        <w:rPr>
          <w:rFonts w:cs="Arial"/>
        </w:rPr>
      </w:pPr>
      <w:r>
        <w:rPr>
          <w:rFonts w:cs="Arial"/>
        </w:rPr>
        <w:t>T</w:t>
      </w:r>
      <w:r w:rsidRPr="00D242A8">
        <w:rPr>
          <w:rFonts w:cs="Arial"/>
        </w:rPr>
        <w:t>he Family Tax Credit rate</w:t>
      </w:r>
      <w:r w:rsidR="00F53206">
        <w:rPr>
          <w:rFonts w:cs="Arial"/>
        </w:rPr>
        <w:t>s</w:t>
      </w:r>
      <w:r w:rsidRPr="00D242A8">
        <w:rPr>
          <w:rFonts w:cs="Arial"/>
        </w:rPr>
        <w:t xml:space="preserve"> will be </w:t>
      </w:r>
      <w:r w:rsidR="00F53206">
        <w:rPr>
          <w:rFonts w:cs="Arial"/>
        </w:rPr>
        <w:t xml:space="preserve">updated so they are </w:t>
      </w:r>
      <w:r w:rsidRPr="00D242A8">
        <w:rPr>
          <w:rFonts w:cs="Arial"/>
        </w:rPr>
        <w:t xml:space="preserve">the same regardless of age.  There will be one rate for the eldest child, $101.98 a week, and one rate for all subsequent children, $91.25 a week.  </w:t>
      </w:r>
    </w:p>
    <w:p w:rsidR="00A81CA3" w:rsidRDefault="00C037FB" w:rsidP="00D508EB">
      <w:pPr>
        <w:pStyle w:val="ListParagraph"/>
        <w:numPr>
          <w:ilvl w:val="0"/>
          <w:numId w:val="1"/>
        </w:numPr>
        <w:ind w:left="568" w:hanging="284"/>
        <w:contextualSpacing w:val="0"/>
        <w:rPr>
          <w:rFonts w:cs="Arial"/>
        </w:rPr>
      </w:pPr>
      <w:r>
        <w:rPr>
          <w:rFonts w:cs="Arial"/>
        </w:rPr>
        <w:t>Low</w:t>
      </w:r>
      <w:r w:rsidR="00A81CA3" w:rsidRPr="000C6D7B">
        <w:rPr>
          <w:rFonts w:cs="Arial"/>
        </w:rPr>
        <w:t xml:space="preserve"> to middle</w:t>
      </w:r>
      <w:r>
        <w:rPr>
          <w:rFonts w:cs="Arial"/>
        </w:rPr>
        <w:t xml:space="preserve"> </w:t>
      </w:r>
      <w:r w:rsidR="00A81CA3" w:rsidRPr="000C6D7B">
        <w:rPr>
          <w:rFonts w:cs="Arial"/>
        </w:rPr>
        <w:t xml:space="preserve">income families with </w:t>
      </w:r>
      <w:r w:rsidR="00AF6A51">
        <w:rPr>
          <w:rFonts w:cs="Arial"/>
        </w:rPr>
        <w:t xml:space="preserve">an eldest </w:t>
      </w:r>
      <w:r w:rsidR="00A81CA3" w:rsidRPr="000C6D7B">
        <w:rPr>
          <w:rFonts w:cs="Arial"/>
        </w:rPr>
        <w:t xml:space="preserve">child aged </w:t>
      </w:r>
      <w:proofErr w:type="gramStart"/>
      <w:r w:rsidR="00FC6DC3">
        <w:rPr>
          <w:rFonts w:cs="Arial"/>
        </w:rPr>
        <w:t>under</w:t>
      </w:r>
      <w:proofErr w:type="gramEnd"/>
      <w:r w:rsidR="00FC6DC3">
        <w:rPr>
          <w:rFonts w:cs="Arial"/>
        </w:rPr>
        <w:t xml:space="preserve"> 16</w:t>
      </w:r>
      <w:r w:rsidR="00A81CA3" w:rsidRPr="000C6D7B">
        <w:rPr>
          <w:rFonts w:cs="Arial"/>
        </w:rPr>
        <w:t xml:space="preserve"> will get</w:t>
      </w:r>
      <w:r w:rsidR="00AF6A51">
        <w:rPr>
          <w:rFonts w:cs="Arial"/>
        </w:rPr>
        <w:t xml:space="preserve"> up to </w:t>
      </w:r>
      <w:r w:rsidR="00266655">
        <w:rPr>
          <w:rFonts w:cs="Arial"/>
        </w:rPr>
        <w:t>$9</w:t>
      </w:r>
      <w:r>
        <w:rPr>
          <w:rFonts w:cs="Arial"/>
        </w:rPr>
        <w:t>.25</w:t>
      </w:r>
      <w:r w:rsidR="00A81CA3" w:rsidRPr="000C6D7B">
        <w:rPr>
          <w:rFonts w:cs="Arial"/>
        </w:rPr>
        <w:t xml:space="preserve"> more</w:t>
      </w:r>
      <w:r w:rsidR="00266655">
        <w:rPr>
          <w:rFonts w:cs="Arial"/>
        </w:rPr>
        <w:t xml:space="preserve"> a week</w:t>
      </w:r>
      <w:r w:rsidR="00A81CA3" w:rsidRPr="000C6D7B">
        <w:rPr>
          <w:rFonts w:cs="Arial"/>
        </w:rPr>
        <w:t xml:space="preserve"> </w:t>
      </w:r>
      <w:r w:rsidR="00FC6DC3">
        <w:rPr>
          <w:rFonts w:cs="Arial"/>
        </w:rPr>
        <w:t xml:space="preserve">in </w:t>
      </w:r>
      <w:r w:rsidR="00A81CA3" w:rsidRPr="000C6D7B">
        <w:rPr>
          <w:rFonts w:cs="Arial"/>
        </w:rPr>
        <w:t>Working for Families, depending on their income</w:t>
      </w:r>
      <w:r w:rsidR="00AF6A51">
        <w:rPr>
          <w:rFonts w:cs="Arial"/>
        </w:rPr>
        <w:t>, and up to $</w:t>
      </w:r>
      <w:r w:rsidR="00266655">
        <w:rPr>
          <w:rFonts w:cs="Arial"/>
        </w:rPr>
        <w:t>2</w:t>
      </w:r>
      <w:r>
        <w:rPr>
          <w:rFonts w:cs="Arial"/>
        </w:rPr>
        <w:t>6.8</w:t>
      </w:r>
      <w:r w:rsidR="009D77B6">
        <w:rPr>
          <w:rFonts w:cs="Arial"/>
        </w:rPr>
        <w:t>1</w:t>
      </w:r>
      <w:r w:rsidR="00266655">
        <w:rPr>
          <w:rFonts w:cs="Arial"/>
        </w:rPr>
        <w:t xml:space="preserve"> a week </w:t>
      </w:r>
      <w:r w:rsidR="00FC6DC3">
        <w:rPr>
          <w:rFonts w:cs="Arial"/>
        </w:rPr>
        <w:t xml:space="preserve">more </w:t>
      </w:r>
      <w:r w:rsidR="00AF6A51">
        <w:rPr>
          <w:rFonts w:cs="Arial"/>
        </w:rPr>
        <w:t>for subsequent children, depending on their income and age of child</w:t>
      </w:r>
      <w:r w:rsidR="0056151C">
        <w:rPr>
          <w:rFonts w:cs="Arial"/>
        </w:rPr>
        <w:t>.</w:t>
      </w:r>
    </w:p>
    <w:p w:rsidR="00233B27" w:rsidRDefault="002F1E78" w:rsidP="00D508EB">
      <w:pPr>
        <w:pStyle w:val="ListParagraph"/>
        <w:numPr>
          <w:ilvl w:val="0"/>
          <w:numId w:val="1"/>
        </w:numPr>
        <w:ind w:left="568" w:hanging="284"/>
        <w:contextualSpacing w:val="0"/>
        <w:rPr>
          <w:rFonts w:cs="Arial"/>
        </w:rPr>
      </w:pPr>
      <w:r>
        <w:rPr>
          <w:rFonts w:cs="Arial"/>
        </w:rPr>
        <w:t xml:space="preserve">Around </w:t>
      </w:r>
      <w:r w:rsidR="00233B27">
        <w:rPr>
          <w:rFonts w:cs="Arial"/>
        </w:rPr>
        <w:t>310,000 families will benefit from the changes to the Family Tax Credit.</w:t>
      </w:r>
    </w:p>
    <w:p w:rsidR="00D242A8" w:rsidRPr="00D242A8" w:rsidRDefault="00D242A8" w:rsidP="00D508EB">
      <w:pPr>
        <w:pStyle w:val="ListParagraph"/>
        <w:numPr>
          <w:ilvl w:val="0"/>
          <w:numId w:val="1"/>
        </w:numPr>
        <w:ind w:left="568" w:hanging="284"/>
        <w:contextualSpacing w:val="0"/>
        <w:rPr>
          <w:rFonts w:cs="Arial"/>
        </w:rPr>
      </w:pPr>
      <w:r w:rsidRPr="00D242A8">
        <w:rPr>
          <w:rFonts w:cs="Arial"/>
        </w:rPr>
        <w:t xml:space="preserve">The abatement rate for Working for Families Tax Credits will be increased from 22.5 cents to 25 cents in the dollar. </w:t>
      </w:r>
      <w:r w:rsidR="00F53206">
        <w:rPr>
          <w:rFonts w:cs="Arial"/>
        </w:rPr>
        <w:t xml:space="preserve"> </w:t>
      </w:r>
      <w:r w:rsidRPr="00D242A8">
        <w:rPr>
          <w:rFonts w:cs="Arial"/>
        </w:rPr>
        <w:t>The abatement threshold will decrease from $36,350 a year to $35,000 a year.</w:t>
      </w:r>
      <w:r w:rsidR="00F53206">
        <w:rPr>
          <w:rFonts w:cs="Arial"/>
        </w:rPr>
        <w:t xml:space="preserve"> </w:t>
      </w:r>
      <w:r w:rsidRPr="00D242A8">
        <w:rPr>
          <w:rFonts w:cs="Arial"/>
        </w:rPr>
        <w:t xml:space="preserve"> This brings forward changes </w:t>
      </w:r>
      <w:r w:rsidR="00F53206">
        <w:rPr>
          <w:rFonts w:cs="Arial"/>
        </w:rPr>
        <w:t xml:space="preserve">already planned to </w:t>
      </w:r>
      <w:r w:rsidRPr="00D242A8">
        <w:rPr>
          <w:rFonts w:cs="Arial"/>
        </w:rPr>
        <w:t>progressively occur by 2025</w:t>
      </w:r>
      <w:r>
        <w:rPr>
          <w:rFonts w:cs="Arial"/>
        </w:rPr>
        <w:t xml:space="preserve"> </w:t>
      </w:r>
      <w:r w:rsidRPr="00D242A8">
        <w:rPr>
          <w:rFonts w:cs="Arial"/>
        </w:rPr>
        <w:t xml:space="preserve">based on </w:t>
      </w:r>
      <w:r w:rsidR="00101BC0">
        <w:rPr>
          <w:rFonts w:cs="Arial"/>
        </w:rPr>
        <w:t xml:space="preserve">expected </w:t>
      </w:r>
      <w:r w:rsidRPr="00D242A8">
        <w:rPr>
          <w:rFonts w:cs="Arial"/>
        </w:rPr>
        <w:t>movements in the Consumer</w:t>
      </w:r>
      <w:r w:rsidR="002F1E78">
        <w:rPr>
          <w:rFonts w:cs="Arial"/>
        </w:rPr>
        <w:t>s</w:t>
      </w:r>
      <w:r w:rsidRPr="00D242A8">
        <w:rPr>
          <w:rFonts w:cs="Arial"/>
        </w:rPr>
        <w:t xml:space="preserve"> Price Index.</w:t>
      </w:r>
    </w:p>
    <w:p w:rsidR="00A81CA3" w:rsidRPr="000C6D7B" w:rsidRDefault="00A81CA3" w:rsidP="001D4542">
      <w:pPr>
        <w:pStyle w:val="Heading2"/>
      </w:pPr>
      <w:r w:rsidRPr="000C6D7B">
        <w:t>What is changing?</w:t>
      </w:r>
    </w:p>
    <w:p w:rsidR="00A81CA3" w:rsidRPr="000C6D7B" w:rsidRDefault="00A81CA3" w:rsidP="00A81CA3">
      <w:pPr>
        <w:rPr>
          <w:rFonts w:cs="Arial"/>
        </w:rPr>
      </w:pPr>
      <w:r w:rsidRPr="000C6D7B">
        <w:rPr>
          <w:rFonts w:cs="Arial"/>
        </w:rPr>
        <w:t xml:space="preserve">From 1 April 2018, </w:t>
      </w:r>
      <w:r w:rsidR="00B2055F" w:rsidRPr="000C6D7B">
        <w:rPr>
          <w:rFonts w:cs="Arial"/>
        </w:rPr>
        <w:t>two</w:t>
      </w:r>
      <w:r w:rsidRPr="000C6D7B">
        <w:rPr>
          <w:rFonts w:cs="Arial"/>
        </w:rPr>
        <w:t xml:space="preserve"> elements of Working for Families will change:</w:t>
      </w:r>
    </w:p>
    <w:p w:rsidR="00A81CA3" w:rsidRPr="000C6D7B" w:rsidRDefault="009D77B6" w:rsidP="00D508EB">
      <w:pPr>
        <w:pStyle w:val="ListParagraph"/>
        <w:numPr>
          <w:ilvl w:val="0"/>
          <w:numId w:val="2"/>
        </w:numPr>
        <w:ind w:left="568" w:hanging="284"/>
        <w:contextualSpacing w:val="0"/>
        <w:rPr>
          <w:rFonts w:cs="Arial"/>
        </w:rPr>
      </w:pPr>
      <w:r>
        <w:rPr>
          <w:rFonts w:cs="Arial"/>
        </w:rPr>
        <w:t>T</w:t>
      </w:r>
      <w:r w:rsidR="00A81CA3" w:rsidRPr="000C6D7B">
        <w:rPr>
          <w:rFonts w:cs="Arial"/>
        </w:rPr>
        <w:t xml:space="preserve">he Family Tax </w:t>
      </w:r>
      <w:r w:rsidR="00B2055F" w:rsidRPr="000C6D7B">
        <w:rPr>
          <w:rFonts w:cs="Arial"/>
        </w:rPr>
        <w:t>C</w:t>
      </w:r>
      <w:r w:rsidR="00A81CA3" w:rsidRPr="000C6D7B">
        <w:rPr>
          <w:rFonts w:cs="Arial"/>
        </w:rPr>
        <w:t xml:space="preserve">redit rates for children aged </w:t>
      </w:r>
      <w:proofErr w:type="gramStart"/>
      <w:r w:rsidR="007C76D8">
        <w:rPr>
          <w:rFonts w:cs="Arial"/>
        </w:rPr>
        <w:t>under</w:t>
      </w:r>
      <w:proofErr w:type="gramEnd"/>
      <w:r w:rsidR="007C76D8">
        <w:rPr>
          <w:rFonts w:cs="Arial"/>
        </w:rPr>
        <w:t xml:space="preserve"> 16</w:t>
      </w:r>
      <w:r>
        <w:rPr>
          <w:rFonts w:cs="Arial"/>
        </w:rPr>
        <w:t xml:space="preserve"> are increasing</w:t>
      </w:r>
      <w:r w:rsidR="00B2055F" w:rsidRPr="000C6D7B">
        <w:rPr>
          <w:rFonts w:cs="Arial"/>
        </w:rPr>
        <w:t>, so that they align with the rates for children aged 16 to 18 years.</w: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2741"/>
        <w:gridCol w:w="1558"/>
        <w:gridCol w:w="1701"/>
      </w:tblGrid>
      <w:tr w:rsidR="00AF6A51" w:rsidRPr="001D4542" w:rsidTr="001D4542">
        <w:trPr>
          <w:trHeight w:val="411"/>
          <w:jc w:val="center"/>
        </w:trPr>
        <w:tc>
          <w:tcPr>
            <w:tcW w:w="2741"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AF6A51" w:rsidRPr="001D4542" w:rsidRDefault="00AF6A51" w:rsidP="001D4542">
            <w:pPr>
              <w:pStyle w:val="CabStandard"/>
              <w:numPr>
                <w:ilvl w:val="0"/>
                <w:numId w:val="0"/>
              </w:numPr>
              <w:spacing w:before="60" w:after="60" w:line="240" w:lineRule="atLeast"/>
              <w:rPr>
                <w:rFonts w:ascii="Arial" w:hAnsi="Arial" w:cs="Arial"/>
                <w:b/>
                <w:sz w:val="20"/>
              </w:rPr>
            </w:pPr>
            <w:r w:rsidRPr="001D4542">
              <w:rPr>
                <w:rFonts w:ascii="Arial" w:hAnsi="Arial" w:cs="Arial"/>
                <w:b/>
                <w:sz w:val="20"/>
              </w:rPr>
              <w:t>Annual Rate</w:t>
            </w:r>
          </w:p>
        </w:tc>
        <w:tc>
          <w:tcPr>
            <w:tcW w:w="1558"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b/>
                <w:sz w:val="20"/>
              </w:rPr>
            </w:pPr>
            <w:r w:rsidRPr="001D4542">
              <w:rPr>
                <w:rFonts w:ascii="Arial" w:hAnsi="Arial" w:cs="Arial"/>
                <w:b/>
                <w:sz w:val="20"/>
              </w:rPr>
              <w:t>Current</w:t>
            </w:r>
          </w:p>
        </w:tc>
        <w:tc>
          <w:tcPr>
            <w:tcW w:w="1701" w:type="dxa"/>
            <w:tcBorders>
              <w:top w:val="single" w:sz="4" w:space="0" w:color="808080" w:themeColor="background1" w:themeShade="80"/>
              <w:bottom w:val="single" w:sz="4" w:space="0" w:color="808080" w:themeColor="background1" w:themeShade="80"/>
            </w:tcBorders>
            <w:shd w:val="clear" w:color="auto" w:fill="F2F2F2" w:themeFill="background1" w:themeFillShade="F2"/>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b/>
                <w:sz w:val="20"/>
              </w:rPr>
            </w:pPr>
            <w:r w:rsidRPr="001D4542">
              <w:rPr>
                <w:rFonts w:ascii="Arial" w:hAnsi="Arial" w:cs="Arial"/>
                <w:b/>
                <w:sz w:val="20"/>
              </w:rPr>
              <w:t>1 April 201</w:t>
            </w:r>
            <w:r w:rsidR="002F1E78">
              <w:rPr>
                <w:rFonts w:ascii="Arial" w:hAnsi="Arial" w:cs="Arial"/>
                <w:b/>
                <w:sz w:val="20"/>
              </w:rPr>
              <w:t>8</w:t>
            </w:r>
          </w:p>
        </w:tc>
      </w:tr>
      <w:tr w:rsidR="00AF6A51" w:rsidRPr="001D4542" w:rsidTr="001D4542">
        <w:trPr>
          <w:trHeight w:val="425"/>
          <w:jc w:val="center"/>
        </w:trPr>
        <w:tc>
          <w:tcPr>
            <w:tcW w:w="2741" w:type="dxa"/>
            <w:tcBorders>
              <w:top w:val="single" w:sz="4" w:space="0" w:color="808080" w:themeColor="background1" w:themeShade="80"/>
            </w:tcBorders>
            <w:vAlign w:val="center"/>
          </w:tcPr>
          <w:p w:rsidR="00AF6A51" w:rsidRPr="001D4542" w:rsidRDefault="00AF6A51" w:rsidP="001D4542">
            <w:pPr>
              <w:pStyle w:val="CabStandard"/>
              <w:numPr>
                <w:ilvl w:val="0"/>
                <w:numId w:val="0"/>
              </w:numPr>
              <w:spacing w:before="60" w:after="60" w:line="240" w:lineRule="atLeast"/>
              <w:rPr>
                <w:rFonts w:ascii="Arial" w:hAnsi="Arial" w:cs="Arial"/>
                <w:sz w:val="20"/>
              </w:rPr>
            </w:pPr>
            <w:r w:rsidRPr="001D4542">
              <w:rPr>
                <w:rFonts w:ascii="Arial" w:hAnsi="Arial" w:cs="Arial"/>
                <w:sz w:val="20"/>
              </w:rPr>
              <w:t>Eldest child, 16-18</w:t>
            </w:r>
          </w:p>
        </w:tc>
        <w:tc>
          <w:tcPr>
            <w:tcW w:w="1558" w:type="dxa"/>
            <w:tcBorders>
              <w:top w:val="single" w:sz="4" w:space="0" w:color="808080" w:themeColor="background1" w:themeShade="80"/>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$5,303</w:t>
            </w:r>
          </w:p>
        </w:tc>
        <w:tc>
          <w:tcPr>
            <w:tcW w:w="1701" w:type="dxa"/>
            <w:vMerge w:val="restart"/>
            <w:tcBorders>
              <w:top w:val="single" w:sz="4" w:space="0" w:color="808080" w:themeColor="background1" w:themeShade="80"/>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$5,303</w:t>
            </w:r>
          </w:p>
        </w:tc>
      </w:tr>
      <w:tr w:rsidR="00AF6A51" w:rsidRPr="001D4542" w:rsidTr="00063AA8">
        <w:trPr>
          <w:trHeight w:val="425"/>
          <w:jc w:val="center"/>
        </w:trPr>
        <w:tc>
          <w:tcPr>
            <w:tcW w:w="2741" w:type="dxa"/>
            <w:tcBorders>
              <w:bottom w:val="single" w:sz="4" w:space="0" w:color="808080" w:themeColor="background1" w:themeShade="80"/>
            </w:tcBorders>
            <w:vAlign w:val="center"/>
          </w:tcPr>
          <w:p w:rsidR="00AF6A51" w:rsidRPr="001D4542" w:rsidRDefault="00AF6A51" w:rsidP="001D4542">
            <w:pPr>
              <w:pStyle w:val="CabStandard"/>
              <w:numPr>
                <w:ilvl w:val="0"/>
                <w:numId w:val="0"/>
              </w:numPr>
              <w:spacing w:before="60" w:after="60" w:line="240" w:lineRule="atLeast"/>
              <w:rPr>
                <w:rFonts w:ascii="Arial" w:hAnsi="Arial" w:cs="Arial"/>
                <w:sz w:val="20"/>
              </w:rPr>
            </w:pPr>
            <w:r w:rsidRPr="001D4542">
              <w:rPr>
                <w:rFonts w:ascii="Arial" w:hAnsi="Arial" w:cs="Arial"/>
                <w:sz w:val="20"/>
              </w:rPr>
              <w:t>Eldest child, 0-15</w:t>
            </w:r>
          </w:p>
        </w:tc>
        <w:tc>
          <w:tcPr>
            <w:tcW w:w="1558" w:type="dxa"/>
            <w:tcBorders>
              <w:bottom w:val="single" w:sz="4" w:space="0" w:color="808080" w:themeColor="background1" w:themeShade="80"/>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$4,822</w:t>
            </w:r>
          </w:p>
        </w:tc>
        <w:tc>
          <w:tcPr>
            <w:tcW w:w="1701" w:type="dxa"/>
            <w:vMerge/>
            <w:tcBorders>
              <w:bottom w:val="single" w:sz="4" w:space="0" w:color="808080" w:themeColor="background1" w:themeShade="80"/>
            </w:tcBorders>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p>
        </w:tc>
      </w:tr>
      <w:tr w:rsidR="00AF6A51" w:rsidRPr="001D4542" w:rsidTr="00063AA8">
        <w:trPr>
          <w:trHeight w:val="425"/>
          <w:jc w:val="center"/>
        </w:trPr>
        <w:tc>
          <w:tcPr>
            <w:tcW w:w="2741" w:type="dxa"/>
            <w:tcBorders>
              <w:top w:val="single" w:sz="4" w:space="0" w:color="808080" w:themeColor="background1" w:themeShade="80"/>
              <w:bottom w:val="nil"/>
            </w:tcBorders>
            <w:vAlign w:val="center"/>
          </w:tcPr>
          <w:p w:rsidR="00AF6A51" w:rsidRPr="001D4542" w:rsidRDefault="00AF6A51" w:rsidP="001D4542">
            <w:pPr>
              <w:pStyle w:val="CabStandard"/>
              <w:numPr>
                <w:ilvl w:val="0"/>
                <w:numId w:val="0"/>
              </w:numPr>
              <w:spacing w:before="60" w:after="60" w:line="240" w:lineRule="atLeast"/>
              <w:rPr>
                <w:rFonts w:ascii="Arial" w:hAnsi="Arial" w:cs="Arial"/>
                <w:sz w:val="20"/>
              </w:rPr>
            </w:pPr>
            <w:r w:rsidRPr="001D4542">
              <w:rPr>
                <w:rFonts w:ascii="Arial" w:hAnsi="Arial" w:cs="Arial"/>
                <w:sz w:val="20"/>
              </w:rPr>
              <w:t>Subsequent child, 16-18</w:t>
            </w:r>
          </w:p>
        </w:tc>
        <w:tc>
          <w:tcPr>
            <w:tcW w:w="1558" w:type="dxa"/>
            <w:tcBorders>
              <w:top w:val="single" w:sz="4" w:space="0" w:color="808080" w:themeColor="background1" w:themeShade="80"/>
              <w:bottom w:val="nil"/>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$4,745</w:t>
            </w:r>
          </w:p>
        </w:tc>
        <w:tc>
          <w:tcPr>
            <w:tcW w:w="1701" w:type="dxa"/>
            <w:vMerge w:val="restart"/>
            <w:tcBorders>
              <w:top w:val="single" w:sz="4" w:space="0" w:color="808080" w:themeColor="background1" w:themeShade="80"/>
              <w:bottom w:val="nil"/>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$4,745</w:t>
            </w:r>
          </w:p>
        </w:tc>
      </w:tr>
      <w:tr w:rsidR="00AF6A51" w:rsidRPr="001D4542" w:rsidTr="00063AA8">
        <w:trPr>
          <w:trHeight w:val="411"/>
          <w:jc w:val="center"/>
        </w:trPr>
        <w:tc>
          <w:tcPr>
            <w:tcW w:w="2741" w:type="dxa"/>
            <w:tcBorders>
              <w:top w:val="nil"/>
            </w:tcBorders>
            <w:vAlign w:val="center"/>
          </w:tcPr>
          <w:p w:rsidR="00AF6A51" w:rsidRPr="001D4542" w:rsidRDefault="00AF6A51" w:rsidP="001D4542">
            <w:pPr>
              <w:pStyle w:val="CabStandard"/>
              <w:numPr>
                <w:ilvl w:val="0"/>
                <w:numId w:val="0"/>
              </w:numPr>
              <w:spacing w:before="60" w:after="60" w:line="240" w:lineRule="atLeast"/>
              <w:rPr>
                <w:rFonts w:ascii="Arial" w:hAnsi="Arial" w:cs="Arial"/>
                <w:sz w:val="20"/>
              </w:rPr>
            </w:pPr>
            <w:r w:rsidRPr="001D4542">
              <w:rPr>
                <w:rFonts w:ascii="Arial" w:hAnsi="Arial" w:cs="Arial"/>
                <w:sz w:val="20"/>
              </w:rPr>
              <w:t>Subsequent child, 13-15</w:t>
            </w:r>
          </w:p>
        </w:tc>
        <w:tc>
          <w:tcPr>
            <w:tcW w:w="1558" w:type="dxa"/>
            <w:tcBorders>
              <w:top w:val="nil"/>
            </w:tcBorders>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$3,822</w:t>
            </w:r>
          </w:p>
        </w:tc>
        <w:tc>
          <w:tcPr>
            <w:tcW w:w="1701" w:type="dxa"/>
            <w:vMerge/>
            <w:tcBorders>
              <w:top w:val="nil"/>
            </w:tcBorders>
          </w:tcPr>
          <w:p w:rsidR="00AF6A51" w:rsidRPr="001D4542" w:rsidRDefault="00AF6A51" w:rsidP="001D4542">
            <w:pPr>
              <w:pStyle w:val="CabStandard"/>
              <w:numPr>
                <w:ilvl w:val="0"/>
                <w:numId w:val="0"/>
              </w:numPr>
              <w:spacing w:before="60" w:after="60" w:line="240" w:lineRule="atLeast"/>
              <w:jc w:val="right"/>
              <w:rPr>
                <w:rFonts w:ascii="Arial" w:hAnsi="Arial" w:cs="Arial"/>
                <w:sz w:val="20"/>
                <w:highlight w:val="yellow"/>
              </w:rPr>
            </w:pPr>
          </w:p>
        </w:tc>
      </w:tr>
      <w:tr w:rsidR="00AF6A51" w:rsidRPr="001D4542" w:rsidTr="001D4542">
        <w:trPr>
          <w:trHeight w:val="439"/>
          <w:jc w:val="center"/>
        </w:trPr>
        <w:tc>
          <w:tcPr>
            <w:tcW w:w="2741" w:type="dxa"/>
            <w:vAlign w:val="center"/>
          </w:tcPr>
          <w:p w:rsidR="00AF6A51" w:rsidRPr="001D4542" w:rsidRDefault="00AF6A51" w:rsidP="001D4542">
            <w:pPr>
              <w:pStyle w:val="CabStandard"/>
              <w:numPr>
                <w:ilvl w:val="0"/>
                <w:numId w:val="0"/>
              </w:numPr>
              <w:spacing w:before="60" w:after="60" w:line="240" w:lineRule="atLeast"/>
              <w:rPr>
                <w:rFonts w:ascii="Arial" w:hAnsi="Arial" w:cs="Arial"/>
                <w:sz w:val="20"/>
              </w:rPr>
            </w:pPr>
            <w:r w:rsidRPr="001D4542">
              <w:rPr>
                <w:rFonts w:ascii="Arial" w:hAnsi="Arial" w:cs="Arial"/>
                <w:sz w:val="20"/>
              </w:rPr>
              <w:t>Subsequent child, 0-12</w:t>
            </w:r>
          </w:p>
        </w:tc>
        <w:tc>
          <w:tcPr>
            <w:tcW w:w="1558" w:type="dxa"/>
            <w:vAlign w:val="center"/>
          </w:tcPr>
          <w:p w:rsidR="00AF6A51" w:rsidRPr="001D4542" w:rsidRDefault="00AF6A51" w:rsidP="00CE6EE8">
            <w:pPr>
              <w:pStyle w:val="CabStandard"/>
              <w:numPr>
                <w:ilvl w:val="0"/>
                <w:numId w:val="0"/>
              </w:numPr>
              <w:spacing w:before="60" w:after="60" w:line="240" w:lineRule="atLeast"/>
              <w:jc w:val="center"/>
              <w:rPr>
                <w:rFonts w:ascii="Arial" w:hAnsi="Arial" w:cs="Arial"/>
                <w:sz w:val="20"/>
              </w:rPr>
            </w:pPr>
            <w:r w:rsidRPr="001D4542">
              <w:rPr>
                <w:rFonts w:ascii="Arial" w:hAnsi="Arial" w:cs="Arial"/>
                <w:sz w:val="20"/>
              </w:rPr>
              <w:t>$3,351</w:t>
            </w:r>
          </w:p>
        </w:tc>
        <w:tc>
          <w:tcPr>
            <w:tcW w:w="1701" w:type="dxa"/>
            <w:vMerge/>
          </w:tcPr>
          <w:p w:rsidR="00AF6A51" w:rsidRPr="001D4542" w:rsidRDefault="00AF6A51" w:rsidP="001D4542">
            <w:pPr>
              <w:pStyle w:val="CabStandard"/>
              <w:numPr>
                <w:ilvl w:val="0"/>
                <w:numId w:val="0"/>
              </w:numPr>
              <w:spacing w:before="60" w:after="60" w:line="240" w:lineRule="atLeast"/>
              <w:jc w:val="right"/>
              <w:rPr>
                <w:rFonts w:ascii="Arial" w:hAnsi="Arial" w:cs="Arial"/>
                <w:sz w:val="20"/>
                <w:highlight w:val="yellow"/>
              </w:rPr>
            </w:pPr>
          </w:p>
        </w:tc>
      </w:tr>
    </w:tbl>
    <w:p w:rsidR="00AF6A51" w:rsidRPr="00AF6A51" w:rsidRDefault="00AF6A51" w:rsidP="001D4542">
      <w:pPr>
        <w:pStyle w:val="NoSpacing"/>
      </w:pPr>
    </w:p>
    <w:p w:rsidR="00A81CA3" w:rsidRPr="00063AA8" w:rsidRDefault="00A81CA3" w:rsidP="00D508EB">
      <w:pPr>
        <w:ind w:left="567"/>
      </w:pPr>
      <w:r w:rsidRPr="00493B90">
        <w:t xml:space="preserve">The base rate of the Family </w:t>
      </w:r>
      <w:r w:rsidR="00B2055F" w:rsidRPr="00493B90">
        <w:t>T</w:t>
      </w:r>
      <w:r w:rsidRPr="00493B90">
        <w:t xml:space="preserve">ax </w:t>
      </w:r>
      <w:r w:rsidR="00B2055F" w:rsidRPr="00493B90">
        <w:t>C</w:t>
      </w:r>
      <w:r w:rsidRPr="00493B90">
        <w:t xml:space="preserve">redit for the eldest child aged </w:t>
      </w:r>
      <w:proofErr w:type="gramStart"/>
      <w:r w:rsidR="002440F8" w:rsidRPr="00A0154A">
        <w:t>under</w:t>
      </w:r>
      <w:proofErr w:type="gramEnd"/>
      <w:r w:rsidR="002440F8" w:rsidRPr="00A0154A">
        <w:t xml:space="preserve"> 16</w:t>
      </w:r>
      <w:r w:rsidRPr="00A0154A">
        <w:t xml:space="preserve"> will increase from $</w:t>
      </w:r>
      <w:r w:rsidR="009736B5" w:rsidRPr="00712C69">
        <w:t>92</w:t>
      </w:r>
      <w:r w:rsidR="00C037FB">
        <w:t>.73</w:t>
      </w:r>
      <w:r w:rsidRPr="00712C69">
        <w:t xml:space="preserve"> to $</w:t>
      </w:r>
      <w:r w:rsidR="009736B5" w:rsidRPr="00063AA8">
        <w:t>101</w:t>
      </w:r>
      <w:r w:rsidR="00C037FB">
        <w:t>.98</w:t>
      </w:r>
      <w:r w:rsidRPr="00063AA8">
        <w:t xml:space="preserve"> a week – an increase of $</w:t>
      </w:r>
      <w:r w:rsidR="009736B5" w:rsidRPr="00063AA8">
        <w:t>9</w:t>
      </w:r>
      <w:r w:rsidR="00C037FB">
        <w:t>.25</w:t>
      </w:r>
      <w:r w:rsidRPr="00063AA8">
        <w:t xml:space="preserve"> a week, or around </w:t>
      </w:r>
      <w:r w:rsidR="002440F8" w:rsidRPr="00063AA8">
        <w:t xml:space="preserve">10 </w:t>
      </w:r>
      <w:r w:rsidRPr="00063AA8">
        <w:t>per cent.</w:t>
      </w:r>
    </w:p>
    <w:p w:rsidR="00B2055F" w:rsidRPr="00063AA8" w:rsidRDefault="00B2055F" w:rsidP="00D508EB">
      <w:pPr>
        <w:ind w:left="567"/>
      </w:pPr>
      <w:r w:rsidRPr="00063AA8">
        <w:t xml:space="preserve">The base rate of the Family Tax Credit for </w:t>
      </w:r>
      <w:r w:rsidR="009D77B6">
        <w:t>a</w:t>
      </w:r>
      <w:r w:rsidRPr="00063AA8">
        <w:t xml:space="preserve"> subsequent child aged </w:t>
      </w:r>
      <w:proofErr w:type="gramStart"/>
      <w:r w:rsidR="002440F8" w:rsidRPr="00063AA8">
        <w:t>under</w:t>
      </w:r>
      <w:proofErr w:type="gramEnd"/>
      <w:r w:rsidR="002440F8" w:rsidRPr="00063AA8">
        <w:t xml:space="preserve"> 13</w:t>
      </w:r>
      <w:r w:rsidRPr="00063AA8">
        <w:t xml:space="preserve"> will increase from $</w:t>
      </w:r>
      <w:r w:rsidR="009736B5" w:rsidRPr="00063AA8">
        <w:t>64</w:t>
      </w:r>
      <w:r w:rsidR="009D77B6">
        <w:t>.44</w:t>
      </w:r>
      <w:r w:rsidRPr="00063AA8">
        <w:t xml:space="preserve"> to $</w:t>
      </w:r>
      <w:r w:rsidR="009736B5" w:rsidRPr="00063AA8">
        <w:t>91</w:t>
      </w:r>
      <w:r w:rsidR="009D77B6">
        <w:t>.25</w:t>
      </w:r>
      <w:r w:rsidRPr="00063AA8">
        <w:t xml:space="preserve"> a week – an increase of $</w:t>
      </w:r>
      <w:r w:rsidR="009736B5" w:rsidRPr="00063AA8">
        <w:t>2</w:t>
      </w:r>
      <w:r w:rsidR="00C037FB">
        <w:t>6.8</w:t>
      </w:r>
      <w:r w:rsidR="009D77B6">
        <w:t>1</w:t>
      </w:r>
      <w:r w:rsidRPr="00063AA8">
        <w:t xml:space="preserve"> a week, or around </w:t>
      </w:r>
      <w:r w:rsidR="009736B5" w:rsidRPr="00063AA8">
        <w:t>42</w:t>
      </w:r>
      <w:r w:rsidRPr="00063AA8">
        <w:t xml:space="preserve"> per cent.</w:t>
      </w:r>
    </w:p>
    <w:p w:rsidR="00B2055F" w:rsidRPr="00063AA8" w:rsidRDefault="00B2055F" w:rsidP="00395720">
      <w:pPr>
        <w:ind w:left="284"/>
      </w:pPr>
      <w:r w:rsidRPr="00063AA8">
        <w:lastRenderedPageBreak/>
        <w:t xml:space="preserve">The base rate of the Family Tax Credit for </w:t>
      </w:r>
      <w:r w:rsidR="009D77B6">
        <w:t>a</w:t>
      </w:r>
      <w:r w:rsidRPr="00063AA8">
        <w:t xml:space="preserve"> subsequent child aged 13 to 15 will increase from $</w:t>
      </w:r>
      <w:r w:rsidR="009736B5" w:rsidRPr="00063AA8">
        <w:t>73</w:t>
      </w:r>
      <w:r w:rsidR="009D77B6">
        <w:t>.50</w:t>
      </w:r>
      <w:r w:rsidRPr="00063AA8">
        <w:t xml:space="preserve"> to $</w:t>
      </w:r>
      <w:r w:rsidR="009736B5" w:rsidRPr="00063AA8">
        <w:t>91</w:t>
      </w:r>
      <w:r w:rsidR="009D77B6">
        <w:t>.25</w:t>
      </w:r>
      <w:r w:rsidRPr="00063AA8">
        <w:t xml:space="preserve"> a week – an increase of $</w:t>
      </w:r>
      <w:r w:rsidR="009736B5" w:rsidRPr="00063AA8">
        <w:t>1</w:t>
      </w:r>
      <w:r w:rsidR="00C037FB">
        <w:t>7.75</w:t>
      </w:r>
      <w:r w:rsidRPr="00063AA8">
        <w:t xml:space="preserve"> a week, or around </w:t>
      </w:r>
      <w:r w:rsidR="002F1E78" w:rsidRPr="00063AA8">
        <w:t>2</w:t>
      </w:r>
      <w:r w:rsidR="002F1E78">
        <w:t>4</w:t>
      </w:r>
      <w:r w:rsidR="002F1E78" w:rsidRPr="00063AA8">
        <w:t xml:space="preserve"> </w:t>
      </w:r>
      <w:r w:rsidRPr="00063AA8">
        <w:t>per cent.</w:t>
      </w:r>
    </w:p>
    <w:p w:rsidR="00A81CA3" w:rsidRPr="000C6D7B" w:rsidRDefault="00F70FA1" w:rsidP="00D508EB">
      <w:pPr>
        <w:pStyle w:val="ListParagraph"/>
        <w:numPr>
          <w:ilvl w:val="0"/>
          <w:numId w:val="2"/>
        </w:numPr>
        <w:ind w:left="568" w:hanging="284"/>
        <w:contextualSpacing w:val="0"/>
        <w:rPr>
          <w:rFonts w:cs="Arial"/>
        </w:rPr>
      </w:pPr>
      <w:r>
        <w:rPr>
          <w:rFonts w:cs="Arial"/>
        </w:rPr>
        <w:t>T</w:t>
      </w:r>
      <w:r w:rsidR="00B2055F" w:rsidRPr="000C6D7B">
        <w:rPr>
          <w:rFonts w:cs="Arial"/>
        </w:rPr>
        <w:t xml:space="preserve">he abatement rate </w:t>
      </w:r>
      <w:r>
        <w:rPr>
          <w:rFonts w:cs="Arial"/>
        </w:rPr>
        <w:t xml:space="preserve">for Working for Families will increase </w:t>
      </w:r>
      <w:r w:rsidR="00B2055F" w:rsidRPr="000C6D7B">
        <w:rPr>
          <w:rFonts w:cs="Arial"/>
        </w:rPr>
        <w:t>and the abatement threshold</w:t>
      </w:r>
      <w:r>
        <w:rPr>
          <w:rFonts w:cs="Arial"/>
        </w:rPr>
        <w:t xml:space="preserve"> will decrease</w:t>
      </w:r>
      <w:r w:rsidR="00493B90">
        <w:rPr>
          <w:rFonts w:cs="Arial"/>
        </w:rPr>
        <w:t>.</w:t>
      </w:r>
    </w:p>
    <w:p w:rsidR="00D242A8" w:rsidRPr="00063AA8" w:rsidRDefault="00B2055F" w:rsidP="00D508EB">
      <w:pPr>
        <w:ind w:left="567"/>
      </w:pPr>
      <w:r w:rsidRPr="00493B90">
        <w:t>The abatement rate for Working for Families Tax Credits will be increased from 22.5 cents to 25 cents in the dollar.</w:t>
      </w:r>
      <w:r w:rsidR="00D242A8">
        <w:t xml:space="preserve"> </w:t>
      </w:r>
      <w:r w:rsidR="005C68D1" w:rsidRPr="00712C69">
        <w:t>The abatement threshold will decrease from $36,350 a year to $35,000 a year.</w:t>
      </w:r>
      <w:r w:rsidR="00D242A8">
        <w:t xml:space="preserve">  </w:t>
      </w:r>
      <w:r w:rsidR="00F53206" w:rsidRPr="00395720">
        <w:t xml:space="preserve">This brings forward changes already planned to progressively occur by 2025 based on </w:t>
      </w:r>
      <w:r w:rsidR="00101BC0" w:rsidRPr="00395720">
        <w:t xml:space="preserve">expected </w:t>
      </w:r>
      <w:r w:rsidR="00F53206" w:rsidRPr="00395720">
        <w:t>movements in the Consumers Price Index.</w:t>
      </w:r>
    </w:p>
    <w:p w:rsidR="005C68D1" w:rsidRPr="00063AA8" w:rsidRDefault="005C68D1" w:rsidP="00D508EB">
      <w:pPr>
        <w:ind w:left="567"/>
      </w:pPr>
      <w:r w:rsidRPr="00063AA8">
        <w:t xml:space="preserve">Most Working for Families payments start reducing (abating) when a family’s income </w:t>
      </w:r>
      <w:r w:rsidR="00FC7476">
        <w:t>exceeds</w:t>
      </w:r>
      <w:r w:rsidRPr="00063AA8">
        <w:t xml:space="preserve"> the abatement threshold. Payments currently reduce by 22.5 cents for each dollar earned over $36,350 of family scheme income (gross income with some adjustments).</w:t>
      </w:r>
      <w:r w:rsidR="00D242A8">
        <w:t xml:space="preserve"> </w:t>
      </w:r>
    </w:p>
    <w:p w:rsidR="00AF6A51" w:rsidRPr="000C6D7B" w:rsidRDefault="00AF6A51" w:rsidP="001D4542">
      <w:pPr>
        <w:pStyle w:val="Heading2"/>
      </w:pPr>
      <w:r w:rsidRPr="000C6D7B">
        <w:t>Why are changes being made?</w:t>
      </w:r>
    </w:p>
    <w:p w:rsidR="00AF6A51" w:rsidRPr="000C6D7B" w:rsidRDefault="00AF6A51" w:rsidP="001D4542">
      <w:r w:rsidRPr="000C6D7B">
        <w:t>The Government wants to help lower</w:t>
      </w:r>
      <w:r w:rsidR="0002686D">
        <w:t xml:space="preserve"> </w:t>
      </w:r>
      <w:r w:rsidRPr="000C6D7B">
        <w:t>income families with young children to meet their living costs. The Family Tax Credit rates for young children have not been incre</w:t>
      </w:r>
      <w:r w:rsidR="001D4542">
        <w:t>ased since 1 </w:t>
      </w:r>
      <w:r w:rsidRPr="000C6D7B">
        <w:t xml:space="preserve">April 2012.  </w:t>
      </w:r>
    </w:p>
    <w:p w:rsidR="00FC7476" w:rsidRPr="00D508EB" w:rsidRDefault="00FC7476" w:rsidP="00FC7476">
      <w:pPr>
        <w:rPr>
          <w:spacing w:val="-2"/>
        </w:rPr>
      </w:pPr>
      <w:r w:rsidRPr="000C6D7B">
        <w:t>T</w:t>
      </w:r>
      <w:r w:rsidRPr="00D508EB">
        <w:rPr>
          <w:spacing w:val="-2"/>
        </w:rPr>
        <w:t xml:space="preserve">he Government also wants to start simplifying the rules for payments to families to make them easier to understand.  Currently there are five different Family Tax Credit rates for children. If a child changes from one age band to another during the year, the family is paid a composite rate based on when in the year the child’s birthday was. Removing the age bands will start to simplify the system. </w:t>
      </w:r>
    </w:p>
    <w:p w:rsidR="00FC7476" w:rsidRPr="00D508EB" w:rsidRDefault="00B94AF7" w:rsidP="00D508EB">
      <w:pPr>
        <w:ind w:right="-427"/>
        <w:rPr>
          <w:spacing w:val="-2"/>
        </w:rPr>
      </w:pPr>
      <w:r w:rsidRPr="00D508EB">
        <w:rPr>
          <w:spacing w:val="-2"/>
        </w:rPr>
        <w:t xml:space="preserve">Raising the abatement rate to 25 cents in the dollar and lowering the abatement threshold to $35,000 means </w:t>
      </w:r>
      <w:r w:rsidR="00233B27" w:rsidRPr="00D508EB">
        <w:rPr>
          <w:spacing w:val="-2"/>
        </w:rPr>
        <w:t>that assistance is better targeted to lower</w:t>
      </w:r>
      <w:r w:rsidR="0002686D" w:rsidRPr="00D508EB">
        <w:rPr>
          <w:spacing w:val="-2"/>
        </w:rPr>
        <w:t xml:space="preserve"> </w:t>
      </w:r>
      <w:r w:rsidR="00233B27" w:rsidRPr="00D508EB">
        <w:rPr>
          <w:spacing w:val="-2"/>
        </w:rPr>
        <w:t>income families.</w:t>
      </w:r>
    </w:p>
    <w:p w:rsidR="00BB1FF0" w:rsidRPr="000C6D7B" w:rsidRDefault="00BB1FF0" w:rsidP="00FC7476">
      <w:pPr>
        <w:pStyle w:val="Heading2"/>
      </w:pPr>
      <w:r w:rsidRPr="000C6D7B">
        <w:t>How do these changes affect people’s incomes?</w:t>
      </w:r>
    </w:p>
    <w:p w:rsidR="00BB1FF0" w:rsidRPr="000C6D7B" w:rsidRDefault="00BB1FF0" w:rsidP="00A52924">
      <w:pPr>
        <w:spacing w:after="180"/>
        <w:rPr>
          <w:rFonts w:cs="Arial"/>
        </w:rPr>
      </w:pPr>
      <w:r w:rsidRPr="000C6D7B">
        <w:rPr>
          <w:rFonts w:cs="Arial"/>
        </w:rPr>
        <w:t>As a result of these changes to Working for Families:</w:t>
      </w:r>
    </w:p>
    <w:p w:rsidR="00BB1FF0" w:rsidRPr="00D508EB" w:rsidRDefault="00BB1FF0" w:rsidP="00D508EB">
      <w:pPr>
        <w:pStyle w:val="ListParagraph"/>
        <w:numPr>
          <w:ilvl w:val="0"/>
          <w:numId w:val="3"/>
        </w:numPr>
        <w:ind w:left="568" w:right="-285" w:hanging="284"/>
        <w:contextualSpacing w:val="0"/>
        <w:rPr>
          <w:rFonts w:cs="Arial"/>
          <w:spacing w:val="-2"/>
        </w:rPr>
      </w:pPr>
      <w:r w:rsidRPr="00D508EB">
        <w:rPr>
          <w:rFonts w:cs="Arial"/>
          <w:spacing w:val="-2"/>
        </w:rPr>
        <w:t xml:space="preserve">Families with </w:t>
      </w:r>
      <w:r w:rsidR="00A05851" w:rsidRPr="00D508EB">
        <w:rPr>
          <w:rFonts w:cs="Arial"/>
          <w:spacing w:val="-2"/>
        </w:rPr>
        <w:t xml:space="preserve">one </w:t>
      </w:r>
      <w:r w:rsidRPr="00D508EB">
        <w:rPr>
          <w:rFonts w:cs="Arial"/>
          <w:spacing w:val="-2"/>
        </w:rPr>
        <w:t xml:space="preserve">child aged under </w:t>
      </w:r>
      <w:r w:rsidR="002440F8" w:rsidRPr="00D508EB">
        <w:rPr>
          <w:rFonts w:cs="Arial"/>
          <w:spacing w:val="-2"/>
        </w:rPr>
        <w:t>16</w:t>
      </w:r>
      <w:r w:rsidRPr="00D508EB">
        <w:rPr>
          <w:rFonts w:cs="Arial"/>
          <w:spacing w:val="-2"/>
        </w:rPr>
        <w:t xml:space="preserve"> </w:t>
      </w:r>
      <w:r w:rsidR="001F3782" w:rsidRPr="00D508EB">
        <w:rPr>
          <w:rFonts w:cs="Arial"/>
          <w:spacing w:val="-2"/>
        </w:rPr>
        <w:t xml:space="preserve">and a family income </w:t>
      </w:r>
      <w:r w:rsidRPr="00D508EB">
        <w:rPr>
          <w:rFonts w:cs="Arial"/>
          <w:spacing w:val="-2"/>
        </w:rPr>
        <w:t>less than $35,000 a year</w:t>
      </w:r>
      <w:r w:rsidR="00BE2999" w:rsidRPr="00D508EB">
        <w:rPr>
          <w:rFonts w:cs="Arial"/>
          <w:spacing w:val="-2"/>
        </w:rPr>
        <w:t>, including beneficiaries,</w:t>
      </w:r>
      <w:r w:rsidRPr="00D508EB">
        <w:rPr>
          <w:rFonts w:cs="Arial"/>
          <w:spacing w:val="-2"/>
        </w:rPr>
        <w:t xml:space="preserve"> will get $</w:t>
      </w:r>
      <w:r w:rsidR="002440F8" w:rsidRPr="00D508EB">
        <w:rPr>
          <w:rFonts w:cs="Arial"/>
          <w:spacing w:val="-2"/>
        </w:rPr>
        <w:t>9</w:t>
      </w:r>
      <w:r w:rsidR="009D77B6" w:rsidRPr="00D508EB">
        <w:rPr>
          <w:rFonts w:cs="Arial"/>
          <w:spacing w:val="-2"/>
        </w:rPr>
        <w:t>.25</w:t>
      </w:r>
      <w:r w:rsidR="002440F8" w:rsidRPr="00D508EB">
        <w:rPr>
          <w:rFonts w:cs="Arial"/>
          <w:spacing w:val="-2"/>
        </w:rPr>
        <w:t xml:space="preserve"> </w:t>
      </w:r>
      <w:r w:rsidRPr="00D508EB">
        <w:rPr>
          <w:rFonts w:cs="Arial"/>
          <w:spacing w:val="-2"/>
        </w:rPr>
        <w:t>extra a week per child</w:t>
      </w:r>
      <w:r w:rsidR="00A0154A" w:rsidRPr="00D508EB">
        <w:rPr>
          <w:rFonts w:cs="Arial"/>
          <w:spacing w:val="-2"/>
        </w:rPr>
        <w:t>.</w:t>
      </w:r>
    </w:p>
    <w:p w:rsidR="00A05851" w:rsidRPr="000C6D7B" w:rsidRDefault="00992B46" w:rsidP="00D508EB">
      <w:pPr>
        <w:pStyle w:val="ListParagraph"/>
        <w:numPr>
          <w:ilvl w:val="0"/>
          <w:numId w:val="3"/>
        </w:numPr>
        <w:ind w:left="568" w:hanging="284"/>
        <w:contextualSpacing w:val="0"/>
        <w:rPr>
          <w:rFonts w:cs="Arial"/>
        </w:rPr>
      </w:pPr>
      <w:r>
        <w:rPr>
          <w:rFonts w:cs="Arial"/>
        </w:rPr>
        <w:t xml:space="preserve">Families </w:t>
      </w:r>
      <w:r w:rsidR="00A05851" w:rsidRPr="000C6D7B">
        <w:rPr>
          <w:rFonts w:cs="Arial"/>
        </w:rPr>
        <w:t>with one child aged under 16 and another child aged under 13</w:t>
      </w:r>
      <w:r w:rsidR="001F3782">
        <w:rPr>
          <w:rFonts w:cs="Arial"/>
        </w:rPr>
        <w:t xml:space="preserve"> with a family income less</w:t>
      </w:r>
      <w:r w:rsidR="00A05851" w:rsidRPr="000C6D7B">
        <w:rPr>
          <w:rFonts w:cs="Arial"/>
        </w:rPr>
        <w:t xml:space="preserve"> than $35,000 will get $</w:t>
      </w:r>
      <w:r w:rsidR="001F3782">
        <w:rPr>
          <w:rFonts w:cs="Arial"/>
        </w:rPr>
        <w:t>36</w:t>
      </w:r>
      <w:r w:rsidR="009D77B6">
        <w:rPr>
          <w:rFonts w:cs="Arial"/>
        </w:rPr>
        <w:t>.06</w:t>
      </w:r>
      <w:r w:rsidR="001F3782" w:rsidRPr="000C6D7B">
        <w:rPr>
          <w:rFonts w:cs="Arial"/>
        </w:rPr>
        <w:t xml:space="preserve"> </w:t>
      </w:r>
      <w:r w:rsidR="00A05851" w:rsidRPr="000C6D7B">
        <w:rPr>
          <w:rFonts w:cs="Arial"/>
        </w:rPr>
        <w:t>extra a week</w:t>
      </w:r>
      <w:r w:rsidR="00A0154A">
        <w:rPr>
          <w:rFonts w:cs="Arial"/>
        </w:rPr>
        <w:t>.</w:t>
      </w:r>
      <w:r w:rsidR="00A05851" w:rsidRPr="000C6D7B">
        <w:rPr>
          <w:rFonts w:cs="Arial"/>
        </w:rPr>
        <w:t xml:space="preserve"> </w:t>
      </w:r>
    </w:p>
    <w:p w:rsidR="00BE2999" w:rsidRPr="000C6D7B" w:rsidRDefault="00BE2999" w:rsidP="00D508EB">
      <w:pPr>
        <w:pStyle w:val="ListParagraph"/>
        <w:numPr>
          <w:ilvl w:val="0"/>
          <w:numId w:val="3"/>
        </w:numPr>
        <w:ind w:left="568" w:hanging="284"/>
        <w:contextualSpacing w:val="0"/>
        <w:rPr>
          <w:rFonts w:cs="Arial"/>
        </w:rPr>
      </w:pPr>
      <w:r w:rsidRPr="000C6D7B">
        <w:rPr>
          <w:rFonts w:cs="Arial"/>
        </w:rPr>
        <w:t xml:space="preserve">Families </w:t>
      </w:r>
      <w:r w:rsidR="00A0154A">
        <w:rPr>
          <w:rFonts w:cs="Arial"/>
        </w:rPr>
        <w:t>that</w:t>
      </w:r>
      <w:r w:rsidRPr="000C6D7B">
        <w:rPr>
          <w:rFonts w:cs="Arial"/>
        </w:rPr>
        <w:t xml:space="preserve"> only have children aged 16 to 18 years, earning less than $35,000 a year in family scheme income, including beneficiaries, will see no change in </w:t>
      </w:r>
      <w:r w:rsidR="007814A8">
        <w:rPr>
          <w:rFonts w:cs="Arial"/>
        </w:rPr>
        <w:t>Family Tax Credit</w:t>
      </w:r>
      <w:r w:rsidRPr="000C6D7B">
        <w:rPr>
          <w:rFonts w:cs="Arial"/>
        </w:rPr>
        <w:t xml:space="preserve"> payments.</w:t>
      </w:r>
    </w:p>
    <w:p w:rsidR="00BE2999" w:rsidRPr="000C6D7B" w:rsidRDefault="00100E99" w:rsidP="00D508EB">
      <w:pPr>
        <w:pStyle w:val="ListParagraph"/>
        <w:numPr>
          <w:ilvl w:val="0"/>
          <w:numId w:val="3"/>
        </w:numPr>
        <w:ind w:left="568" w:hanging="284"/>
        <w:contextualSpacing w:val="0"/>
        <w:rPr>
          <w:rFonts w:cs="Arial"/>
        </w:rPr>
      </w:pPr>
      <w:r>
        <w:rPr>
          <w:rFonts w:cs="Arial"/>
        </w:rPr>
        <w:t>H</w:t>
      </w:r>
      <w:r w:rsidRPr="000C6D7B">
        <w:rPr>
          <w:rFonts w:cs="Arial"/>
        </w:rPr>
        <w:t>igher</w:t>
      </w:r>
      <w:r>
        <w:rPr>
          <w:rFonts w:cs="Arial"/>
        </w:rPr>
        <w:t xml:space="preserve"> </w:t>
      </w:r>
      <w:r w:rsidRPr="000C6D7B">
        <w:rPr>
          <w:rFonts w:cs="Arial"/>
        </w:rPr>
        <w:t xml:space="preserve">income families or families earning more than $35,000 who only </w:t>
      </w:r>
      <w:r>
        <w:rPr>
          <w:rFonts w:cs="Arial"/>
        </w:rPr>
        <w:t xml:space="preserve">have </w:t>
      </w:r>
      <w:r w:rsidRPr="000C6D7B">
        <w:rPr>
          <w:rFonts w:cs="Arial"/>
        </w:rPr>
        <w:t xml:space="preserve">children aged 16 to 18 years </w:t>
      </w:r>
      <w:r w:rsidR="00BE2999" w:rsidRPr="000C6D7B">
        <w:rPr>
          <w:rFonts w:cs="Arial"/>
        </w:rPr>
        <w:t xml:space="preserve">will </w:t>
      </w:r>
      <w:r>
        <w:rPr>
          <w:rFonts w:cs="Arial"/>
        </w:rPr>
        <w:t xml:space="preserve">receive </w:t>
      </w:r>
      <w:r w:rsidR="00BE2999" w:rsidRPr="000C6D7B">
        <w:rPr>
          <w:rFonts w:cs="Arial"/>
        </w:rPr>
        <w:t>slightly less from Working for Families.</w:t>
      </w:r>
      <w:r>
        <w:rPr>
          <w:rFonts w:cs="Arial"/>
        </w:rPr>
        <w:t xml:space="preserve"> Nearly all of those changes are compensated for through other elements in the Family Incomes Package.</w:t>
      </w:r>
    </w:p>
    <w:p w:rsidR="00FC7476" w:rsidRDefault="00FC7476" w:rsidP="001D4542">
      <w:pPr>
        <w:pStyle w:val="Heading2"/>
      </w:pPr>
      <w:r>
        <w:lastRenderedPageBreak/>
        <w:t xml:space="preserve">Examples of Family Tax Credit </w:t>
      </w:r>
      <w:r w:rsidR="00624A74">
        <w:t>c</w:t>
      </w:r>
      <w:r>
        <w:t>hanges</w:t>
      </w:r>
    </w:p>
    <w:p w:rsidR="00862ED0" w:rsidRDefault="00862ED0" w:rsidP="000A2EF3">
      <w:pPr>
        <w:rPr>
          <w:rFonts w:cs="Arial"/>
        </w:rPr>
      </w:pPr>
      <w:r w:rsidRPr="001D4542">
        <w:rPr>
          <w:rFonts w:cs="Arial"/>
          <w:b/>
        </w:rPr>
        <w:t>Table 1</w:t>
      </w:r>
      <w:r w:rsidR="001D4542">
        <w:rPr>
          <w:rFonts w:cs="Arial"/>
        </w:rPr>
        <w:t>:</w:t>
      </w:r>
      <w:r w:rsidRPr="000C6D7B">
        <w:rPr>
          <w:rFonts w:cs="Arial"/>
        </w:rPr>
        <w:t xml:space="preserve"> </w:t>
      </w:r>
      <w:r w:rsidR="00100E99">
        <w:rPr>
          <w:rFonts w:cs="Arial"/>
        </w:rPr>
        <w:t>Examples of Family Tax Credit annual payment rates as incomes increase</w:t>
      </w:r>
    </w:p>
    <w:tbl>
      <w:tblPr>
        <w:tblW w:w="8773" w:type="dxa"/>
        <w:tblInd w:w="101" w:type="dxa"/>
        <w:tblCellMar>
          <w:left w:w="0" w:type="dxa"/>
          <w:right w:w="0" w:type="dxa"/>
        </w:tblCellMar>
        <w:tblLook w:val="04A0" w:firstRow="1" w:lastRow="0" w:firstColumn="1" w:lastColumn="0" w:noHBand="0" w:noVBand="1"/>
      </w:tblPr>
      <w:tblGrid>
        <w:gridCol w:w="960"/>
        <w:gridCol w:w="1094"/>
        <w:gridCol w:w="772"/>
        <w:gridCol w:w="796"/>
        <w:gridCol w:w="856"/>
        <w:gridCol w:w="725"/>
        <w:gridCol w:w="972"/>
        <w:gridCol w:w="799"/>
        <w:gridCol w:w="799"/>
        <w:gridCol w:w="1000"/>
      </w:tblGrid>
      <w:tr w:rsidR="00B1674E" w:rsidTr="00B1674E">
        <w:trPr>
          <w:trHeight w:val="364"/>
        </w:trPr>
        <w:tc>
          <w:tcPr>
            <w:tcW w:w="0" w:type="auto"/>
            <w:tcBorders>
              <w:top w:val="single" w:sz="8" w:space="0" w:color="808080"/>
              <w:left w:val="single" w:sz="8" w:space="0" w:color="808080"/>
              <w:right w:val="single" w:sz="8" w:space="0" w:color="808080"/>
            </w:tcBorders>
            <w:tcMar>
              <w:top w:w="0" w:type="dxa"/>
              <w:left w:w="85" w:type="dxa"/>
              <w:bottom w:w="0" w:type="dxa"/>
              <w:right w:w="85" w:type="dxa"/>
            </w:tcMar>
            <w:hideMark/>
          </w:tcPr>
          <w:p w:rsidR="00B1674E" w:rsidRDefault="00B1674E">
            <w:pPr>
              <w:spacing w:before="60" w:after="60" w:line="240" w:lineRule="atLeast"/>
              <w:ind w:left="-57"/>
              <w:jc w:val="center"/>
              <w:rPr>
                <w:rFonts w:cs="Arial"/>
                <w:b/>
                <w:bCs/>
                <w:spacing w:val="-2"/>
                <w:sz w:val="20"/>
                <w:szCs w:val="20"/>
              </w:rPr>
            </w:pPr>
          </w:p>
        </w:tc>
        <w:tc>
          <w:tcPr>
            <w:tcW w:w="0" w:type="auto"/>
            <w:gridSpan w:val="3"/>
            <w:tcBorders>
              <w:top w:val="single" w:sz="8" w:space="0" w:color="808080"/>
              <w:left w:val="single" w:sz="8" w:space="0" w:color="808080"/>
              <w:bottom w:val="single" w:sz="8" w:space="0" w:color="808080"/>
              <w:right w:val="single" w:sz="8" w:space="0" w:color="808080"/>
            </w:tcBorders>
            <w:vAlign w:val="center"/>
          </w:tcPr>
          <w:p w:rsidR="00B1674E" w:rsidRDefault="00B1674E" w:rsidP="00A75B43">
            <w:pPr>
              <w:spacing w:before="60" w:after="60" w:line="240" w:lineRule="atLeast"/>
              <w:ind w:left="-57"/>
              <w:jc w:val="center"/>
              <w:rPr>
                <w:rFonts w:cs="Arial"/>
                <w:b/>
                <w:bCs/>
                <w:spacing w:val="-2"/>
                <w:sz w:val="20"/>
                <w:szCs w:val="20"/>
              </w:rPr>
            </w:pPr>
            <w:r>
              <w:rPr>
                <w:rFonts w:cs="Arial"/>
                <w:b/>
                <w:bCs/>
                <w:sz w:val="20"/>
                <w:szCs w:val="20"/>
              </w:rPr>
              <w:t>One child family</w:t>
            </w:r>
          </w:p>
        </w:tc>
        <w:tc>
          <w:tcPr>
            <w:tcW w:w="2553" w:type="dxa"/>
            <w:gridSpan w:val="3"/>
            <w:tcBorders>
              <w:top w:val="single" w:sz="8" w:space="0" w:color="808080"/>
              <w:left w:val="nil"/>
              <w:bottom w:val="single" w:sz="8" w:space="0" w:color="808080"/>
              <w:right w:val="single" w:sz="8" w:space="0" w:color="808080"/>
            </w:tcBorders>
            <w:tcMar>
              <w:top w:w="0" w:type="dxa"/>
              <w:left w:w="85" w:type="dxa"/>
              <w:bottom w:w="0" w:type="dxa"/>
              <w:right w:w="85" w:type="dxa"/>
            </w:tcMar>
            <w:vAlign w:val="center"/>
            <w:hideMark/>
          </w:tcPr>
          <w:p w:rsidR="00B1674E" w:rsidRDefault="00B1674E" w:rsidP="00A75B43">
            <w:pPr>
              <w:spacing w:before="60" w:after="60" w:line="240" w:lineRule="atLeast"/>
              <w:ind w:left="-57"/>
              <w:jc w:val="center"/>
              <w:rPr>
                <w:rFonts w:cs="Arial"/>
                <w:b/>
                <w:bCs/>
                <w:spacing w:val="-2"/>
                <w:sz w:val="20"/>
                <w:szCs w:val="20"/>
              </w:rPr>
            </w:pPr>
            <w:r>
              <w:rPr>
                <w:rFonts w:cs="Arial"/>
                <w:b/>
                <w:bCs/>
                <w:sz w:val="20"/>
                <w:szCs w:val="20"/>
              </w:rPr>
              <w:t>Two child family</w:t>
            </w:r>
          </w:p>
        </w:tc>
        <w:tc>
          <w:tcPr>
            <w:tcW w:w="2598" w:type="dxa"/>
            <w:gridSpan w:val="3"/>
            <w:tcBorders>
              <w:top w:val="single" w:sz="8" w:space="0" w:color="808080"/>
              <w:left w:val="nil"/>
              <w:bottom w:val="single" w:sz="8" w:space="0" w:color="808080"/>
              <w:right w:val="single" w:sz="8" w:space="0" w:color="808080"/>
            </w:tcBorders>
          </w:tcPr>
          <w:p w:rsidR="00B1674E" w:rsidRDefault="00B1674E" w:rsidP="00A75B43">
            <w:pPr>
              <w:spacing w:before="60" w:after="60" w:line="240" w:lineRule="atLeast"/>
              <w:ind w:left="-57"/>
              <w:jc w:val="center"/>
              <w:rPr>
                <w:rFonts w:cs="Arial"/>
                <w:b/>
                <w:bCs/>
                <w:sz w:val="20"/>
                <w:szCs w:val="20"/>
              </w:rPr>
            </w:pPr>
            <w:r>
              <w:rPr>
                <w:rFonts w:cs="Arial"/>
                <w:b/>
                <w:bCs/>
                <w:sz w:val="20"/>
                <w:szCs w:val="20"/>
              </w:rPr>
              <w:t>Two child family</w:t>
            </w:r>
          </w:p>
        </w:tc>
      </w:tr>
      <w:tr w:rsidR="00B1674E" w:rsidTr="00B1674E">
        <w:trPr>
          <w:trHeight w:val="560"/>
        </w:trPr>
        <w:tc>
          <w:tcPr>
            <w:tcW w:w="0" w:type="auto"/>
            <w:vMerge w:val="restart"/>
            <w:tcBorders>
              <w:left w:val="single" w:sz="8" w:space="0" w:color="808080"/>
              <w:right w:val="single" w:sz="8" w:space="0" w:color="808080"/>
            </w:tcBorders>
            <w:tcMar>
              <w:top w:w="0" w:type="dxa"/>
              <w:left w:w="85" w:type="dxa"/>
              <w:bottom w:w="0" w:type="dxa"/>
              <w:right w:w="85" w:type="dxa"/>
            </w:tcMar>
            <w:vAlign w:val="bottom"/>
            <w:hideMark/>
          </w:tcPr>
          <w:p w:rsidR="00B1674E" w:rsidRDefault="00B1674E" w:rsidP="00A75B43">
            <w:pPr>
              <w:spacing w:before="60" w:after="60" w:line="240" w:lineRule="atLeast"/>
              <w:ind w:left="-57"/>
              <w:rPr>
                <w:rFonts w:cs="Arial"/>
                <w:b/>
                <w:bCs/>
                <w:sz w:val="20"/>
                <w:szCs w:val="20"/>
              </w:rPr>
            </w:pPr>
            <w:r>
              <w:rPr>
                <w:rFonts w:ascii="Arial Bold" w:hAnsi="Arial Bold"/>
                <w:b/>
                <w:bCs/>
                <w:spacing w:val="-3"/>
                <w:sz w:val="20"/>
                <w:szCs w:val="20"/>
              </w:rPr>
              <w:t>Annual family income $</w:t>
            </w:r>
          </w:p>
        </w:tc>
        <w:tc>
          <w:tcPr>
            <w:tcW w:w="0" w:type="auto"/>
            <w:gridSpan w:val="3"/>
            <w:tcBorders>
              <w:top w:val="single" w:sz="8" w:space="0" w:color="808080"/>
              <w:left w:val="single" w:sz="8" w:space="0" w:color="808080"/>
              <w:bottom w:val="single" w:sz="8" w:space="0" w:color="808080"/>
              <w:right w:val="single" w:sz="8" w:space="0" w:color="808080"/>
            </w:tcBorders>
            <w:vAlign w:val="center"/>
          </w:tcPr>
          <w:p w:rsidR="00B1674E" w:rsidRDefault="00B1674E" w:rsidP="00A75B43">
            <w:pPr>
              <w:spacing w:before="60" w:after="60" w:line="240" w:lineRule="atLeast"/>
              <w:ind w:left="-57"/>
              <w:jc w:val="center"/>
              <w:rPr>
                <w:rFonts w:cs="Arial"/>
                <w:b/>
                <w:bCs/>
                <w:sz w:val="20"/>
                <w:szCs w:val="20"/>
              </w:rPr>
            </w:pPr>
            <w:r>
              <w:rPr>
                <w:rFonts w:cs="Arial"/>
                <w:b/>
                <w:bCs/>
                <w:sz w:val="20"/>
                <w:szCs w:val="20"/>
              </w:rPr>
              <w:t>Child aged under 16</w:t>
            </w:r>
          </w:p>
        </w:tc>
        <w:tc>
          <w:tcPr>
            <w:tcW w:w="2553" w:type="dxa"/>
            <w:gridSpan w:val="3"/>
            <w:tcBorders>
              <w:top w:val="single" w:sz="8" w:space="0" w:color="808080"/>
              <w:left w:val="nil"/>
              <w:bottom w:val="single" w:sz="8" w:space="0" w:color="808080"/>
              <w:right w:val="single" w:sz="8" w:space="0" w:color="808080"/>
            </w:tcBorders>
            <w:tcMar>
              <w:top w:w="0" w:type="dxa"/>
              <w:left w:w="85" w:type="dxa"/>
              <w:bottom w:w="0" w:type="dxa"/>
              <w:right w:w="85" w:type="dxa"/>
            </w:tcMar>
            <w:vAlign w:val="center"/>
            <w:hideMark/>
          </w:tcPr>
          <w:p w:rsidR="00B1674E" w:rsidRDefault="00B1674E" w:rsidP="00B1674E">
            <w:pPr>
              <w:spacing w:before="60" w:after="60" w:line="240" w:lineRule="atLeast"/>
              <w:ind w:left="-57"/>
              <w:jc w:val="center"/>
              <w:rPr>
                <w:rFonts w:cs="Arial"/>
                <w:b/>
                <w:bCs/>
                <w:sz w:val="20"/>
                <w:szCs w:val="20"/>
              </w:rPr>
            </w:pPr>
            <w:r>
              <w:rPr>
                <w:rFonts w:cs="Arial"/>
                <w:b/>
                <w:bCs/>
                <w:sz w:val="20"/>
                <w:szCs w:val="20"/>
              </w:rPr>
              <w:t>Eldest child over 16 and youngest under 13</w:t>
            </w:r>
          </w:p>
        </w:tc>
        <w:tc>
          <w:tcPr>
            <w:tcW w:w="2598" w:type="dxa"/>
            <w:gridSpan w:val="3"/>
            <w:tcBorders>
              <w:top w:val="single" w:sz="8" w:space="0" w:color="808080"/>
              <w:left w:val="nil"/>
              <w:bottom w:val="single" w:sz="8" w:space="0" w:color="808080"/>
              <w:right w:val="single" w:sz="8" w:space="0" w:color="808080"/>
            </w:tcBorders>
          </w:tcPr>
          <w:p w:rsidR="00B1674E" w:rsidRDefault="00B1674E" w:rsidP="00A75B43">
            <w:pPr>
              <w:spacing w:before="60" w:after="60" w:line="240" w:lineRule="atLeast"/>
              <w:ind w:left="-57"/>
              <w:jc w:val="center"/>
              <w:rPr>
                <w:rFonts w:cs="Arial"/>
                <w:b/>
                <w:bCs/>
                <w:sz w:val="20"/>
                <w:szCs w:val="20"/>
              </w:rPr>
            </w:pPr>
            <w:r>
              <w:rPr>
                <w:rFonts w:cs="Arial"/>
                <w:b/>
                <w:bCs/>
                <w:sz w:val="20"/>
                <w:szCs w:val="20"/>
              </w:rPr>
              <w:t>Eldest child under 16 and youngest under 13</w:t>
            </w:r>
          </w:p>
        </w:tc>
      </w:tr>
      <w:tr w:rsidR="00B1674E" w:rsidTr="00B1674E">
        <w:trPr>
          <w:trHeight w:val="742"/>
        </w:trPr>
        <w:tc>
          <w:tcPr>
            <w:tcW w:w="960" w:type="dxa"/>
            <w:vMerge/>
            <w:tcBorders>
              <w:left w:val="single" w:sz="8" w:space="0" w:color="808080"/>
              <w:bottom w:val="single" w:sz="8" w:space="0" w:color="808080"/>
              <w:right w:val="single" w:sz="8" w:space="0" w:color="808080"/>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cs="Times New Roman"/>
                <w:b/>
                <w:bCs/>
                <w:spacing w:val="-3"/>
                <w:sz w:val="20"/>
                <w:szCs w:val="20"/>
              </w:rPr>
            </w:pPr>
          </w:p>
        </w:tc>
        <w:tc>
          <w:tcPr>
            <w:tcW w:w="1094" w:type="dxa"/>
            <w:tcBorders>
              <w:top w:val="nil"/>
              <w:left w:val="single" w:sz="8" w:space="0" w:color="808080"/>
              <w:bottom w:val="single" w:sz="8" w:space="0" w:color="808080"/>
              <w:right w:val="nil"/>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Current settings</w:t>
            </w:r>
          </w:p>
        </w:tc>
        <w:tc>
          <w:tcPr>
            <w:tcW w:w="772" w:type="dxa"/>
            <w:tcBorders>
              <w:top w:val="nil"/>
              <w:left w:val="nil"/>
              <w:bottom w:val="single" w:sz="8" w:space="0" w:color="808080"/>
              <w:right w:val="nil"/>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From 1 April 2018</w:t>
            </w:r>
          </w:p>
        </w:tc>
        <w:tc>
          <w:tcPr>
            <w:tcW w:w="0" w:type="auto"/>
            <w:tcBorders>
              <w:top w:val="nil"/>
              <w:left w:val="nil"/>
              <w:bottom w:val="single" w:sz="8" w:space="0" w:color="808080"/>
              <w:right w:val="single" w:sz="8" w:space="0" w:color="808080"/>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 xml:space="preserve">Total change </w:t>
            </w:r>
          </w:p>
        </w:tc>
        <w:tc>
          <w:tcPr>
            <w:tcW w:w="0" w:type="auto"/>
            <w:tcBorders>
              <w:top w:val="nil"/>
              <w:left w:val="nil"/>
              <w:bottom w:val="single" w:sz="8" w:space="0" w:color="808080"/>
              <w:right w:val="nil"/>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Current settings</w:t>
            </w:r>
          </w:p>
        </w:tc>
        <w:tc>
          <w:tcPr>
            <w:tcW w:w="0" w:type="auto"/>
            <w:tcBorders>
              <w:top w:val="nil"/>
              <w:left w:val="nil"/>
              <w:bottom w:val="single" w:sz="8" w:space="0" w:color="808080"/>
              <w:right w:val="nil"/>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From 1 April 2018</w:t>
            </w:r>
          </w:p>
        </w:tc>
        <w:tc>
          <w:tcPr>
            <w:tcW w:w="972" w:type="dxa"/>
            <w:tcBorders>
              <w:top w:val="nil"/>
              <w:left w:val="nil"/>
              <w:bottom w:val="single" w:sz="8" w:space="0" w:color="808080"/>
              <w:right w:val="single" w:sz="8" w:space="0" w:color="808080"/>
            </w:tcBorders>
            <w:shd w:val="clear" w:color="auto" w:fill="F2F2F2"/>
            <w:tcMar>
              <w:top w:w="0" w:type="dxa"/>
              <w:left w:w="85" w:type="dxa"/>
              <w:bottom w:w="0" w:type="dxa"/>
              <w:right w:w="85" w:type="dxa"/>
            </w:tcMar>
            <w:vAlign w:val="bottom"/>
            <w:hideMark/>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 xml:space="preserve">Total change </w:t>
            </w:r>
          </w:p>
        </w:tc>
        <w:tc>
          <w:tcPr>
            <w:tcW w:w="799" w:type="dxa"/>
            <w:tcBorders>
              <w:top w:val="nil"/>
              <w:left w:val="nil"/>
              <w:right w:val="single" w:sz="8" w:space="0" w:color="808080"/>
            </w:tcBorders>
            <w:shd w:val="clear" w:color="auto" w:fill="F2F2F2"/>
            <w:vAlign w:val="bottom"/>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Current settings</w:t>
            </w:r>
          </w:p>
        </w:tc>
        <w:tc>
          <w:tcPr>
            <w:tcW w:w="799" w:type="dxa"/>
            <w:tcBorders>
              <w:top w:val="nil"/>
              <w:left w:val="nil"/>
              <w:right w:val="single" w:sz="8" w:space="0" w:color="808080"/>
            </w:tcBorders>
            <w:shd w:val="clear" w:color="auto" w:fill="F2F2F2"/>
            <w:vAlign w:val="bottom"/>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From 1 April 2018</w:t>
            </w:r>
          </w:p>
        </w:tc>
        <w:tc>
          <w:tcPr>
            <w:tcW w:w="1000" w:type="dxa"/>
            <w:tcBorders>
              <w:top w:val="nil"/>
              <w:left w:val="nil"/>
              <w:right w:val="single" w:sz="8" w:space="0" w:color="808080"/>
            </w:tcBorders>
            <w:shd w:val="clear" w:color="auto" w:fill="F2F2F2"/>
            <w:vAlign w:val="bottom"/>
          </w:tcPr>
          <w:p w:rsidR="00B1674E" w:rsidRDefault="00B1674E" w:rsidP="00B1674E">
            <w:pPr>
              <w:spacing w:before="60" w:after="60" w:line="240" w:lineRule="atLeast"/>
              <w:ind w:left="-57"/>
              <w:jc w:val="right"/>
              <w:rPr>
                <w:rFonts w:ascii="Arial Bold" w:hAnsi="Arial Bold"/>
                <w:b/>
                <w:bCs/>
                <w:spacing w:val="-3"/>
                <w:sz w:val="20"/>
                <w:szCs w:val="20"/>
              </w:rPr>
            </w:pPr>
            <w:r>
              <w:rPr>
                <w:rFonts w:ascii="Arial Bold" w:hAnsi="Arial Bold"/>
                <w:b/>
                <w:bCs/>
                <w:spacing w:val="-3"/>
                <w:sz w:val="20"/>
                <w:szCs w:val="20"/>
              </w:rPr>
              <w:t xml:space="preserve">Total change </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&lt;30,000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4,822</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5,303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481</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8,654</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10,048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1,394</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8,173</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10,048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1,875</w:t>
            </w:r>
          </w:p>
        </w:tc>
      </w:tr>
      <w:tr w:rsidR="00B1674E" w:rsidTr="00B1674E">
        <w:trPr>
          <w:trHeight w:val="349"/>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35,000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4,822</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5,303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481</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8,654</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10,048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1,394</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8,173</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10,048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1,875</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40,000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4,001</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4,053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52</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7,833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8,798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965</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7,352</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8,798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1,446</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45,000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2,876</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2,803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-73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6,708</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7,548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840</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6,227</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7,548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1,321</w:t>
            </w:r>
          </w:p>
        </w:tc>
      </w:tr>
      <w:tr w:rsidR="00B1674E" w:rsidTr="00B1674E">
        <w:trPr>
          <w:trHeight w:val="349"/>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50,000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1,751</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1,553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-198</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5,583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6,298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715</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5,102</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6,298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1,196</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55,000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626</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303</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-323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4458</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5048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590</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3,977</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5048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1,071</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60,000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0</w:t>
            </w:r>
          </w:p>
        </w:tc>
        <w:tc>
          <w:tcPr>
            <w:tcW w:w="772" w:type="dxa"/>
            <w:tcBorders>
              <w:top w:val="nil"/>
              <w:left w:val="nil"/>
              <w:bottom w:val="single" w:sz="8" w:space="0" w:color="BFBFBF"/>
              <w:right w:val="nil"/>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0</w:t>
            </w: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0</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3333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3798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465</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2,852</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3798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946</w:t>
            </w:r>
          </w:p>
        </w:tc>
      </w:tr>
      <w:tr w:rsidR="00B1674E" w:rsidTr="00B1674E">
        <w:trPr>
          <w:trHeight w:val="349"/>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65,000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772" w:type="dxa"/>
            <w:tcBorders>
              <w:top w:val="nil"/>
              <w:left w:val="nil"/>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2208</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2548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340</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1,727</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2548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821</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70,000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772" w:type="dxa"/>
            <w:tcBorders>
              <w:top w:val="nil"/>
              <w:left w:val="nil"/>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1083</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1298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215</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602</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1298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696</w:t>
            </w:r>
          </w:p>
        </w:tc>
      </w:tr>
      <w:tr w:rsidR="00B1674E" w:rsidTr="00B1674E">
        <w:trPr>
          <w:trHeight w:val="364"/>
        </w:trPr>
        <w:tc>
          <w:tcPr>
            <w:tcW w:w="960" w:type="dxa"/>
            <w:tcBorders>
              <w:top w:val="nil"/>
              <w:left w:val="single" w:sz="8" w:space="0" w:color="808080"/>
              <w:bottom w:val="single" w:sz="8" w:space="0" w:color="BFBFBF"/>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75,000</w:t>
            </w:r>
          </w:p>
        </w:tc>
        <w:tc>
          <w:tcPr>
            <w:tcW w:w="1094" w:type="dxa"/>
            <w:tcBorders>
              <w:top w:val="nil"/>
              <w:left w:val="single" w:sz="8" w:space="0" w:color="808080"/>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772" w:type="dxa"/>
            <w:tcBorders>
              <w:top w:val="nil"/>
              <w:left w:val="nil"/>
              <w:bottom w:val="single" w:sz="8" w:space="0" w:color="BFBFBF"/>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single" w:sz="8" w:space="0" w:color="808080"/>
            </w:tcBorders>
            <w:shd w:val="clear" w:color="auto" w:fill="D9D9D9"/>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0" w:type="auto"/>
            <w:tcBorders>
              <w:top w:val="nil"/>
              <w:left w:val="nil"/>
              <w:bottom w:val="single" w:sz="8" w:space="0" w:color="BFBFBF"/>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48</w:t>
            </w:r>
          </w:p>
        </w:tc>
        <w:tc>
          <w:tcPr>
            <w:tcW w:w="972" w:type="dxa"/>
            <w:tcBorders>
              <w:top w:val="nil"/>
              <w:left w:val="nil"/>
              <w:bottom w:val="single" w:sz="8" w:space="0" w:color="BFBFBF"/>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48</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799" w:type="dxa"/>
            <w:tcBorders>
              <w:left w:val="nil"/>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48</w:t>
            </w:r>
          </w:p>
        </w:tc>
        <w:tc>
          <w:tcPr>
            <w:tcW w:w="1000" w:type="dxa"/>
            <w:tcBorders>
              <w:left w:val="nil"/>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48</w:t>
            </w:r>
          </w:p>
        </w:tc>
      </w:tr>
      <w:tr w:rsidR="00B1674E" w:rsidTr="00B1674E">
        <w:trPr>
          <w:trHeight w:val="364"/>
        </w:trPr>
        <w:tc>
          <w:tcPr>
            <w:tcW w:w="960" w:type="dxa"/>
            <w:tcBorders>
              <w:top w:val="nil"/>
              <w:left w:val="single" w:sz="8" w:space="0" w:color="808080"/>
              <w:bottom w:val="single" w:sz="8" w:space="0" w:color="808080"/>
              <w:right w:val="single" w:sz="8" w:space="0" w:color="808080"/>
            </w:tcBorders>
            <w:tcMar>
              <w:top w:w="0" w:type="dxa"/>
              <w:left w:w="85" w:type="dxa"/>
              <w:bottom w:w="0" w:type="dxa"/>
              <w:right w:w="85" w:type="dxa"/>
            </w:tcMar>
            <w:hideMark/>
          </w:tcPr>
          <w:p w:rsidR="00B1674E" w:rsidRDefault="00B1674E" w:rsidP="00B1674E">
            <w:pPr>
              <w:spacing w:before="60" w:after="60" w:line="240" w:lineRule="atLeast"/>
              <w:ind w:left="-57"/>
              <w:jc w:val="right"/>
              <w:rPr>
                <w:rFonts w:cs="Arial"/>
                <w:sz w:val="20"/>
                <w:szCs w:val="20"/>
              </w:rPr>
            </w:pPr>
            <w:r>
              <w:rPr>
                <w:rFonts w:cs="Arial"/>
                <w:sz w:val="20"/>
                <w:szCs w:val="20"/>
              </w:rPr>
              <w:t>80,000</w:t>
            </w:r>
          </w:p>
        </w:tc>
        <w:tc>
          <w:tcPr>
            <w:tcW w:w="1094" w:type="dxa"/>
            <w:tcBorders>
              <w:top w:val="nil"/>
              <w:left w:val="single" w:sz="8" w:space="0" w:color="808080"/>
              <w:bottom w:val="single" w:sz="8" w:space="0" w:color="808080"/>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772" w:type="dxa"/>
            <w:tcBorders>
              <w:top w:val="nil"/>
              <w:left w:val="nil"/>
              <w:bottom w:val="single" w:sz="8" w:space="0" w:color="808080"/>
              <w:right w:val="nil"/>
            </w:tcBorders>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808080"/>
              <w:right w:val="single" w:sz="8" w:space="0" w:color="808080"/>
            </w:tcBorders>
            <w:shd w:val="clear" w:color="auto" w:fill="D9D9D9"/>
            <w:tcMar>
              <w:top w:w="0" w:type="dxa"/>
              <w:left w:w="85" w:type="dxa"/>
              <w:bottom w:w="0" w:type="dxa"/>
              <w:right w:w="85" w:type="dxa"/>
            </w:tcMar>
          </w:tcPr>
          <w:p w:rsidR="00B1674E" w:rsidRDefault="00B1674E" w:rsidP="00B1674E">
            <w:pPr>
              <w:spacing w:before="60" w:after="60" w:line="240" w:lineRule="atLeast"/>
              <w:ind w:left="-57"/>
              <w:jc w:val="right"/>
              <w:rPr>
                <w:rFonts w:cs="Arial"/>
                <w:sz w:val="20"/>
                <w:szCs w:val="20"/>
              </w:rPr>
            </w:pPr>
          </w:p>
        </w:tc>
        <w:tc>
          <w:tcPr>
            <w:tcW w:w="0" w:type="auto"/>
            <w:tcBorders>
              <w:top w:val="nil"/>
              <w:left w:val="nil"/>
              <w:bottom w:val="single" w:sz="8" w:space="0" w:color="808080"/>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0" w:type="auto"/>
            <w:tcBorders>
              <w:top w:val="nil"/>
              <w:left w:val="nil"/>
              <w:bottom w:val="single" w:sz="8" w:space="0" w:color="808080"/>
              <w:right w:val="nil"/>
            </w:tcBorders>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972" w:type="dxa"/>
            <w:tcBorders>
              <w:top w:val="nil"/>
              <w:left w:val="nil"/>
              <w:bottom w:val="single" w:sz="8" w:space="0" w:color="808080"/>
              <w:right w:val="single" w:sz="8" w:space="0" w:color="808080"/>
            </w:tcBorders>
            <w:shd w:val="clear" w:color="auto" w:fill="D9D9D9"/>
            <w:tcMar>
              <w:top w:w="0" w:type="dxa"/>
              <w:left w:w="85" w:type="dxa"/>
              <w:bottom w:w="0" w:type="dxa"/>
              <w:right w:w="85" w:type="dxa"/>
            </w:tcMar>
            <w:vAlign w:val="center"/>
            <w:hideMark/>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799" w:type="dxa"/>
            <w:tcBorders>
              <w:left w:val="nil"/>
              <w:bottom w:val="single" w:sz="8" w:space="0" w:color="808080"/>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799" w:type="dxa"/>
            <w:tcBorders>
              <w:left w:val="nil"/>
              <w:bottom w:val="single" w:sz="8" w:space="0" w:color="808080"/>
              <w:right w:val="single" w:sz="8" w:space="0" w:color="808080"/>
            </w:tcBorders>
            <w:shd w:val="clear" w:color="auto" w:fill="F2F2F2"/>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c>
          <w:tcPr>
            <w:tcW w:w="1000" w:type="dxa"/>
            <w:tcBorders>
              <w:left w:val="nil"/>
              <w:bottom w:val="single" w:sz="8" w:space="0" w:color="808080"/>
              <w:right w:val="single" w:sz="8" w:space="0" w:color="808080"/>
            </w:tcBorders>
            <w:shd w:val="clear" w:color="auto" w:fill="D9D9D9" w:themeFill="background1" w:themeFillShade="D9"/>
            <w:vAlign w:val="center"/>
          </w:tcPr>
          <w:p w:rsidR="00B1674E" w:rsidRDefault="00B1674E" w:rsidP="00B1674E">
            <w:pPr>
              <w:spacing w:before="60" w:after="60" w:line="240" w:lineRule="atLeast"/>
              <w:ind w:left="-57"/>
              <w:jc w:val="right"/>
              <w:rPr>
                <w:rFonts w:cs="Arial"/>
                <w:sz w:val="20"/>
                <w:szCs w:val="20"/>
              </w:rPr>
            </w:pPr>
            <w:r>
              <w:rPr>
                <w:rFonts w:cs="Arial"/>
                <w:color w:val="262626"/>
                <w:sz w:val="20"/>
                <w:szCs w:val="20"/>
              </w:rPr>
              <w:t>0</w:t>
            </w:r>
          </w:p>
        </w:tc>
      </w:tr>
    </w:tbl>
    <w:p w:rsidR="00BE2999" w:rsidRDefault="00BE2999" w:rsidP="001D4542">
      <w:pPr>
        <w:pStyle w:val="NoSpacing"/>
        <w:rPr>
          <w:sz w:val="12"/>
        </w:rPr>
      </w:pPr>
    </w:p>
    <w:p w:rsidR="00FC7476" w:rsidRPr="00FC7476" w:rsidRDefault="003E19F1" w:rsidP="00FC7476">
      <w:pPr>
        <w:spacing w:after="180"/>
        <w:rPr>
          <w:rFonts w:cs="Arial"/>
        </w:rPr>
      </w:pPr>
      <w:r>
        <w:rPr>
          <w:rFonts w:cs="Arial"/>
        </w:rPr>
        <w:t>Table 1</w:t>
      </w:r>
      <w:r w:rsidR="00FC7476" w:rsidRPr="00FC7476">
        <w:rPr>
          <w:rFonts w:cs="Arial"/>
        </w:rPr>
        <w:t xml:space="preserve"> only shows changes to Family Tax Credits.  Families will benefit from the changes to the income tax thresholds and some will also benefit from increases to the Accommodation Supplement. Transitional financial assistance will be available to the small number of households who may see overall losses of more than $3 a week as a result of the changes across the Family Incomes Package.</w:t>
      </w:r>
    </w:p>
    <w:p w:rsidR="00FC7476" w:rsidRPr="000C6D7B" w:rsidRDefault="00FC7476" w:rsidP="00FC7476">
      <w:pPr>
        <w:pStyle w:val="Heading2"/>
      </w:pPr>
      <w:r w:rsidRPr="000C6D7B">
        <w:t>More information</w:t>
      </w:r>
    </w:p>
    <w:p w:rsidR="00FC7476" w:rsidRDefault="00FC7476" w:rsidP="00FC7476">
      <w:pPr>
        <w:spacing w:after="180"/>
        <w:rPr>
          <w:rFonts w:cs="Arial"/>
        </w:rPr>
      </w:pPr>
      <w:r w:rsidRPr="000C6D7B">
        <w:rPr>
          <w:rFonts w:cs="Arial"/>
        </w:rPr>
        <w:t xml:space="preserve">Inland Revenue and Work and Income will contact </w:t>
      </w:r>
      <w:proofErr w:type="gramStart"/>
      <w:r w:rsidRPr="000C6D7B">
        <w:rPr>
          <w:rFonts w:cs="Arial"/>
        </w:rPr>
        <w:t>Working</w:t>
      </w:r>
      <w:proofErr w:type="gramEnd"/>
      <w:r w:rsidRPr="000C6D7B">
        <w:rPr>
          <w:rFonts w:cs="Arial"/>
        </w:rPr>
        <w:t xml:space="preserve"> for Families recipients in February 2018 to inform them of their likely entitlement for the 2018</w:t>
      </w:r>
      <w:r>
        <w:rPr>
          <w:rFonts w:cs="Arial"/>
        </w:rPr>
        <w:t>-</w:t>
      </w:r>
      <w:r w:rsidRPr="000C6D7B">
        <w:rPr>
          <w:rFonts w:cs="Arial"/>
        </w:rPr>
        <w:t xml:space="preserve">19 </w:t>
      </w:r>
      <w:r>
        <w:rPr>
          <w:rFonts w:cs="Arial"/>
        </w:rPr>
        <w:t xml:space="preserve">tax </w:t>
      </w:r>
      <w:r w:rsidRPr="000C6D7B">
        <w:rPr>
          <w:rFonts w:cs="Arial"/>
        </w:rPr>
        <w:t xml:space="preserve">year.  </w:t>
      </w:r>
    </w:p>
    <w:p w:rsidR="00FC7476" w:rsidRPr="00A52924" w:rsidRDefault="00FC7476" w:rsidP="001D4542">
      <w:pPr>
        <w:pStyle w:val="NoSpacing"/>
        <w:rPr>
          <w:sz w:val="12"/>
        </w:rPr>
      </w:pPr>
    </w:p>
    <w:sectPr w:rsidR="00FC7476" w:rsidRPr="00A52924" w:rsidSect="00063AA8">
      <w:footerReference w:type="default" r:id="rId8"/>
      <w:pgSz w:w="11906" w:h="16838" w:code="9"/>
      <w:pgMar w:top="1588" w:right="1701" w:bottom="680"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4D7" w:rsidRDefault="00DD24D7" w:rsidP="0056151C">
      <w:pPr>
        <w:spacing w:after="0" w:line="240" w:lineRule="auto"/>
      </w:pPr>
      <w:r>
        <w:separator/>
      </w:r>
    </w:p>
  </w:endnote>
  <w:endnote w:type="continuationSeparator" w:id="0">
    <w:p w:rsidR="00DD24D7" w:rsidRDefault="00DD24D7" w:rsidP="0056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42" w:rsidRPr="005B53D0" w:rsidRDefault="001D4542" w:rsidP="001D4542">
    <w:pPr>
      <w:tabs>
        <w:tab w:val="center" w:pos="4253"/>
        <w:tab w:val="right" w:pos="8505"/>
      </w:tabs>
      <w:jc w:val="right"/>
      <w:rPr>
        <w:sz w:val="20"/>
        <w:szCs w:val="20"/>
      </w:rPr>
    </w:pPr>
    <w:r w:rsidRPr="005B53D0">
      <w:rPr>
        <w:sz w:val="20"/>
        <w:szCs w:val="20"/>
      </w:rPr>
      <w:fldChar w:fldCharType="begin"/>
    </w:r>
    <w:r w:rsidRPr="005B53D0">
      <w:rPr>
        <w:sz w:val="20"/>
        <w:szCs w:val="20"/>
      </w:rPr>
      <w:instrText xml:space="preserve"> PAGE   \* MERGEFORMAT </w:instrText>
    </w:r>
    <w:r w:rsidRPr="005B53D0">
      <w:rPr>
        <w:sz w:val="20"/>
        <w:szCs w:val="20"/>
      </w:rPr>
      <w:fldChar w:fldCharType="separate"/>
    </w:r>
    <w:r w:rsidR="00B8141C">
      <w:rPr>
        <w:noProof/>
        <w:sz w:val="20"/>
        <w:szCs w:val="20"/>
      </w:rPr>
      <w:t>1</w:t>
    </w:r>
    <w:r w:rsidRPr="005B53D0">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4D7" w:rsidRDefault="00DD24D7" w:rsidP="0056151C">
      <w:pPr>
        <w:spacing w:after="0" w:line="240" w:lineRule="auto"/>
      </w:pPr>
      <w:r>
        <w:separator/>
      </w:r>
    </w:p>
  </w:footnote>
  <w:footnote w:type="continuationSeparator" w:id="0">
    <w:p w:rsidR="00DD24D7" w:rsidRDefault="00DD24D7" w:rsidP="00561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859"/>
    <w:multiLevelType w:val="hybridMultilevel"/>
    <w:tmpl w:val="3E48CFE6"/>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149E2618"/>
    <w:multiLevelType w:val="hybridMultilevel"/>
    <w:tmpl w:val="1AE06D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1AC5BCC"/>
    <w:multiLevelType w:val="multilevel"/>
    <w:tmpl w:val="0B007584"/>
    <w:lvl w:ilvl="0">
      <w:start w:val="1"/>
      <w:numFmt w:val="decimal"/>
      <w:pStyle w:val="CabStandard"/>
      <w:lvlText w:val="%1"/>
      <w:lvlJc w:val="left"/>
      <w:pPr>
        <w:tabs>
          <w:tab w:val="num" w:pos="720"/>
        </w:tabs>
        <w:ind w:left="720" w:hanging="720"/>
      </w:pPr>
      <w:rPr>
        <w:rFonts w:hint="default"/>
        <w:b w:val="0"/>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nsid w:val="50AA5AF7"/>
    <w:multiLevelType w:val="hybridMultilevel"/>
    <w:tmpl w:val="0E26220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A3"/>
    <w:rsid w:val="0002686D"/>
    <w:rsid w:val="00063AA8"/>
    <w:rsid w:val="00071A14"/>
    <w:rsid w:val="000A2EF3"/>
    <w:rsid w:val="000C6D7B"/>
    <w:rsid w:val="000D3F00"/>
    <w:rsid w:val="000F3D68"/>
    <w:rsid w:val="00100E99"/>
    <w:rsid w:val="00101BC0"/>
    <w:rsid w:val="00131ACD"/>
    <w:rsid w:val="001343F4"/>
    <w:rsid w:val="001646B9"/>
    <w:rsid w:val="001D4542"/>
    <w:rsid w:val="001F2CAC"/>
    <w:rsid w:val="001F3782"/>
    <w:rsid w:val="00233B27"/>
    <w:rsid w:val="002440F8"/>
    <w:rsid w:val="00254112"/>
    <w:rsid w:val="002647F2"/>
    <w:rsid w:val="00266655"/>
    <w:rsid w:val="0026795C"/>
    <w:rsid w:val="002906D6"/>
    <w:rsid w:val="002B4CBC"/>
    <w:rsid w:val="002C34A7"/>
    <w:rsid w:val="002F1561"/>
    <w:rsid w:val="002F1E78"/>
    <w:rsid w:val="003214BB"/>
    <w:rsid w:val="00395720"/>
    <w:rsid w:val="003E19F1"/>
    <w:rsid w:val="0040748D"/>
    <w:rsid w:val="00493B90"/>
    <w:rsid w:val="00496585"/>
    <w:rsid w:val="004C797D"/>
    <w:rsid w:val="004D4AB8"/>
    <w:rsid w:val="004F206C"/>
    <w:rsid w:val="004F499D"/>
    <w:rsid w:val="005045A9"/>
    <w:rsid w:val="0056151C"/>
    <w:rsid w:val="0056595E"/>
    <w:rsid w:val="005C68D1"/>
    <w:rsid w:val="005E0F4D"/>
    <w:rsid w:val="005E13E0"/>
    <w:rsid w:val="00603A20"/>
    <w:rsid w:val="00624A74"/>
    <w:rsid w:val="0062777F"/>
    <w:rsid w:val="006A2257"/>
    <w:rsid w:val="006E00E7"/>
    <w:rsid w:val="006F42FC"/>
    <w:rsid w:val="006F72B4"/>
    <w:rsid w:val="00712C69"/>
    <w:rsid w:val="007278D2"/>
    <w:rsid w:val="0076024F"/>
    <w:rsid w:val="007814A8"/>
    <w:rsid w:val="007C76D8"/>
    <w:rsid w:val="00804B9D"/>
    <w:rsid w:val="00862ED0"/>
    <w:rsid w:val="008B42D8"/>
    <w:rsid w:val="008D0F9C"/>
    <w:rsid w:val="009736B5"/>
    <w:rsid w:val="00992B46"/>
    <w:rsid w:val="009B3E6D"/>
    <w:rsid w:val="009D77B6"/>
    <w:rsid w:val="00A0154A"/>
    <w:rsid w:val="00A05851"/>
    <w:rsid w:val="00A27BA7"/>
    <w:rsid w:val="00A52924"/>
    <w:rsid w:val="00A75B43"/>
    <w:rsid w:val="00A81CA3"/>
    <w:rsid w:val="00AF6A51"/>
    <w:rsid w:val="00B1674E"/>
    <w:rsid w:val="00B2055F"/>
    <w:rsid w:val="00B503FB"/>
    <w:rsid w:val="00B508A9"/>
    <w:rsid w:val="00B679F9"/>
    <w:rsid w:val="00B76E4F"/>
    <w:rsid w:val="00B8141C"/>
    <w:rsid w:val="00B94AF7"/>
    <w:rsid w:val="00BB1A5B"/>
    <w:rsid w:val="00BB1FF0"/>
    <w:rsid w:val="00BB6870"/>
    <w:rsid w:val="00BE2999"/>
    <w:rsid w:val="00C037FB"/>
    <w:rsid w:val="00C2652B"/>
    <w:rsid w:val="00C32763"/>
    <w:rsid w:val="00C915CF"/>
    <w:rsid w:val="00CB7BA2"/>
    <w:rsid w:val="00CE3382"/>
    <w:rsid w:val="00CE6EE8"/>
    <w:rsid w:val="00D10993"/>
    <w:rsid w:val="00D208C7"/>
    <w:rsid w:val="00D242A8"/>
    <w:rsid w:val="00D461F3"/>
    <w:rsid w:val="00D508EB"/>
    <w:rsid w:val="00D91851"/>
    <w:rsid w:val="00DA2C96"/>
    <w:rsid w:val="00DD24D7"/>
    <w:rsid w:val="00E26C41"/>
    <w:rsid w:val="00E624B9"/>
    <w:rsid w:val="00F43640"/>
    <w:rsid w:val="00F53206"/>
    <w:rsid w:val="00F70FA1"/>
    <w:rsid w:val="00FB3046"/>
    <w:rsid w:val="00FC6DC3"/>
    <w:rsid w:val="00FC747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2"/>
    <w:pPr>
      <w:spacing w:line="280" w:lineRule="atLeast"/>
    </w:pPr>
    <w:rPr>
      <w:rFonts w:ascii="Arial" w:hAnsi="Arial"/>
      <w:sz w:val="24"/>
    </w:rPr>
  </w:style>
  <w:style w:type="paragraph" w:styleId="Heading1">
    <w:name w:val="heading 1"/>
    <w:basedOn w:val="Normal"/>
    <w:next w:val="Normal"/>
    <w:link w:val="Heading1Char"/>
    <w:uiPriority w:val="9"/>
    <w:qFormat/>
    <w:rsid w:val="001D4542"/>
    <w:pPr>
      <w:keepNext/>
      <w:spacing w:after="240" w:line="300" w:lineRule="atLeast"/>
      <w:outlineLvl w:val="0"/>
    </w:pPr>
    <w:rPr>
      <w:rFonts w:ascii="Arial Bold" w:eastAsia="Times New Roman" w:hAnsi="Arial Bold" w:cs="Times New Roman"/>
      <w:b/>
      <w:sz w:val="36"/>
      <w:szCs w:val="36"/>
      <w:lang w:val="en-AU"/>
    </w:rPr>
  </w:style>
  <w:style w:type="paragraph" w:styleId="Heading2">
    <w:name w:val="heading 2"/>
    <w:basedOn w:val="Normal"/>
    <w:next w:val="Normal"/>
    <w:link w:val="Heading2Char"/>
    <w:uiPriority w:val="9"/>
    <w:unhideWhenUsed/>
    <w:qFormat/>
    <w:rsid w:val="001D4542"/>
    <w:pPr>
      <w:keepNext/>
      <w:spacing w:before="360" w:after="240" w:line="300" w:lineRule="atLeast"/>
      <w:outlineLvl w:val="1"/>
    </w:pPr>
    <w:rPr>
      <w:rFonts w:eastAsia="Times New Roman" w:cs="Times New Roman"/>
      <w:b/>
      <w:i/>
      <w:sz w:val="28"/>
      <w:szCs w:val="28"/>
      <w:lang w:val="en-AU"/>
    </w:rPr>
  </w:style>
  <w:style w:type="paragraph" w:styleId="Heading3">
    <w:name w:val="heading 3"/>
    <w:basedOn w:val="Normal"/>
    <w:next w:val="Normal"/>
    <w:link w:val="Heading3Char"/>
    <w:uiPriority w:val="9"/>
    <w:unhideWhenUsed/>
    <w:qFormat/>
    <w:rsid w:val="001D4542"/>
    <w:pPr>
      <w:keepNext/>
      <w:outlineLvl w:val="2"/>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A3"/>
    <w:pPr>
      <w:ind w:left="720"/>
      <w:contextualSpacing/>
    </w:pPr>
  </w:style>
  <w:style w:type="table" w:styleId="TableGrid">
    <w:name w:val="Table Grid"/>
    <w:basedOn w:val="TableNormal"/>
    <w:uiPriority w:val="59"/>
    <w:rsid w:val="00862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1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51C"/>
  </w:style>
  <w:style w:type="paragraph" w:styleId="Footer">
    <w:name w:val="footer"/>
    <w:basedOn w:val="Normal"/>
    <w:link w:val="FooterChar"/>
    <w:uiPriority w:val="99"/>
    <w:unhideWhenUsed/>
    <w:rsid w:val="00561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51C"/>
  </w:style>
  <w:style w:type="paragraph" w:styleId="BalloonText">
    <w:name w:val="Balloon Text"/>
    <w:basedOn w:val="Normal"/>
    <w:link w:val="BalloonTextChar"/>
    <w:uiPriority w:val="99"/>
    <w:semiHidden/>
    <w:unhideWhenUsed/>
    <w:rsid w:val="0056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1C"/>
    <w:rPr>
      <w:rFonts w:ascii="Segoe UI" w:hAnsi="Segoe UI" w:cs="Segoe UI"/>
      <w:sz w:val="18"/>
      <w:szCs w:val="18"/>
    </w:rPr>
  </w:style>
  <w:style w:type="paragraph" w:customStyle="1" w:styleId="CabStandard">
    <w:name w:val="CabStandard"/>
    <w:basedOn w:val="Normal"/>
    <w:rsid w:val="00AF6A51"/>
    <w:pPr>
      <w:numPr>
        <w:numId w:val="4"/>
      </w:numPr>
      <w:spacing w:after="240" w:line="240" w:lineRule="auto"/>
    </w:pPr>
    <w:rPr>
      <w:rFonts w:ascii="Times New Roman" w:eastAsia="Times New Roman" w:hAnsi="Times New Roman" w:cs="Times New Roman"/>
      <w:szCs w:val="20"/>
      <w:lang w:val="en-GB" w:eastAsia="ja-JP"/>
    </w:rPr>
  </w:style>
  <w:style w:type="character" w:styleId="CommentReference">
    <w:name w:val="annotation reference"/>
    <w:basedOn w:val="DefaultParagraphFont"/>
    <w:uiPriority w:val="99"/>
    <w:semiHidden/>
    <w:unhideWhenUsed/>
    <w:rsid w:val="002F1561"/>
    <w:rPr>
      <w:sz w:val="16"/>
      <w:szCs w:val="16"/>
    </w:rPr>
  </w:style>
  <w:style w:type="paragraph" w:styleId="CommentText">
    <w:name w:val="annotation text"/>
    <w:basedOn w:val="Normal"/>
    <w:link w:val="CommentTextChar"/>
    <w:uiPriority w:val="99"/>
    <w:semiHidden/>
    <w:unhideWhenUsed/>
    <w:rsid w:val="002F1561"/>
    <w:pPr>
      <w:spacing w:line="240" w:lineRule="auto"/>
    </w:pPr>
    <w:rPr>
      <w:sz w:val="20"/>
      <w:szCs w:val="20"/>
    </w:rPr>
  </w:style>
  <w:style w:type="character" w:customStyle="1" w:styleId="CommentTextChar">
    <w:name w:val="Comment Text Char"/>
    <w:basedOn w:val="DefaultParagraphFont"/>
    <w:link w:val="CommentText"/>
    <w:uiPriority w:val="99"/>
    <w:semiHidden/>
    <w:rsid w:val="002F1561"/>
    <w:rPr>
      <w:sz w:val="20"/>
      <w:szCs w:val="20"/>
    </w:rPr>
  </w:style>
  <w:style w:type="paragraph" w:styleId="CommentSubject">
    <w:name w:val="annotation subject"/>
    <w:basedOn w:val="CommentText"/>
    <w:next w:val="CommentText"/>
    <w:link w:val="CommentSubjectChar"/>
    <w:uiPriority w:val="99"/>
    <w:semiHidden/>
    <w:unhideWhenUsed/>
    <w:rsid w:val="002F1561"/>
    <w:rPr>
      <w:b/>
      <w:bCs/>
    </w:rPr>
  </w:style>
  <w:style w:type="character" w:customStyle="1" w:styleId="CommentSubjectChar">
    <w:name w:val="Comment Subject Char"/>
    <w:basedOn w:val="CommentTextChar"/>
    <w:link w:val="CommentSubject"/>
    <w:uiPriority w:val="99"/>
    <w:semiHidden/>
    <w:rsid w:val="002F1561"/>
    <w:rPr>
      <w:b/>
      <w:bCs/>
      <w:sz w:val="20"/>
      <w:szCs w:val="20"/>
    </w:rPr>
  </w:style>
  <w:style w:type="character" w:customStyle="1" w:styleId="Heading1Char">
    <w:name w:val="Heading 1 Char"/>
    <w:basedOn w:val="DefaultParagraphFont"/>
    <w:link w:val="Heading1"/>
    <w:uiPriority w:val="9"/>
    <w:rsid w:val="001D4542"/>
    <w:rPr>
      <w:rFonts w:ascii="Arial Bold" w:eastAsia="Times New Roman" w:hAnsi="Arial Bold" w:cs="Times New Roman"/>
      <w:b/>
      <w:sz w:val="36"/>
      <w:szCs w:val="36"/>
      <w:lang w:val="en-AU"/>
    </w:rPr>
  </w:style>
  <w:style w:type="character" w:customStyle="1" w:styleId="Heading2Char">
    <w:name w:val="Heading 2 Char"/>
    <w:basedOn w:val="DefaultParagraphFont"/>
    <w:link w:val="Heading2"/>
    <w:uiPriority w:val="9"/>
    <w:rsid w:val="001D4542"/>
    <w:rPr>
      <w:rFonts w:ascii="Arial" w:eastAsia="Times New Roman" w:hAnsi="Arial" w:cs="Times New Roman"/>
      <w:b/>
      <w:i/>
      <w:sz w:val="28"/>
      <w:szCs w:val="28"/>
      <w:lang w:val="en-AU"/>
    </w:rPr>
  </w:style>
  <w:style w:type="character" w:customStyle="1" w:styleId="Heading3Char">
    <w:name w:val="Heading 3 Char"/>
    <w:basedOn w:val="DefaultParagraphFont"/>
    <w:link w:val="Heading3"/>
    <w:uiPriority w:val="9"/>
    <w:rsid w:val="001D4542"/>
    <w:rPr>
      <w:rFonts w:ascii="Arial" w:eastAsia="Times New Roman" w:hAnsi="Arial" w:cs="Times New Roman"/>
      <w:b/>
      <w:sz w:val="24"/>
      <w:szCs w:val="24"/>
    </w:rPr>
  </w:style>
  <w:style w:type="paragraph" w:styleId="NoSpacing">
    <w:name w:val="No Spacing"/>
    <w:uiPriority w:val="1"/>
    <w:qFormat/>
    <w:rsid w:val="001D454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233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B27"/>
    <w:rPr>
      <w:rFonts w:ascii="Arial" w:hAnsi="Arial"/>
      <w:sz w:val="20"/>
      <w:szCs w:val="20"/>
    </w:rPr>
  </w:style>
  <w:style w:type="character" w:styleId="FootnoteReference">
    <w:name w:val="footnote reference"/>
    <w:basedOn w:val="DefaultParagraphFont"/>
    <w:uiPriority w:val="99"/>
    <w:semiHidden/>
    <w:unhideWhenUsed/>
    <w:rsid w:val="00233B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542"/>
    <w:pPr>
      <w:spacing w:line="280" w:lineRule="atLeast"/>
    </w:pPr>
    <w:rPr>
      <w:rFonts w:ascii="Arial" w:hAnsi="Arial"/>
      <w:sz w:val="24"/>
    </w:rPr>
  </w:style>
  <w:style w:type="paragraph" w:styleId="Heading1">
    <w:name w:val="heading 1"/>
    <w:basedOn w:val="Normal"/>
    <w:next w:val="Normal"/>
    <w:link w:val="Heading1Char"/>
    <w:uiPriority w:val="9"/>
    <w:qFormat/>
    <w:rsid w:val="001D4542"/>
    <w:pPr>
      <w:keepNext/>
      <w:spacing w:after="240" w:line="300" w:lineRule="atLeast"/>
      <w:outlineLvl w:val="0"/>
    </w:pPr>
    <w:rPr>
      <w:rFonts w:ascii="Arial Bold" w:eastAsia="Times New Roman" w:hAnsi="Arial Bold" w:cs="Times New Roman"/>
      <w:b/>
      <w:sz w:val="36"/>
      <w:szCs w:val="36"/>
      <w:lang w:val="en-AU"/>
    </w:rPr>
  </w:style>
  <w:style w:type="paragraph" w:styleId="Heading2">
    <w:name w:val="heading 2"/>
    <w:basedOn w:val="Normal"/>
    <w:next w:val="Normal"/>
    <w:link w:val="Heading2Char"/>
    <w:uiPriority w:val="9"/>
    <w:unhideWhenUsed/>
    <w:qFormat/>
    <w:rsid w:val="001D4542"/>
    <w:pPr>
      <w:keepNext/>
      <w:spacing w:before="360" w:after="240" w:line="300" w:lineRule="atLeast"/>
      <w:outlineLvl w:val="1"/>
    </w:pPr>
    <w:rPr>
      <w:rFonts w:eastAsia="Times New Roman" w:cs="Times New Roman"/>
      <w:b/>
      <w:i/>
      <w:sz w:val="28"/>
      <w:szCs w:val="28"/>
      <w:lang w:val="en-AU"/>
    </w:rPr>
  </w:style>
  <w:style w:type="paragraph" w:styleId="Heading3">
    <w:name w:val="heading 3"/>
    <w:basedOn w:val="Normal"/>
    <w:next w:val="Normal"/>
    <w:link w:val="Heading3Char"/>
    <w:uiPriority w:val="9"/>
    <w:unhideWhenUsed/>
    <w:qFormat/>
    <w:rsid w:val="001D4542"/>
    <w:pPr>
      <w:keepNext/>
      <w:outlineLvl w:val="2"/>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CA3"/>
    <w:pPr>
      <w:ind w:left="720"/>
      <w:contextualSpacing/>
    </w:pPr>
  </w:style>
  <w:style w:type="table" w:styleId="TableGrid">
    <w:name w:val="Table Grid"/>
    <w:basedOn w:val="TableNormal"/>
    <w:uiPriority w:val="59"/>
    <w:rsid w:val="00862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1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51C"/>
  </w:style>
  <w:style w:type="paragraph" w:styleId="Footer">
    <w:name w:val="footer"/>
    <w:basedOn w:val="Normal"/>
    <w:link w:val="FooterChar"/>
    <w:uiPriority w:val="99"/>
    <w:unhideWhenUsed/>
    <w:rsid w:val="00561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51C"/>
  </w:style>
  <w:style w:type="paragraph" w:styleId="BalloonText">
    <w:name w:val="Balloon Text"/>
    <w:basedOn w:val="Normal"/>
    <w:link w:val="BalloonTextChar"/>
    <w:uiPriority w:val="99"/>
    <w:semiHidden/>
    <w:unhideWhenUsed/>
    <w:rsid w:val="00561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1C"/>
    <w:rPr>
      <w:rFonts w:ascii="Segoe UI" w:hAnsi="Segoe UI" w:cs="Segoe UI"/>
      <w:sz w:val="18"/>
      <w:szCs w:val="18"/>
    </w:rPr>
  </w:style>
  <w:style w:type="paragraph" w:customStyle="1" w:styleId="CabStandard">
    <w:name w:val="CabStandard"/>
    <w:basedOn w:val="Normal"/>
    <w:rsid w:val="00AF6A51"/>
    <w:pPr>
      <w:numPr>
        <w:numId w:val="4"/>
      </w:numPr>
      <w:spacing w:after="240" w:line="240" w:lineRule="auto"/>
    </w:pPr>
    <w:rPr>
      <w:rFonts w:ascii="Times New Roman" w:eastAsia="Times New Roman" w:hAnsi="Times New Roman" w:cs="Times New Roman"/>
      <w:szCs w:val="20"/>
      <w:lang w:val="en-GB" w:eastAsia="ja-JP"/>
    </w:rPr>
  </w:style>
  <w:style w:type="character" w:styleId="CommentReference">
    <w:name w:val="annotation reference"/>
    <w:basedOn w:val="DefaultParagraphFont"/>
    <w:uiPriority w:val="99"/>
    <w:semiHidden/>
    <w:unhideWhenUsed/>
    <w:rsid w:val="002F1561"/>
    <w:rPr>
      <w:sz w:val="16"/>
      <w:szCs w:val="16"/>
    </w:rPr>
  </w:style>
  <w:style w:type="paragraph" w:styleId="CommentText">
    <w:name w:val="annotation text"/>
    <w:basedOn w:val="Normal"/>
    <w:link w:val="CommentTextChar"/>
    <w:uiPriority w:val="99"/>
    <w:semiHidden/>
    <w:unhideWhenUsed/>
    <w:rsid w:val="002F1561"/>
    <w:pPr>
      <w:spacing w:line="240" w:lineRule="auto"/>
    </w:pPr>
    <w:rPr>
      <w:sz w:val="20"/>
      <w:szCs w:val="20"/>
    </w:rPr>
  </w:style>
  <w:style w:type="character" w:customStyle="1" w:styleId="CommentTextChar">
    <w:name w:val="Comment Text Char"/>
    <w:basedOn w:val="DefaultParagraphFont"/>
    <w:link w:val="CommentText"/>
    <w:uiPriority w:val="99"/>
    <w:semiHidden/>
    <w:rsid w:val="002F1561"/>
    <w:rPr>
      <w:sz w:val="20"/>
      <w:szCs w:val="20"/>
    </w:rPr>
  </w:style>
  <w:style w:type="paragraph" w:styleId="CommentSubject">
    <w:name w:val="annotation subject"/>
    <w:basedOn w:val="CommentText"/>
    <w:next w:val="CommentText"/>
    <w:link w:val="CommentSubjectChar"/>
    <w:uiPriority w:val="99"/>
    <w:semiHidden/>
    <w:unhideWhenUsed/>
    <w:rsid w:val="002F1561"/>
    <w:rPr>
      <w:b/>
      <w:bCs/>
    </w:rPr>
  </w:style>
  <w:style w:type="character" w:customStyle="1" w:styleId="CommentSubjectChar">
    <w:name w:val="Comment Subject Char"/>
    <w:basedOn w:val="CommentTextChar"/>
    <w:link w:val="CommentSubject"/>
    <w:uiPriority w:val="99"/>
    <w:semiHidden/>
    <w:rsid w:val="002F1561"/>
    <w:rPr>
      <w:b/>
      <w:bCs/>
      <w:sz w:val="20"/>
      <w:szCs w:val="20"/>
    </w:rPr>
  </w:style>
  <w:style w:type="character" w:customStyle="1" w:styleId="Heading1Char">
    <w:name w:val="Heading 1 Char"/>
    <w:basedOn w:val="DefaultParagraphFont"/>
    <w:link w:val="Heading1"/>
    <w:uiPriority w:val="9"/>
    <w:rsid w:val="001D4542"/>
    <w:rPr>
      <w:rFonts w:ascii="Arial Bold" w:eastAsia="Times New Roman" w:hAnsi="Arial Bold" w:cs="Times New Roman"/>
      <w:b/>
      <w:sz w:val="36"/>
      <w:szCs w:val="36"/>
      <w:lang w:val="en-AU"/>
    </w:rPr>
  </w:style>
  <w:style w:type="character" w:customStyle="1" w:styleId="Heading2Char">
    <w:name w:val="Heading 2 Char"/>
    <w:basedOn w:val="DefaultParagraphFont"/>
    <w:link w:val="Heading2"/>
    <w:uiPriority w:val="9"/>
    <w:rsid w:val="001D4542"/>
    <w:rPr>
      <w:rFonts w:ascii="Arial" w:eastAsia="Times New Roman" w:hAnsi="Arial" w:cs="Times New Roman"/>
      <w:b/>
      <w:i/>
      <w:sz w:val="28"/>
      <w:szCs w:val="28"/>
      <w:lang w:val="en-AU"/>
    </w:rPr>
  </w:style>
  <w:style w:type="character" w:customStyle="1" w:styleId="Heading3Char">
    <w:name w:val="Heading 3 Char"/>
    <w:basedOn w:val="DefaultParagraphFont"/>
    <w:link w:val="Heading3"/>
    <w:uiPriority w:val="9"/>
    <w:rsid w:val="001D4542"/>
    <w:rPr>
      <w:rFonts w:ascii="Arial" w:eastAsia="Times New Roman" w:hAnsi="Arial" w:cs="Times New Roman"/>
      <w:b/>
      <w:sz w:val="24"/>
      <w:szCs w:val="24"/>
    </w:rPr>
  </w:style>
  <w:style w:type="paragraph" w:styleId="NoSpacing">
    <w:name w:val="No Spacing"/>
    <w:uiPriority w:val="1"/>
    <w:qFormat/>
    <w:rsid w:val="001D454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233B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B27"/>
    <w:rPr>
      <w:rFonts w:ascii="Arial" w:hAnsi="Arial"/>
      <w:sz w:val="20"/>
      <w:szCs w:val="20"/>
    </w:rPr>
  </w:style>
  <w:style w:type="character" w:styleId="FootnoteReference">
    <w:name w:val="footnote reference"/>
    <w:basedOn w:val="DefaultParagraphFont"/>
    <w:uiPriority w:val="99"/>
    <w:semiHidden/>
    <w:unhideWhenUsed/>
    <w:rsid w:val="00233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6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4749</Characters>
  <Application>Microsoft Office Word</Application>
  <DocSecurity>0</DocSecurity>
  <Lines>249</Lines>
  <Paragraphs>191</Paragraphs>
  <ScaleCrop>false</ScaleCrop>
  <HeadingPairs>
    <vt:vector size="2" baseType="variant">
      <vt:variant>
        <vt:lpstr>Title</vt:lpstr>
      </vt:variant>
      <vt:variant>
        <vt:i4>1</vt:i4>
      </vt:variant>
    </vt:vector>
  </HeadingPairs>
  <TitlesOfParts>
    <vt:vector size="1" baseType="lpstr">
      <vt:lpstr>Budget 2017 - Fact Sheet 3 – Changes to Working for Families (updated 1 June 2017)</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2017 - Fact Sheet 3 – Changes to Working for Families (updated 1 June 2017)</dc:title>
  <dc:creator/>
  <cp:lastModifiedBy/>
  <cp:revision>1</cp:revision>
  <dcterms:created xsi:type="dcterms:W3CDTF">2017-06-01T00:07:00Z</dcterms:created>
  <dcterms:modified xsi:type="dcterms:W3CDTF">2017-06-01T00:10:00Z</dcterms:modified>
  <cp:contentStatus/>
</cp:coreProperties>
</file>