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249C8" w14:textId="54040ECB" w:rsidR="000328EC" w:rsidRPr="005B53D0" w:rsidRDefault="000328EC" w:rsidP="005B53D0">
      <w:pPr>
        <w:pStyle w:val="Heading1"/>
      </w:pPr>
      <w:r w:rsidRPr="005B53D0">
        <w:t xml:space="preserve">Fact Sheet </w:t>
      </w:r>
      <w:r w:rsidR="00BE733F" w:rsidRPr="005B53D0">
        <w:t>2</w:t>
      </w:r>
      <w:r w:rsidRPr="005B53D0">
        <w:t xml:space="preserve"> – </w:t>
      </w:r>
      <w:r w:rsidR="002E4725" w:rsidRPr="005B53D0">
        <w:t xml:space="preserve">Changes to Tax </w:t>
      </w:r>
      <w:r w:rsidR="0028187C" w:rsidRPr="005B53D0">
        <w:t xml:space="preserve">Thresholds and </w:t>
      </w:r>
      <w:r w:rsidR="00790F1F">
        <w:t xml:space="preserve">the </w:t>
      </w:r>
      <w:r w:rsidR="0028187C" w:rsidRPr="005B53D0">
        <w:t>Independent Earner Tax Credit</w:t>
      </w:r>
    </w:p>
    <w:p w14:paraId="3CB806EA" w14:textId="77777777" w:rsidR="000328EC" w:rsidRPr="005B53D0" w:rsidRDefault="000328EC" w:rsidP="005B53D0">
      <w:pPr>
        <w:pStyle w:val="Heading2"/>
      </w:pPr>
      <w:r w:rsidRPr="005B53D0">
        <w:t>Summary</w:t>
      </w:r>
      <w:bookmarkStart w:id="0" w:name="_GoBack"/>
      <w:bookmarkEnd w:id="0"/>
    </w:p>
    <w:p w14:paraId="1B644CB2" w14:textId="6977D8D6" w:rsidR="000328EC" w:rsidRPr="00844879" w:rsidRDefault="000328EC" w:rsidP="005B53D0">
      <w:pPr>
        <w:pStyle w:val="Heading3"/>
        <w:rPr>
          <w:b w:val="0"/>
        </w:rPr>
      </w:pPr>
      <w:r w:rsidRPr="00844879">
        <w:rPr>
          <w:b w:val="0"/>
        </w:rPr>
        <w:t>From 1 April 2018</w:t>
      </w:r>
      <w:r w:rsidR="00E77ECF" w:rsidRPr="00844879">
        <w:rPr>
          <w:b w:val="0"/>
        </w:rPr>
        <w:t>:</w:t>
      </w:r>
    </w:p>
    <w:p w14:paraId="0F3973CC" w14:textId="3E6D455D" w:rsidR="002E4725" w:rsidRDefault="002E4725" w:rsidP="00F226A6">
      <w:pPr>
        <w:pStyle w:val="BulletList"/>
        <w:ind w:left="568"/>
      </w:pPr>
      <w:r w:rsidRPr="00FA6353">
        <w:t>Working families with incomes above $14,000 will gain from increases to the two bottom thresholds.</w:t>
      </w:r>
      <w:r w:rsidR="00AB3A3D">
        <w:t xml:space="preserve"> </w:t>
      </w:r>
      <w:r w:rsidR="00AB3A3D" w:rsidRPr="00AB3A3D">
        <w:t xml:space="preserve"> </w:t>
      </w:r>
      <w:r w:rsidR="00AB3A3D">
        <w:t xml:space="preserve">The </w:t>
      </w:r>
      <w:r w:rsidR="00AB3A3D" w:rsidRPr="00AB3A3D">
        <w:t xml:space="preserve">$14,000 income tax threshold </w:t>
      </w:r>
      <w:r w:rsidR="00AB3A3D">
        <w:t xml:space="preserve">will increase </w:t>
      </w:r>
      <w:r w:rsidR="00AB3A3D" w:rsidRPr="00AB3A3D">
        <w:t xml:space="preserve">to $22,000, and the $48,000 threshold </w:t>
      </w:r>
      <w:r w:rsidR="00AB3A3D">
        <w:t xml:space="preserve">will increase </w:t>
      </w:r>
      <w:r w:rsidR="00AB3A3D" w:rsidRPr="00AB3A3D">
        <w:t>to $52,000</w:t>
      </w:r>
      <w:r w:rsidR="00AB3A3D">
        <w:t>.</w:t>
      </w:r>
    </w:p>
    <w:p w14:paraId="55BD0D26" w14:textId="7CEFE9DE" w:rsidR="00890E53" w:rsidRDefault="006C7A0B" w:rsidP="00F226A6">
      <w:pPr>
        <w:pStyle w:val="BulletList"/>
        <w:ind w:left="568"/>
      </w:pPr>
      <w:r>
        <w:t>The change above means a</w:t>
      </w:r>
      <w:r w:rsidR="00890E53">
        <w:t>nyone earning more than $22,000 annually will receive a tax reduction of $1</w:t>
      </w:r>
      <w:r w:rsidR="005D4B0E">
        <w:t>0.77</w:t>
      </w:r>
      <w:r w:rsidR="00890E53">
        <w:t xml:space="preserve"> a week, and anyone earning more than $52,000 will receive a tax reduction of $20</w:t>
      </w:r>
      <w:r w:rsidR="005D4B0E">
        <w:t>.38</w:t>
      </w:r>
      <w:r w:rsidR="00890E53">
        <w:t xml:space="preserve"> </w:t>
      </w:r>
      <w:r w:rsidR="00D54AB3">
        <w:t xml:space="preserve">per </w:t>
      </w:r>
      <w:r w:rsidR="00890E53">
        <w:t>week.</w:t>
      </w:r>
    </w:p>
    <w:p w14:paraId="725D1734" w14:textId="32E602C6" w:rsidR="002E4725" w:rsidRPr="00FA6353" w:rsidRDefault="002E4725" w:rsidP="00F226A6">
      <w:pPr>
        <w:pStyle w:val="BulletList"/>
        <w:ind w:left="568"/>
      </w:pPr>
      <w:r w:rsidRPr="00FA6353">
        <w:t>The Inde</w:t>
      </w:r>
      <w:r w:rsidR="0028187C" w:rsidRPr="00FA6353">
        <w:t>pendent Earner Tax Credit</w:t>
      </w:r>
      <w:r w:rsidRPr="00FA6353">
        <w:t xml:space="preserve"> </w:t>
      </w:r>
      <w:r w:rsidR="005D4B0E">
        <w:t xml:space="preserve">of up to $10 per week </w:t>
      </w:r>
      <w:r w:rsidRPr="00FA6353">
        <w:t xml:space="preserve">will </w:t>
      </w:r>
      <w:r w:rsidR="006E5AA6" w:rsidRPr="00FA6353">
        <w:t xml:space="preserve">be </w:t>
      </w:r>
      <w:r w:rsidR="000C6442">
        <w:t>d</w:t>
      </w:r>
      <w:r w:rsidR="00EF1E32">
        <w:t>iscontinued</w:t>
      </w:r>
      <w:r w:rsidRPr="00FA6353">
        <w:t>.</w:t>
      </w:r>
      <w:r w:rsidR="0054742C">
        <w:t xml:space="preserve">  </w:t>
      </w:r>
      <w:r w:rsidR="0054742C" w:rsidRPr="00FA6353">
        <w:t xml:space="preserve">Individuals who </w:t>
      </w:r>
      <w:r w:rsidR="0054742C">
        <w:t xml:space="preserve">currently </w:t>
      </w:r>
      <w:r w:rsidR="0054742C" w:rsidRPr="00FA6353">
        <w:t>receive the tax credit will be fully compensated by the increase in the $14,000 tax threshold</w:t>
      </w:r>
      <w:r w:rsidR="0054742C">
        <w:t xml:space="preserve"> to $22,000</w:t>
      </w:r>
      <w:r w:rsidR="0054742C" w:rsidRPr="00FA6353">
        <w:t>.</w:t>
      </w:r>
    </w:p>
    <w:p w14:paraId="12801821" w14:textId="572A7717" w:rsidR="002E4725" w:rsidRPr="00FA6353" w:rsidRDefault="002E4725" w:rsidP="005B53D0">
      <w:pPr>
        <w:pStyle w:val="Heading2"/>
      </w:pPr>
      <w:r w:rsidRPr="00FA6353">
        <w:t>What is changing?</w:t>
      </w:r>
    </w:p>
    <w:p w14:paraId="7823BA54" w14:textId="58CAD512" w:rsidR="000328EC" w:rsidRPr="00FA6353" w:rsidRDefault="002E4725" w:rsidP="006E5AA6">
      <w:r w:rsidRPr="00FA6353">
        <w:t>From 1 April 2018, the</w:t>
      </w:r>
      <w:r w:rsidR="000328EC" w:rsidRPr="00FA6353">
        <w:t xml:space="preserve"> $14,000 income tax threshold </w:t>
      </w:r>
      <w:r w:rsidRPr="00FA6353">
        <w:t xml:space="preserve">will increase </w:t>
      </w:r>
      <w:r w:rsidR="000328EC" w:rsidRPr="00FA6353">
        <w:t>to $22,000, and the $48,000 threshold to $52,000.</w:t>
      </w:r>
    </w:p>
    <w:p w14:paraId="1BA3287A" w14:textId="07EF7935" w:rsidR="002E4725" w:rsidRPr="00FA6353" w:rsidRDefault="00D54AB3" w:rsidP="00D54AB3">
      <w:pPr>
        <w:rPr>
          <w:lang w:val="en-AU"/>
        </w:rPr>
      </w:pPr>
      <w:r w:rsidRPr="001D4542">
        <w:rPr>
          <w:b/>
        </w:rPr>
        <w:t>Table 1</w:t>
      </w:r>
      <w:r>
        <w:t>:</w:t>
      </w:r>
      <w:r w:rsidRPr="000C6D7B">
        <w:t xml:space="preserve"> </w:t>
      </w:r>
      <w:r>
        <w:t>C</w:t>
      </w:r>
      <w:r w:rsidR="00EF1E32">
        <w:t xml:space="preserve">urrent </w:t>
      </w:r>
      <w:r w:rsidR="002E4725" w:rsidRPr="00FA6353">
        <w:rPr>
          <w:lang w:val="en-AU"/>
        </w:rPr>
        <w:t>and new personal income tax thresholds</w:t>
      </w:r>
    </w:p>
    <w:tbl>
      <w:tblPr>
        <w:tblW w:w="5613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2268"/>
        <w:gridCol w:w="1077"/>
      </w:tblGrid>
      <w:tr w:rsidR="002E4725" w:rsidRPr="00FA6353" w14:paraId="50BB6427" w14:textId="77777777" w:rsidTr="005B53D0">
        <w:trPr>
          <w:trHeight w:val="158"/>
          <w:jc w:val="center"/>
        </w:trPr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D54A36A" w14:textId="77777777" w:rsidR="002E4725" w:rsidRPr="00FA6353" w:rsidRDefault="002E4725" w:rsidP="00F226A6">
            <w:pPr>
              <w:spacing w:before="40" w:after="40"/>
              <w:rPr>
                <w:b/>
                <w:sz w:val="20"/>
              </w:rPr>
            </w:pPr>
            <w:r w:rsidRPr="00FA6353">
              <w:rPr>
                <w:b/>
                <w:sz w:val="20"/>
              </w:rPr>
              <w:t>Current Bracket ($)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30E0435" w14:textId="77777777" w:rsidR="002E4725" w:rsidRPr="00FA6353" w:rsidRDefault="002E4725" w:rsidP="00F226A6">
            <w:pPr>
              <w:spacing w:before="40" w:after="40"/>
              <w:rPr>
                <w:b/>
                <w:sz w:val="20"/>
              </w:rPr>
            </w:pPr>
            <w:r w:rsidRPr="00FA6353">
              <w:rPr>
                <w:b/>
                <w:sz w:val="20"/>
              </w:rPr>
              <w:t>New Bracket ($)</w:t>
            </w:r>
          </w:p>
        </w:tc>
        <w:tc>
          <w:tcPr>
            <w:tcW w:w="10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C431E8" w14:textId="77777777" w:rsidR="002E4725" w:rsidRPr="00FA6353" w:rsidRDefault="002E4725" w:rsidP="00F226A6">
            <w:pPr>
              <w:spacing w:before="40" w:after="40"/>
              <w:rPr>
                <w:b/>
                <w:sz w:val="20"/>
              </w:rPr>
            </w:pPr>
            <w:r w:rsidRPr="00FA6353">
              <w:rPr>
                <w:b/>
                <w:sz w:val="20"/>
              </w:rPr>
              <w:t>Rate</w:t>
            </w:r>
          </w:p>
        </w:tc>
      </w:tr>
      <w:tr w:rsidR="002E4725" w:rsidRPr="00FA6353" w14:paraId="6461FEB0" w14:textId="77777777" w:rsidTr="0070346A">
        <w:trPr>
          <w:trHeight w:val="169"/>
          <w:jc w:val="center"/>
        </w:trPr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3FFE01F6" w14:textId="77777777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1 – 14,000</w:t>
            </w:r>
          </w:p>
        </w:tc>
        <w:tc>
          <w:tcPr>
            <w:tcW w:w="2268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vAlign w:val="center"/>
          </w:tcPr>
          <w:p w14:paraId="0E9E1363" w14:textId="5C3B899B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1</w:t>
            </w:r>
            <w:r w:rsidR="005D4B0E">
              <w:rPr>
                <w:sz w:val="20"/>
              </w:rPr>
              <w:t xml:space="preserve"> – </w:t>
            </w:r>
            <w:r w:rsidRPr="00FA6353">
              <w:rPr>
                <w:sz w:val="20"/>
              </w:rPr>
              <w:t>22,000</w:t>
            </w:r>
          </w:p>
        </w:tc>
        <w:tc>
          <w:tcPr>
            <w:tcW w:w="1077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5A6859" w14:textId="77777777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10.5%</w:t>
            </w:r>
          </w:p>
        </w:tc>
      </w:tr>
      <w:tr w:rsidR="002E4725" w:rsidRPr="00FA6353" w14:paraId="7B52CFCB" w14:textId="77777777" w:rsidTr="0070346A">
        <w:trPr>
          <w:trHeight w:val="219"/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E749668" w14:textId="77777777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14,001 – 48,000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9BADFE8" w14:textId="731AD673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22,001</w:t>
            </w:r>
            <w:r w:rsidR="005D4B0E">
              <w:rPr>
                <w:sz w:val="20"/>
              </w:rPr>
              <w:t xml:space="preserve"> – </w:t>
            </w:r>
            <w:r w:rsidRPr="00FA6353">
              <w:rPr>
                <w:sz w:val="20"/>
              </w:rPr>
              <w:t>52,000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2CB61A" w14:textId="77777777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17.5%</w:t>
            </w:r>
          </w:p>
        </w:tc>
      </w:tr>
      <w:tr w:rsidR="002E4725" w:rsidRPr="00FA6353" w14:paraId="7F18BBA7" w14:textId="77777777" w:rsidTr="0070346A">
        <w:trPr>
          <w:trHeight w:val="298"/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FAA279" w14:textId="77777777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48,001 – 70,000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37BC05" w14:textId="67A1DD21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52,001</w:t>
            </w:r>
            <w:r w:rsidR="005D4B0E">
              <w:rPr>
                <w:sz w:val="20"/>
              </w:rPr>
              <w:t xml:space="preserve"> – </w:t>
            </w:r>
            <w:r w:rsidRPr="00FA6353">
              <w:rPr>
                <w:sz w:val="20"/>
              </w:rPr>
              <w:t>70,000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34F144" w14:textId="77777777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30%</w:t>
            </w:r>
          </w:p>
        </w:tc>
      </w:tr>
      <w:tr w:rsidR="002E4725" w:rsidRPr="00FA6353" w14:paraId="73AC0DFF" w14:textId="77777777" w:rsidTr="0070346A">
        <w:trPr>
          <w:trHeight w:val="234"/>
          <w:jc w:val="center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14:paraId="72E402E8" w14:textId="77777777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70,001+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</w:tcBorders>
            <w:vAlign w:val="center"/>
          </w:tcPr>
          <w:p w14:paraId="30506742" w14:textId="77777777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70,001+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9614E3" w14:textId="77777777" w:rsidR="002E4725" w:rsidRPr="00FA6353" w:rsidRDefault="002E4725" w:rsidP="00F226A6">
            <w:pPr>
              <w:spacing w:before="40" w:after="40"/>
              <w:rPr>
                <w:sz w:val="20"/>
              </w:rPr>
            </w:pPr>
            <w:r w:rsidRPr="00FA6353">
              <w:rPr>
                <w:sz w:val="20"/>
              </w:rPr>
              <w:t>33%</w:t>
            </w:r>
          </w:p>
        </w:tc>
      </w:tr>
    </w:tbl>
    <w:p w14:paraId="289B4F8C" w14:textId="77777777" w:rsidR="002E4725" w:rsidRPr="00F226A6" w:rsidRDefault="002E4725" w:rsidP="005B53D0">
      <w:pPr>
        <w:pStyle w:val="NoSpacing"/>
        <w:rPr>
          <w:sz w:val="20"/>
        </w:rPr>
      </w:pPr>
    </w:p>
    <w:p w14:paraId="3817439D" w14:textId="5D9E71E6" w:rsidR="000328EC" w:rsidRPr="00FA6353" w:rsidRDefault="00BE5BB3" w:rsidP="006E5AA6">
      <w:r w:rsidRPr="00FA6353">
        <w:t>T</w:t>
      </w:r>
      <w:r w:rsidR="000328EC" w:rsidRPr="00FA6353">
        <w:t>he Independent Earner Tax Credit</w:t>
      </w:r>
      <w:r w:rsidR="00AB3A3D">
        <w:t>, which is</w:t>
      </w:r>
      <w:r w:rsidR="003426C8">
        <w:t xml:space="preserve"> a maximum of</w:t>
      </w:r>
      <w:r w:rsidR="00AB3A3D">
        <w:t xml:space="preserve"> $520 a year</w:t>
      </w:r>
      <w:r w:rsidR="008C65E2">
        <w:t xml:space="preserve"> ($10 per week)</w:t>
      </w:r>
      <w:r w:rsidR="00AB3A3D">
        <w:t>,</w:t>
      </w:r>
      <w:r w:rsidRPr="00FA6353">
        <w:t xml:space="preserve"> will be </w:t>
      </w:r>
      <w:r w:rsidR="001C75C8">
        <w:t>discontinued</w:t>
      </w:r>
      <w:r w:rsidRPr="00FA6353">
        <w:t xml:space="preserve">.  It is currently available to individuals with </w:t>
      </w:r>
      <w:r w:rsidR="006E5AA6" w:rsidRPr="00FA6353">
        <w:t>taxable</w:t>
      </w:r>
      <w:r w:rsidRPr="00FA6353">
        <w:t xml:space="preserve"> income between $24,000 and $48,000 who are not eligible to receive benefits</w:t>
      </w:r>
      <w:r w:rsidR="00980FFE">
        <w:t>, New Zealand Superannuation</w:t>
      </w:r>
      <w:r w:rsidR="00AB3A3D">
        <w:t xml:space="preserve"> or Working for Families tax credits</w:t>
      </w:r>
      <w:r w:rsidRPr="00FA6353">
        <w:t xml:space="preserve">.  </w:t>
      </w:r>
    </w:p>
    <w:p w14:paraId="4F42C965" w14:textId="3EDB4527" w:rsidR="00E332E6" w:rsidRPr="00FA6353" w:rsidRDefault="000E2B94" w:rsidP="005B53D0">
      <w:pPr>
        <w:pStyle w:val="Heading2"/>
      </w:pPr>
      <w:r w:rsidRPr="00FA6353">
        <w:t xml:space="preserve">Why are </w:t>
      </w:r>
      <w:r w:rsidR="00520CD7">
        <w:t xml:space="preserve">the </w:t>
      </w:r>
      <w:r w:rsidRPr="00FA6353">
        <w:t>changes being made</w:t>
      </w:r>
      <w:r w:rsidR="00E332E6" w:rsidRPr="00FA6353">
        <w:t>?</w:t>
      </w:r>
    </w:p>
    <w:p w14:paraId="02CEC84A" w14:textId="66798267" w:rsidR="000E2B94" w:rsidRDefault="00790F1F" w:rsidP="00E332E6">
      <w:pPr>
        <w:rPr>
          <w:lang w:val="en-AU"/>
        </w:rPr>
      </w:pPr>
      <w:r>
        <w:rPr>
          <w:lang w:val="en-AU"/>
        </w:rPr>
        <w:t xml:space="preserve">The average wage has risen from $49,500 to $58,900 over the last seven years.  </w:t>
      </w:r>
      <w:r w:rsidR="000E2B94" w:rsidRPr="00FA6353">
        <w:rPr>
          <w:lang w:val="en-AU"/>
        </w:rPr>
        <w:t xml:space="preserve">As incomes rise, </w:t>
      </w:r>
      <w:r w:rsidR="00F120DC" w:rsidRPr="00FA6353">
        <w:rPr>
          <w:lang w:val="en-AU"/>
        </w:rPr>
        <w:t xml:space="preserve">the </w:t>
      </w:r>
      <w:r w:rsidR="000E2B94" w:rsidRPr="00FA6353">
        <w:rPr>
          <w:lang w:val="en-AU"/>
        </w:rPr>
        <w:t>marginal tax rates that individuals face also increase.  This weakens work incentives by reducing the rewards of extra work.</w:t>
      </w:r>
      <w:r w:rsidR="00415946" w:rsidRPr="00FA6353">
        <w:rPr>
          <w:lang w:val="en-AU"/>
        </w:rPr>
        <w:t xml:space="preserve">  </w:t>
      </w:r>
      <w:r w:rsidR="00F120DC" w:rsidRPr="00FA6353">
        <w:rPr>
          <w:lang w:val="en-AU"/>
        </w:rPr>
        <w:t>I</w:t>
      </w:r>
      <w:r w:rsidR="000E2B94" w:rsidRPr="00FA6353">
        <w:rPr>
          <w:lang w:val="en-AU"/>
        </w:rPr>
        <w:t>ncreasing tax thresholds</w:t>
      </w:r>
      <w:r w:rsidR="00F120DC" w:rsidRPr="00FA6353">
        <w:rPr>
          <w:lang w:val="en-AU"/>
        </w:rPr>
        <w:t xml:space="preserve"> provides greater rewards for low and middle income earners, and is</w:t>
      </w:r>
      <w:r w:rsidR="000E2B94" w:rsidRPr="00FA6353">
        <w:rPr>
          <w:lang w:val="en-AU"/>
        </w:rPr>
        <w:t xml:space="preserve"> expected </w:t>
      </w:r>
      <w:r w:rsidR="00F120DC" w:rsidRPr="00FA6353">
        <w:rPr>
          <w:lang w:val="en-AU"/>
        </w:rPr>
        <w:t xml:space="preserve">to </w:t>
      </w:r>
      <w:r w:rsidR="000E2B94" w:rsidRPr="00FA6353">
        <w:rPr>
          <w:lang w:val="en-AU"/>
        </w:rPr>
        <w:t xml:space="preserve">support long-run economic performance.  </w:t>
      </w:r>
    </w:p>
    <w:p w14:paraId="5F490164" w14:textId="66BF3223" w:rsidR="00AB3A3D" w:rsidRDefault="00AB3A3D" w:rsidP="00F226A6">
      <w:pPr>
        <w:keepLines/>
      </w:pPr>
      <w:r w:rsidRPr="00FA6353">
        <w:lastRenderedPageBreak/>
        <w:t>The increase of the $14,000 tax threshold will provide greater incentives for people to enter work; in particular, for those receiving a benefit.  The increase of the $48,000 tax threshold will provide greater incentives for people already in work to increase work hours</w:t>
      </w:r>
      <w:r>
        <w:t xml:space="preserve"> and earn more income</w:t>
      </w:r>
      <w:r w:rsidRPr="00FA6353">
        <w:t>.</w:t>
      </w:r>
    </w:p>
    <w:p w14:paraId="1F3282F6" w14:textId="534ABF78" w:rsidR="001C75C8" w:rsidRDefault="00A76FF8" w:rsidP="005B53D0">
      <w:pPr>
        <w:keepNext/>
      </w:pPr>
      <w:r w:rsidRPr="001D4542">
        <w:rPr>
          <w:b/>
        </w:rPr>
        <w:t xml:space="preserve">Table </w:t>
      </w:r>
      <w:r>
        <w:rPr>
          <w:b/>
        </w:rPr>
        <w:t>2</w:t>
      </w:r>
      <w:r>
        <w:t>:</w:t>
      </w:r>
      <w:r w:rsidRPr="000C6D7B">
        <w:t xml:space="preserve"> </w:t>
      </w:r>
      <w:r>
        <w:t>E</w:t>
      </w:r>
      <w:r w:rsidR="001C75C8">
        <w:t xml:space="preserve">xamples </w:t>
      </w:r>
      <w:r>
        <w:t>of</w:t>
      </w:r>
      <w:r w:rsidR="001C75C8">
        <w:t xml:space="preserve"> families with</w:t>
      </w:r>
      <w:r>
        <w:t>out</w:t>
      </w:r>
      <w:r w:rsidR="001C75C8">
        <w:t xml:space="preserve"> entitlement to Working for Families</w:t>
      </w:r>
    </w:p>
    <w:tbl>
      <w:tblPr>
        <w:tblStyle w:val="TableGrid"/>
        <w:tblW w:w="8585" w:type="dxa"/>
        <w:tblInd w:w="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1"/>
        <w:gridCol w:w="1843"/>
        <w:gridCol w:w="1555"/>
        <w:gridCol w:w="1592"/>
        <w:gridCol w:w="1814"/>
      </w:tblGrid>
      <w:tr w:rsidR="001C75C8" w:rsidRPr="005B53D0" w14:paraId="18407BF0" w14:textId="77777777" w:rsidTr="0070346A">
        <w:trPr>
          <w:trHeight w:val="20"/>
        </w:trPr>
        <w:tc>
          <w:tcPr>
            <w:tcW w:w="178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A7CB446" w14:textId="2F744275" w:rsidR="001C75C8" w:rsidRPr="005B53D0" w:rsidRDefault="001C75C8" w:rsidP="00F226A6">
            <w:pPr>
              <w:spacing w:before="40" w:after="40"/>
              <w:rPr>
                <w:b/>
                <w:sz w:val="20"/>
              </w:rPr>
            </w:pPr>
            <w:r w:rsidRPr="005B53D0">
              <w:rPr>
                <w:b/>
                <w:sz w:val="20"/>
              </w:rPr>
              <w:t>Primary income</w:t>
            </w:r>
            <w:r w:rsidR="005D6A96">
              <w:rPr>
                <w:b/>
                <w:sz w:val="20"/>
              </w:rPr>
              <w:t xml:space="preserve"> (annual)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1CC7DB" w14:textId="1A2640B2" w:rsidR="001C75C8" w:rsidRPr="005B53D0" w:rsidRDefault="001C75C8" w:rsidP="00F226A6">
            <w:pPr>
              <w:spacing w:before="40" w:after="40"/>
              <w:rPr>
                <w:b/>
                <w:sz w:val="20"/>
              </w:rPr>
            </w:pPr>
            <w:r w:rsidRPr="005B53D0">
              <w:rPr>
                <w:b/>
                <w:sz w:val="20"/>
              </w:rPr>
              <w:t>Secondary income</w:t>
            </w:r>
            <w:r w:rsidR="005D6A96">
              <w:rPr>
                <w:b/>
                <w:sz w:val="20"/>
              </w:rPr>
              <w:t xml:space="preserve"> (annual)</w:t>
            </w:r>
          </w:p>
        </w:tc>
        <w:tc>
          <w:tcPr>
            <w:tcW w:w="15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5604AF" w14:textId="47AD35CC" w:rsidR="001C75C8" w:rsidRPr="005B53D0" w:rsidRDefault="005D6A96" w:rsidP="00F226A6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Weekly t</w:t>
            </w:r>
            <w:r w:rsidRPr="005B53D0">
              <w:rPr>
                <w:b/>
                <w:sz w:val="20"/>
              </w:rPr>
              <w:t xml:space="preserve">ax </w:t>
            </w:r>
            <w:r w:rsidR="005B53D0">
              <w:rPr>
                <w:b/>
                <w:sz w:val="20"/>
              </w:rPr>
              <w:br/>
            </w:r>
            <w:r w:rsidR="001C75C8" w:rsidRPr="005B53D0">
              <w:rPr>
                <w:b/>
                <w:sz w:val="20"/>
              </w:rPr>
              <w:t>reduction</w:t>
            </w:r>
          </w:p>
        </w:tc>
        <w:tc>
          <w:tcPr>
            <w:tcW w:w="159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FE6E04" w14:textId="746A89D5" w:rsidR="001C75C8" w:rsidRPr="005B53D0" w:rsidRDefault="005D6A96" w:rsidP="00F226A6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Weekly </w:t>
            </w:r>
            <w:r w:rsidR="001C75C8" w:rsidRPr="005B53D0">
              <w:rPr>
                <w:b/>
                <w:sz w:val="20"/>
              </w:rPr>
              <w:t xml:space="preserve">IETC </w:t>
            </w:r>
            <w:r w:rsidR="005B53D0">
              <w:rPr>
                <w:b/>
                <w:sz w:val="20"/>
              </w:rPr>
              <w:br/>
            </w:r>
            <w:r w:rsidR="001C75C8" w:rsidRPr="005B53D0">
              <w:rPr>
                <w:b/>
                <w:sz w:val="20"/>
              </w:rPr>
              <w:t>change</w:t>
            </w:r>
          </w:p>
        </w:tc>
        <w:tc>
          <w:tcPr>
            <w:tcW w:w="181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7DE82B" w14:textId="5AF5A1C8" w:rsidR="001C75C8" w:rsidRPr="005B53D0" w:rsidRDefault="008C65E2" w:rsidP="00F226A6">
            <w:pPr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Weekly</w:t>
            </w:r>
            <w:r w:rsidR="005B53D0">
              <w:rPr>
                <w:b/>
                <w:sz w:val="20"/>
              </w:rPr>
              <w:br/>
            </w:r>
            <w:r w:rsidR="001C75C8" w:rsidRPr="005B53D0">
              <w:rPr>
                <w:b/>
                <w:sz w:val="20"/>
              </w:rPr>
              <w:t>income change</w:t>
            </w:r>
          </w:p>
        </w:tc>
      </w:tr>
      <w:tr w:rsidR="001C75C8" w:rsidRPr="005B53D0" w14:paraId="05A6C92D" w14:textId="77777777" w:rsidTr="0070346A">
        <w:trPr>
          <w:trHeight w:val="20"/>
        </w:trPr>
        <w:tc>
          <w:tcPr>
            <w:tcW w:w="1781" w:type="dxa"/>
            <w:tcBorders>
              <w:top w:val="single" w:sz="4" w:space="0" w:color="808080" w:themeColor="background1" w:themeShade="80"/>
            </w:tcBorders>
          </w:tcPr>
          <w:p w14:paraId="7CDF5BA5" w14:textId="0680AFD1" w:rsidR="001C75C8" w:rsidRPr="005B53D0" w:rsidRDefault="00301037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$33,000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</w:tcBorders>
          </w:tcPr>
          <w:p w14:paraId="1FCBCD01" w14:textId="77777777" w:rsidR="001C75C8" w:rsidRPr="005B53D0" w:rsidRDefault="001C75C8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$33,000</w:t>
            </w:r>
          </w:p>
        </w:tc>
        <w:tc>
          <w:tcPr>
            <w:tcW w:w="1555" w:type="dxa"/>
            <w:tcBorders>
              <w:top w:val="single" w:sz="4" w:space="0" w:color="808080" w:themeColor="background1" w:themeShade="80"/>
            </w:tcBorders>
          </w:tcPr>
          <w:p w14:paraId="3B1F691A" w14:textId="1C4C6B39" w:rsidR="001C75C8" w:rsidRPr="005B53D0" w:rsidRDefault="001C75C8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$</w:t>
            </w:r>
            <w:r w:rsidR="005D6A96">
              <w:rPr>
                <w:sz w:val="20"/>
              </w:rPr>
              <w:t>21.54</w:t>
            </w:r>
          </w:p>
        </w:tc>
        <w:tc>
          <w:tcPr>
            <w:tcW w:w="1592" w:type="dxa"/>
            <w:tcBorders>
              <w:top w:val="single" w:sz="4" w:space="0" w:color="808080" w:themeColor="background1" w:themeShade="80"/>
            </w:tcBorders>
          </w:tcPr>
          <w:p w14:paraId="3F0FD29A" w14:textId="1E0A4357" w:rsidR="001C75C8" w:rsidRPr="005B53D0" w:rsidRDefault="001C75C8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-$</w:t>
            </w:r>
            <w:r w:rsidR="005D6A96">
              <w:rPr>
                <w:sz w:val="20"/>
              </w:rPr>
              <w:t>20</w:t>
            </w:r>
            <w:r w:rsidR="00CB19BD">
              <w:rPr>
                <w:sz w:val="20"/>
              </w:rPr>
              <w:t>.00</w:t>
            </w:r>
          </w:p>
        </w:tc>
        <w:tc>
          <w:tcPr>
            <w:tcW w:w="1814" w:type="dxa"/>
            <w:tcBorders>
              <w:top w:val="single" w:sz="4" w:space="0" w:color="808080" w:themeColor="background1" w:themeShade="80"/>
            </w:tcBorders>
          </w:tcPr>
          <w:p w14:paraId="2B6610FF" w14:textId="3FBEEC1B" w:rsidR="001C75C8" w:rsidRPr="005B53D0" w:rsidRDefault="001C75C8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$</w:t>
            </w:r>
            <w:r w:rsidR="008C65E2">
              <w:rPr>
                <w:sz w:val="20"/>
              </w:rPr>
              <w:t>1.54</w:t>
            </w:r>
            <w:r w:rsidRPr="005B53D0">
              <w:rPr>
                <w:sz w:val="20"/>
              </w:rPr>
              <w:t xml:space="preserve"> increase</w:t>
            </w:r>
          </w:p>
        </w:tc>
      </w:tr>
      <w:tr w:rsidR="001C75C8" w:rsidRPr="005B53D0" w14:paraId="00F3B608" w14:textId="77777777" w:rsidTr="0070346A">
        <w:trPr>
          <w:trHeight w:val="20"/>
        </w:trPr>
        <w:tc>
          <w:tcPr>
            <w:tcW w:w="1781" w:type="dxa"/>
          </w:tcPr>
          <w:p w14:paraId="6A808236" w14:textId="53D2D71B" w:rsidR="001C75C8" w:rsidRPr="005B53D0" w:rsidRDefault="001C75C8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$</w:t>
            </w:r>
            <w:r w:rsidR="00301037" w:rsidRPr="005B53D0">
              <w:rPr>
                <w:sz w:val="20"/>
              </w:rPr>
              <w:t>60</w:t>
            </w:r>
            <w:r w:rsidRPr="005B53D0">
              <w:rPr>
                <w:sz w:val="20"/>
              </w:rPr>
              <w:t>,000</w:t>
            </w:r>
          </w:p>
        </w:tc>
        <w:tc>
          <w:tcPr>
            <w:tcW w:w="1843" w:type="dxa"/>
          </w:tcPr>
          <w:p w14:paraId="5F103AAA" w14:textId="7B9A12C0" w:rsidR="001C75C8" w:rsidRPr="005B53D0" w:rsidRDefault="00301037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$60,000</w:t>
            </w:r>
          </w:p>
        </w:tc>
        <w:tc>
          <w:tcPr>
            <w:tcW w:w="1555" w:type="dxa"/>
          </w:tcPr>
          <w:p w14:paraId="10BD048C" w14:textId="1A7494EA" w:rsidR="001C75C8" w:rsidRPr="005B53D0" w:rsidRDefault="001C75C8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$</w:t>
            </w:r>
            <w:r w:rsidR="005D6A96">
              <w:rPr>
                <w:sz w:val="20"/>
              </w:rPr>
              <w:t>40.77</w:t>
            </w:r>
          </w:p>
        </w:tc>
        <w:tc>
          <w:tcPr>
            <w:tcW w:w="1592" w:type="dxa"/>
          </w:tcPr>
          <w:p w14:paraId="3E64160C" w14:textId="77777777" w:rsidR="001C75C8" w:rsidRPr="005B53D0" w:rsidRDefault="001C75C8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n/a</w:t>
            </w:r>
          </w:p>
        </w:tc>
        <w:tc>
          <w:tcPr>
            <w:tcW w:w="1814" w:type="dxa"/>
          </w:tcPr>
          <w:p w14:paraId="66DB2A54" w14:textId="058184F7" w:rsidR="001C75C8" w:rsidRPr="005B53D0" w:rsidRDefault="001C75C8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$</w:t>
            </w:r>
            <w:r w:rsidR="008C65E2">
              <w:rPr>
                <w:sz w:val="20"/>
              </w:rPr>
              <w:t>40.77</w:t>
            </w:r>
            <w:r w:rsidRPr="005B53D0">
              <w:rPr>
                <w:sz w:val="20"/>
              </w:rPr>
              <w:t xml:space="preserve"> increase</w:t>
            </w:r>
          </w:p>
        </w:tc>
      </w:tr>
      <w:tr w:rsidR="001C75C8" w:rsidRPr="005B53D0" w14:paraId="497814F1" w14:textId="77777777" w:rsidTr="0070346A">
        <w:trPr>
          <w:trHeight w:val="20"/>
        </w:trPr>
        <w:tc>
          <w:tcPr>
            <w:tcW w:w="1781" w:type="dxa"/>
          </w:tcPr>
          <w:p w14:paraId="209AF865" w14:textId="660093D5" w:rsidR="001C75C8" w:rsidRPr="005B53D0" w:rsidRDefault="00301037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$60,000</w:t>
            </w:r>
          </w:p>
        </w:tc>
        <w:tc>
          <w:tcPr>
            <w:tcW w:w="1843" w:type="dxa"/>
          </w:tcPr>
          <w:p w14:paraId="743809F7" w14:textId="54A197B0" w:rsidR="001C75C8" w:rsidRPr="005B53D0" w:rsidRDefault="00301037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-</w:t>
            </w:r>
          </w:p>
        </w:tc>
        <w:tc>
          <w:tcPr>
            <w:tcW w:w="1555" w:type="dxa"/>
          </w:tcPr>
          <w:p w14:paraId="3B6DFD55" w14:textId="54D6B4CC" w:rsidR="001C75C8" w:rsidRPr="005B53D0" w:rsidRDefault="001C75C8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$</w:t>
            </w:r>
            <w:r w:rsidR="005D6A96">
              <w:rPr>
                <w:sz w:val="20"/>
              </w:rPr>
              <w:t>20.38</w:t>
            </w:r>
          </w:p>
        </w:tc>
        <w:tc>
          <w:tcPr>
            <w:tcW w:w="1592" w:type="dxa"/>
          </w:tcPr>
          <w:p w14:paraId="059C83B1" w14:textId="77777777" w:rsidR="001C75C8" w:rsidRPr="005B53D0" w:rsidRDefault="001C75C8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n/a</w:t>
            </w:r>
          </w:p>
        </w:tc>
        <w:tc>
          <w:tcPr>
            <w:tcW w:w="1814" w:type="dxa"/>
          </w:tcPr>
          <w:p w14:paraId="7EDB988B" w14:textId="72F71596" w:rsidR="001C75C8" w:rsidRPr="005B53D0" w:rsidRDefault="001C75C8" w:rsidP="00F226A6">
            <w:pPr>
              <w:spacing w:before="40" w:after="40"/>
              <w:rPr>
                <w:sz w:val="20"/>
              </w:rPr>
            </w:pPr>
            <w:r w:rsidRPr="005B53D0">
              <w:rPr>
                <w:sz w:val="20"/>
              </w:rPr>
              <w:t>$</w:t>
            </w:r>
            <w:r w:rsidR="008C65E2">
              <w:rPr>
                <w:sz w:val="20"/>
              </w:rPr>
              <w:t>20.38</w:t>
            </w:r>
            <w:r w:rsidRPr="005B53D0">
              <w:rPr>
                <w:sz w:val="20"/>
              </w:rPr>
              <w:t xml:space="preserve"> increase</w:t>
            </w:r>
          </w:p>
        </w:tc>
      </w:tr>
    </w:tbl>
    <w:p w14:paraId="1BE054A0" w14:textId="77777777" w:rsidR="00A70383" w:rsidRDefault="00A70383" w:rsidP="005B53D0">
      <w:pPr>
        <w:pStyle w:val="NoSpacing"/>
      </w:pPr>
    </w:p>
    <w:p w14:paraId="4FF35A28" w14:textId="13FAD52C" w:rsidR="00AB3A3D" w:rsidRDefault="00AB3A3D" w:rsidP="00AB3A3D">
      <w:r w:rsidRPr="00FA6353">
        <w:t xml:space="preserve">The Independent Earner Tax Credit has </w:t>
      </w:r>
      <w:r w:rsidR="00790F1F">
        <w:t>had less uptake</w:t>
      </w:r>
      <w:r w:rsidR="00890E53">
        <w:t xml:space="preserve"> than expected.</w:t>
      </w:r>
      <w:r w:rsidRPr="00FA6353">
        <w:t xml:space="preserve">  </w:t>
      </w:r>
      <w:r w:rsidR="00027CCE">
        <w:t>Of those individuals who are eligible to receive it, o</w:t>
      </w:r>
      <w:r w:rsidR="00A94A0B">
        <w:t>nly 32</w:t>
      </w:r>
      <w:r w:rsidR="005D6A96">
        <w:t xml:space="preserve"> per cent </w:t>
      </w:r>
      <w:r w:rsidR="00027CCE">
        <w:t>claim it during the year.</w:t>
      </w:r>
    </w:p>
    <w:p w14:paraId="6236272A" w14:textId="698DC188" w:rsidR="00AB3A3D" w:rsidRDefault="00AB3A3D" w:rsidP="00AB3A3D">
      <w:r w:rsidRPr="00FA6353">
        <w:t xml:space="preserve">Individuals who </w:t>
      </w:r>
      <w:r w:rsidR="00A94A0B">
        <w:t xml:space="preserve">currently </w:t>
      </w:r>
      <w:r w:rsidRPr="00FA6353">
        <w:t>receive the tax credit will be fully compensated by the increase in the $14,000 tax threshold</w:t>
      </w:r>
      <w:r w:rsidR="00EF1E32">
        <w:t xml:space="preserve"> to $22,000</w:t>
      </w:r>
      <w:r w:rsidRPr="00FA6353">
        <w:t xml:space="preserve">.  </w:t>
      </w:r>
      <w:r w:rsidR="00021EE3">
        <w:t>Discontinuing</w:t>
      </w:r>
      <w:r w:rsidR="00021EE3" w:rsidRPr="00FA6353">
        <w:t xml:space="preserve"> </w:t>
      </w:r>
      <w:r w:rsidRPr="00FA6353">
        <w:t>the tax credit will help to simplify the system, as individuals will not have to file a tax return at year-end or use a different tax code to claim it.</w:t>
      </w:r>
    </w:p>
    <w:p w14:paraId="77DB1DAE" w14:textId="67B8E642" w:rsidR="00A94A0B" w:rsidRPr="00FA6353" w:rsidRDefault="00A94A0B" w:rsidP="00AB3A3D">
      <w:r>
        <w:t xml:space="preserve">For example, a person on </w:t>
      </w:r>
      <w:r w:rsidR="005D6A96">
        <w:t xml:space="preserve">an annual income of </w:t>
      </w:r>
      <w:r>
        <w:t xml:space="preserve">$33,000 who currently qualifies for the Independent Earner Tax </w:t>
      </w:r>
      <w:r w:rsidR="00B01A0A">
        <w:t>C</w:t>
      </w:r>
      <w:r>
        <w:t xml:space="preserve">redit </w:t>
      </w:r>
      <w:r w:rsidR="006743E0">
        <w:t>will</w:t>
      </w:r>
      <w:r>
        <w:t xml:space="preserve"> no longer receive the $</w:t>
      </w:r>
      <w:r w:rsidR="005D6A96">
        <w:t>1</w:t>
      </w:r>
      <w:r>
        <w:t>0</w:t>
      </w:r>
      <w:r w:rsidR="005D6A96">
        <w:t xml:space="preserve"> per week</w:t>
      </w:r>
      <w:r>
        <w:t xml:space="preserve"> tax credit </w:t>
      </w:r>
      <w:r w:rsidR="00027CCE">
        <w:t>from 1 April 2018, and</w:t>
      </w:r>
      <w:r>
        <w:t xml:space="preserve"> </w:t>
      </w:r>
      <w:r w:rsidR="006743E0">
        <w:t>will</w:t>
      </w:r>
      <w:r>
        <w:t xml:space="preserve"> pay $</w:t>
      </w:r>
      <w:r w:rsidR="005D6A96">
        <w:t>10.77</w:t>
      </w:r>
      <w:r>
        <w:t xml:space="preserve"> </w:t>
      </w:r>
      <w:r w:rsidR="005D626A">
        <w:t xml:space="preserve">less </w:t>
      </w:r>
      <w:r w:rsidR="005D6A96">
        <w:t xml:space="preserve">per week </w:t>
      </w:r>
      <w:r>
        <w:t>in income tax in the year,</w:t>
      </w:r>
      <w:r w:rsidR="00027CCE">
        <w:t xml:space="preserve"> resulting in an increase in after-</w:t>
      </w:r>
      <w:r>
        <w:t>tax income of $</w:t>
      </w:r>
      <w:r w:rsidR="005D6A96">
        <w:t>0.77 per week</w:t>
      </w:r>
      <w:r>
        <w:t>.</w:t>
      </w:r>
      <w:r w:rsidR="00F01FE4">
        <w:t xml:space="preserve"> This example does not include other elements of the Family Incomes Package, such as changes to the Accommodation Supplement rates.  </w:t>
      </w:r>
    </w:p>
    <w:p w14:paraId="205155CD" w14:textId="69C3422E" w:rsidR="00BF6409" w:rsidRPr="00FA6353" w:rsidRDefault="000E2B94" w:rsidP="005B53D0">
      <w:pPr>
        <w:pStyle w:val="Heading2"/>
      </w:pPr>
      <w:r w:rsidRPr="00FA6353">
        <w:t>More information</w:t>
      </w:r>
    </w:p>
    <w:p w14:paraId="60497E79" w14:textId="382A306C" w:rsidR="00A94A0B" w:rsidRPr="00FA6353" w:rsidRDefault="00A94A0B" w:rsidP="000E2B94">
      <w:pPr>
        <w:rPr>
          <w:lang w:val="en-AU"/>
        </w:rPr>
      </w:pPr>
      <w:r>
        <w:rPr>
          <w:lang w:val="en-AU"/>
        </w:rPr>
        <w:t>The changes to the tax thresholds will have impacts on how provisional tax payments are calculated for the 2018</w:t>
      </w:r>
      <w:r w:rsidR="005D626A">
        <w:rPr>
          <w:lang w:val="en-AU"/>
        </w:rPr>
        <w:t>-</w:t>
      </w:r>
      <w:r>
        <w:rPr>
          <w:lang w:val="en-AU"/>
        </w:rPr>
        <w:t>19 tax year and other taxes that are linked to the personal income tax thresholds.</w:t>
      </w:r>
    </w:p>
    <w:p w14:paraId="7D179E09" w14:textId="541F8CF3" w:rsidR="00F120DC" w:rsidRDefault="003C4C0E" w:rsidP="00F226A6">
      <w:pPr>
        <w:pStyle w:val="BulletList"/>
        <w:ind w:left="568"/>
        <w:rPr>
          <w:lang w:val="en-AU"/>
        </w:rPr>
      </w:pPr>
      <w:r w:rsidRPr="00FA6353">
        <w:rPr>
          <w:lang w:val="en-AU"/>
        </w:rPr>
        <w:t>The uplift factor for provisional taxpayers using the uplift method will temporarily be reduced from 105</w:t>
      </w:r>
      <w:r w:rsidR="005D6A96">
        <w:rPr>
          <w:lang w:val="en-AU"/>
        </w:rPr>
        <w:t xml:space="preserve"> per cent</w:t>
      </w:r>
      <w:r w:rsidR="005D6A96" w:rsidRPr="00FA6353">
        <w:rPr>
          <w:lang w:val="en-AU"/>
        </w:rPr>
        <w:t xml:space="preserve"> </w:t>
      </w:r>
      <w:r w:rsidRPr="00FA6353">
        <w:rPr>
          <w:lang w:val="en-AU"/>
        </w:rPr>
        <w:t>to 100</w:t>
      </w:r>
      <w:r w:rsidR="005D6A96">
        <w:rPr>
          <w:lang w:val="en-AU"/>
        </w:rPr>
        <w:t xml:space="preserve"> per cent</w:t>
      </w:r>
      <w:r w:rsidR="005D6A96" w:rsidRPr="00FA6353">
        <w:rPr>
          <w:lang w:val="en-AU"/>
        </w:rPr>
        <w:t xml:space="preserve"> </w:t>
      </w:r>
      <w:r w:rsidRPr="00FA6353">
        <w:rPr>
          <w:lang w:val="en-AU"/>
        </w:rPr>
        <w:t>(zero uplift) to ensure those taxpayers benefit from the tax changes during the year.</w:t>
      </w:r>
    </w:p>
    <w:p w14:paraId="263185EE" w14:textId="1D003F11" w:rsidR="00A94A0B" w:rsidRPr="00F226A6" w:rsidRDefault="00A94A0B" w:rsidP="00F226A6">
      <w:pPr>
        <w:pStyle w:val="BulletList"/>
        <w:ind w:left="568" w:right="-285"/>
        <w:rPr>
          <w:spacing w:val="-2"/>
          <w:lang w:val="en-AU"/>
        </w:rPr>
      </w:pPr>
      <w:r w:rsidRPr="00F226A6">
        <w:rPr>
          <w:spacing w:val="-2"/>
          <w:lang w:val="en-AU"/>
        </w:rPr>
        <w:t>Extra pay thresholds will adjust to reflect the change in income tax thresholds</w:t>
      </w:r>
      <w:r w:rsidR="00A946F3" w:rsidRPr="00F226A6">
        <w:rPr>
          <w:spacing w:val="-2"/>
          <w:lang w:val="en-AU"/>
        </w:rPr>
        <w:t>.</w:t>
      </w:r>
    </w:p>
    <w:p w14:paraId="53BA4A0C" w14:textId="7E467504" w:rsidR="00A94A0B" w:rsidRDefault="00A94A0B" w:rsidP="00F226A6">
      <w:pPr>
        <w:pStyle w:val="BulletList"/>
        <w:ind w:left="568"/>
        <w:rPr>
          <w:lang w:val="en-AU"/>
        </w:rPr>
      </w:pPr>
      <w:r>
        <w:rPr>
          <w:lang w:val="en-AU"/>
        </w:rPr>
        <w:t xml:space="preserve">Fringe </w:t>
      </w:r>
      <w:r w:rsidR="000C6442">
        <w:rPr>
          <w:lang w:val="en-AU"/>
        </w:rPr>
        <w:t xml:space="preserve">benefit </w:t>
      </w:r>
      <w:r>
        <w:rPr>
          <w:lang w:val="en-AU"/>
        </w:rPr>
        <w:t>tax thresholds will adjust to reflect the change in income tax thresholds</w:t>
      </w:r>
      <w:r w:rsidR="00A946F3">
        <w:rPr>
          <w:lang w:val="en-AU"/>
        </w:rPr>
        <w:t>.</w:t>
      </w:r>
    </w:p>
    <w:p w14:paraId="15B77DA3" w14:textId="7E7F4DE1" w:rsidR="00A94A0B" w:rsidRPr="00FA6353" w:rsidRDefault="00A946F3" w:rsidP="00F226A6">
      <w:pPr>
        <w:pStyle w:val="BulletList"/>
        <w:ind w:left="568"/>
        <w:rPr>
          <w:lang w:val="en-AU"/>
        </w:rPr>
      </w:pPr>
      <w:r>
        <w:rPr>
          <w:lang w:val="en-AU"/>
        </w:rPr>
        <w:t>Individuals</w:t>
      </w:r>
      <w:r w:rsidR="00A94A0B">
        <w:rPr>
          <w:lang w:val="en-AU"/>
        </w:rPr>
        <w:t xml:space="preserve"> may need to update their </w:t>
      </w:r>
      <w:r w:rsidR="003426C8">
        <w:rPr>
          <w:lang w:val="en-AU"/>
        </w:rPr>
        <w:t>prescribed investor</w:t>
      </w:r>
      <w:r w:rsidR="00A94A0B">
        <w:rPr>
          <w:lang w:val="en-AU"/>
        </w:rPr>
        <w:t xml:space="preserve"> rate (PIR) with their bank or financial institution if the change </w:t>
      </w:r>
      <w:r w:rsidR="003426C8">
        <w:rPr>
          <w:lang w:val="en-AU"/>
        </w:rPr>
        <w:t>in</w:t>
      </w:r>
      <w:r w:rsidR="00A94A0B">
        <w:rPr>
          <w:lang w:val="en-AU"/>
        </w:rPr>
        <w:t xml:space="preserve"> threshold</w:t>
      </w:r>
      <w:r w:rsidR="003426C8">
        <w:rPr>
          <w:lang w:val="en-AU"/>
        </w:rPr>
        <w:t>s</w:t>
      </w:r>
      <w:r w:rsidR="00A94A0B">
        <w:rPr>
          <w:lang w:val="en-AU"/>
        </w:rPr>
        <w:t xml:space="preserve"> mean</w:t>
      </w:r>
      <w:r w:rsidR="005679C8">
        <w:rPr>
          <w:lang w:val="en-AU"/>
        </w:rPr>
        <w:t>s</w:t>
      </w:r>
      <w:r w:rsidR="00A94A0B">
        <w:rPr>
          <w:lang w:val="en-AU"/>
        </w:rPr>
        <w:t xml:space="preserve"> </w:t>
      </w:r>
      <w:r>
        <w:rPr>
          <w:lang w:val="en-AU"/>
        </w:rPr>
        <w:t xml:space="preserve">that </w:t>
      </w:r>
      <w:r w:rsidR="00A94A0B">
        <w:rPr>
          <w:lang w:val="en-AU"/>
        </w:rPr>
        <w:t xml:space="preserve">they face a </w:t>
      </w:r>
      <w:r w:rsidR="003426C8">
        <w:rPr>
          <w:lang w:val="en-AU"/>
        </w:rPr>
        <w:t>lower</w:t>
      </w:r>
      <w:r w:rsidR="00A94A0B">
        <w:rPr>
          <w:lang w:val="en-AU"/>
        </w:rPr>
        <w:t xml:space="preserve"> marginal tax rate.</w:t>
      </w:r>
    </w:p>
    <w:p w14:paraId="4B7A5D4D" w14:textId="1A2C8E2C" w:rsidR="003C4C0E" w:rsidRPr="00FA6353" w:rsidRDefault="003C4C0E" w:rsidP="00F226A6">
      <w:pPr>
        <w:pStyle w:val="BulletList"/>
        <w:ind w:left="568"/>
        <w:rPr>
          <w:lang w:val="en-AU"/>
        </w:rPr>
      </w:pPr>
      <w:r w:rsidRPr="00FA6353">
        <w:rPr>
          <w:lang w:val="en-AU"/>
        </w:rPr>
        <w:t xml:space="preserve">The tax changes will not affect the </w:t>
      </w:r>
      <w:r w:rsidR="00B01A0A">
        <w:rPr>
          <w:lang w:val="en-AU"/>
        </w:rPr>
        <w:t>S</w:t>
      </w:r>
      <w:r w:rsidRPr="00FA6353">
        <w:rPr>
          <w:lang w:val="en-AU"/>
        </w:rPr>
        <w:t xml:space="preserve">tudent </w:t>
      </w:r>
      <w:r w:rsidR="00B01A0A">
        <w:rPr>
          <w:lang w:val="en-AU"/>
        </w:rPr>
        <w:t>A</w:t>
      </w:r>
      <w:r w:rsidRPr="00FA6353">
        <w:rPr>
          <w:lang w:val="en-AU"/>
        </w:rPr>
        <w:t>llowance payment rate</w:t>
      </w:r>
      <w:r w:rsidR="00A94A0B">
        <w:rPr>
          <w:lang w:val="en-AU"/>
        </w:rPr>
        <w:t xml:space="preserve"> or the main benefit rates</w:t>
      </w:r>
      <w:r w:rsidRPr="00FA6353">
        <w:rPr>
          <w:lang w:val="en-AU"/>
        </w:rPr>
        <w:t>.</w:t>
      </w:r>
    </w:p>
    <w:sectPr w:rsidR="003C4C0E" w:rsidRPr="00FA6353" w:rsidSect="00F22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701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EC629" w14:textId="77777777" w:rsidR="000328EC" w:rsidRDefault="000328EC" w:rsidP="00DA24B8">
      <w:r>
        <w:separator/>
      </w:r>
    </w:p>
  </w:endnote>
  <w:endnote w:type="continuationSeparator" w:id="0">
    <w:p w14:paraId="3591EA99" w14:textId="77777777" w:rsidR="000328EC" w:rsidRDefault="000328EC" w:rsidP="00DA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5DA23" w14:textId="77777777" w:rsidR="00A339E5" w:rsidRDefault="00A339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AEA3B" w14:textId="2324DC41" w:rsidR="008D4542" w:rsidRPr="005B53D0" w:rsidRDefault="00C30198" w:rsidP="005B53D0">
    <w:pPr>
      <w:tabs>
        <w:tab w:val="center" w:pos="4253"/>
        <w:tab w:val="right" w:pos="8505"/>
      </w:tabs>
      <w:jc w:val="right"/>
      <w:rPr>
        <w:sz w:val="20"/>
        <w:szCs w:val="20"/>
      </w:rPr>
    </w:pPr>
    <w:r w:rsidRPr="005B53D0">
      <w:rPr>
        <w:sz w:val="20"/>
        <w:szCs w:val="20"/>
      </w:rPr>
      <w:fldChar w:fldCharType="begin"/>
    </w:r>
    <w:r w:rsidR="008D4542" w:rsidRPr="005B53D0">
      <w:rPr>
        <w:sz w:val="20"/>
        <w:szCs w:val="20"/>
      </w:rPr>
      <w:instrText xml:space="preserve"> PAGE   \* MERGEFORMAT </w:instrText>
    </w:r>
    <w:r w:rsidRPr="005B53D0">
      <w:rPr>
        <w:sz w:val="20"/>
        <w:szCs w:val="20"/>
      </w:rPr>
      <w:fldChar w:fldCharType="separate"/>
    </w:r>
    <w:r w:rsidR="001E4FC5">
      <w:rPr>
        <w:noProof/>
        <w:sz w:val="20"/>
        <w:szCs w:val="20"/>
      </w:rPr>
      <w:t>1</w:t>
    </w:r>
    <w:r w:rsidRPr="005B53D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26046" w14:textId="77777777" w:rsidR="00A339E5" w:rsidRDefault="00A339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DF524" w14:textId="77777777" w:rsidR="000328EC" w:rsidRDefault="000328EC" w:rsidP="00DA24B8">
      <w:r>
        <w:separator/>
      </w:r>
    </w:p>
  </w:footnote>
  <w:footnote w:type="continuationSeparator" w:id="0">
    <w:p w14:paraId="51A9B2F8" w14:textId="77777777" w:rsidR="000328EC" w:rsidRDefault="000328EC" w:rsidP="00DA2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E9891" w14:textId="77777777" w:rsidR="00A339E5" w:rsidRDefault="00A339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F8A0F" w14:textId="77777777" w:rsidR="00A339E5" w:rsidRDefault="00A339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7F011" w14:textId="77777777" w:rsidR="00A339E5" w:rsidRDefault="00A339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338B"/>
    <w:multiLevelType w:val="hybridMultilevel"/>
    <w:tmpl w:val="49521C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F5454"/>
    <w:multiLevelType w:val="hybridMultilevel"/>
    <w:tmpl w:val="B68E04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B66B9"/>
    <w:multiLevelType w:val="multilevel"/>
    <w:tmpl w:val="D286D936"/>
    <w:lvl w:ilvl="0">
      <w:start w:val="2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3">
    <w:nsid w:val="42C422BC"/>
    <w:multiLevelType w:val="hybridMultilevel"/>
    <w:tmpl w:val="A942E7DA"/>
    <w:lvl w:ilvl="0" w:tplc="1A34AF5E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37E94"/>
    <w:multiLevelType w:val="hybridMultilevel"/>
    <w:tmpl w:val="6E8082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80082"/>
    <w:multiLevelType w:val="hybridMultilevel"/>
    <w:tmpl w:val="384AB9AC"/>
    <w:lvl w:ilvl="0" w:tplc="B38A25F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B1F72"/>
    <w:multiLevelType w:val="hybridMultilevel"/>
    <w:tmpl w:val="969A118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65556"/>
    <w:multiLevelType w:val="hybridMultilevel"/>
    <w:tmpl w:val="15884E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EC"/>
    <w:rsid w:val="00012963"/>
    <w:rsid w:val="00021E7F"/>
    <w:rsid w:val="00021EE3"/>
    <w:rsid w:val="00022327"/>
    <w:rsid w:val="00027CCE"/>
    <w:rsid w:val="000328EC"/>
    <w:rsid w:val="000443A0"/>
    <w:rsid w:val="000447B5"/>
    <w:rsid w:val="00051E2B"/>
    <w:rsid w:val="0006491E"/>
    <w:rsid w:val="000651EC"/>
    <w:rsid w:val="0009131A"/>
    <w:rsid w:val="000935C7"/>
    <w:rsid w:val="00096830"/>
    <w:rsid w:val="000A2BBB"/>
    <w:rsid w:val="000C16A4"/>
    <w:rsid w:val="000C3826"/>
    <w:rsid w:val="000C38A0"/>
    <w:rsid w:val="000C6442"/>
    <w:rsid w:val="000D2BEE"/>
    <w:rsid w:val="000D4C67"/>
    <w:rsid w:val="000E2B94"/>
    <w:rsid w:val="00114937"/>
    <w:rsid w:val="00175E4A"/>
    <w:rsid w:val="00194BC7"/>
    <w:rsid w:val="001A3028"/>
    <w:rsid w:val="001B0F22"/>
    <w:rsid w:val="001C75C8"/>
    <w:rsid w:val="001E4FC5"/>
    <w:rsid w:val="002236FF"/>
    <w:rsid w:val="0026125D"/>
    <w:rsid w:val="0028187C"/>
    <w:rsid w:val="00290A46"/>
    <w:rsid w:val="002928C2"/>
    <w:rsid w:val="002B56EC"/>
    <w:rsid w:val="002C49DA"/>
    <w:rsid w:val="002E4725"/>
    <w:rsid w:val="00301037"/>
    <w:rsid w:val="003426C8"/>
    <w:rsid w:val="00355D83"/>
    <w:rsid w:val="003746BF"/>
    <w:rsid w:val="00391CEC"/>
    <w:rsid w:val="003C4C0E"/>
    <w:rsid w:val="003D7B1B"/>
    <w:rsid w:val="003F29DB"/>
    <w:rsid w:val="00415946"/>
    <w:rsid w:val="004550F4"/>
    <w:rsid w:val="00465FC5"/>
    <w:rsid w:val="00481ECF"/>
    <w:rsid w:val="00491B5F"/>
    <w:rsid w:val="004C7AE3"/>
    <w:rsid w:val="004D0FD3"/>
    <w:rsid w:val="0050791C"/>
    <w:rsid w:val="00520CD7"/>
    <w:rsid w:val="00526D4E"/>
    <w:rsid w:val="0054742C"/>
    <w:rsid w:val="005547EC"/>
    <w:rsid w:val="00557C1E"/>
    <w:rsid w:val="00564710"/>
    <w:rsid w:val="005679C8"/>
    <w:rsid w:val="005852F0"/>
    <w:rsid w:val="005A7938"/>
    <w:rsid w:val="005B0915"/>
    <w:rsid w:val="005B53D0"/>
    <w:rsid w:val="005C2880"/>
    <w:rsid w:val="005D4B0E"/>
    <w:rsid w:val="005D626A"/>
    <w:rsid w:val="005D6A96"/>
    <w:rsid w:val="005F5170"/>
    <w:rsid w:val="00620D25"/>
    <w:rsid w:val="006743E0"/>
    <w:rsid w:val="00675E8B"/>
    <w:rsid w:val="00677908"/>
    <w:rsid w:val="00692B77"/>
    <w:rsid w:val="006B41C7"/>
    <w:rsid w:val="006C66F8"/>
    <w:rsid w:val="006C7A0B"/>
    <w:rsid w:val="006E5AA6"/>
    <w:rsid w:val="00700AA3"/>
    <w:rsid w:val="0070346A"/>
    <w:rsid w:val="0071475C"/>
    <w:rsid w:val="00730CF0"/>
    <w:rsid w:val="007458C6"/>
    <w:rsid w:val="007523CC"/>
    <w:rsid w:val="00777A67"/>
    <w:rsid w:val="0078668B"/>
    <w:rsid w:val="00790F1F"/>
    <w:rsid w:val="007A0E41"/>
    <w:rsid w:val="007D6152"/>
    <w:rsid w:val="007F5A17"/>
    <w:rsid w:val="007F5C5E"/>
    <w:rsid w:val="00805913"/>
    <w:rsid w:val="008078EB"/>
    <w:rsid w:val="00834075"/>
    <w:rsid w:val="00844879"/>
    <w:rsid w:val="00861A92"/>
    <w:rsid w:val="00865206"/>
    <w:rsid w:val="008677B9"/>
    <w:rsid w:val="00890E53"/>
    <w:rsid w:val="008B30D7"/>
    <w:rsid w:val="008B3230"/>
    <w:rsid w:val="008C06F5"/>
    <w:rsid w:val="008C4F26"/>
    <w:rsid w:val="008C65E2"/>
    <w:rsid w:val="008D4542"/>
    <w:rsid w:val="008E5E98"/>
    <w:rsid w:val="008F0E84"/>
    <w:rsid w:val="00927799"/>
    <w:rsid w:val="00933388"/>
    <w:rsid w:val="00940F82"/>
    <w:rsid w:val="00943823"/>
    <w:rsid w:val="00974058"/>
    <w:rsid w:val="009760C1"/>
    <w:rsid w:val="00976F0F"/>
    <w:rsid w:val="00980FFE"/>
    <w:rsid w:val="009A7E73"/>
    <w:rsid w:val="009B5E55"/>
    <w:rsid w:val="009C0103"/>
    <w:rsid w:val="009D3899"/>
    <w:rsid w:val="009E07C8"/>
    <w:rsid w:val="009F1593"/>
    <w:rsid w:val="009F4D68"/>
    <w:rsid w:val="009F533A"/>
    <w:rsid w:val="00A01436"/>
    <w:rsid w:val="00A03910"/>
    <w:rsid w:val="00A167BE"/>
    <w:rsid w:val="00A339E5"/>
    <w:rsid w:val="00A53A8A"/>
    <w:rsid w:val="00A65A56"/>
    <w:rsid w:val="00A70383"/>
    <w:rsid w:val="00A76FF8"/>
    <w:rsid w:val="00A946F3"/>
    <w:rsid w:val="00A94A0B"/>
    <w:rsid w:val="00AA642D"/>
    <w:rsid w:val="00AB3A3D"/>
    <w:rsid w:val="00AD50DE"/>
    <w:rsid w:val="00AF05AE"/>
    <w:rsid w:val="00AF63EA"/>
    <w:rsid w:val="00B01A0A"/>
    <w:rsid w:val="00B03A95"/>
    <w:rsid w:val="00B042E8"/>
    <w:rsid w:val="00B22CF2"/>
    <w:rsid w:val="00B407C4"/>
    <w:rsid w:val="00B41E0A"/>
    <w:rsid w:val="00B73C9C"/>
    <w:rsid w:val="00B86BCB"/>
    <w:rsid w:val="00BA331E"/>
    <w:rsid w:val="00BB775B"/>
    <w:rsid w:val="00BE5BB3"/>
    <w:rsid w:val="00BE6FFD"/>
    <w:rsid w:val="00BE733F"/>
    <w:rsid w:val="00BF6409"/>
    <w:rsid w:val="00C00E57"/>
    <w:rsid w:val="00C0493B"/>
    <w:rsid w:val="00C1327E"/>
    <w:rsid w:val="00C15FA7"/>
    <w:rsid w:val="00C30198"/>
    <w:rsid w:val="00C533C4"/>
    <w:rsid w:val="00C7752E"/>
    <w:rsid w:val="00CA2CFD"/>
    <w:rsid w:val="00CB0E92"/>
    <w:rsid w:val="00CB19BD"/>
    <w:rsid w:val="00CB5C54"/>
    <w:rsid w:val="00CB6898"/>
    <w:rsid w:val="00CD4A58"/>
    <w:rsid w:val="00CD566A"/>
    <w:rsid w:val="00CD7C20"/>
    <w:rsid w:val="00CE22FA"/>
    <w:rsid w:val="00CE4CA9"/>
    <w:rsid w:val="00CE5191"/>
    <w:rsid w:val="00D04D05"/>
    <w:rsid w:val="00D14994"/>
    <w:rsid w:val="00D16237"/>
    <w:rsid w:val="00D17F08"/>
    <w:rsid w:val="00D34A9D"/>
    <w:rsid w:val="00D36050"/>
    <w:rsid w:val="00D517F8"/>
    <w:rsid w:val="00D52F13"/>
    <w:rsid w:val="00D54AB3"/>
    <w:rsid w:val="00DA24B8"/>
    <w:rsid w:val="00DA594B"/>
    <w:rsid w:val="00DB58E9"/>
    <w:rsid w:val="00DD6751"/>
    <w:rsid w:val="00DE0D7C"/>
    <w:rsid w:val="00DE2B40"/>
    <w:rsid w:val="00DE4CBA"/>
    <w:rsid w:val="00E11392"/>
    <w:rsid w:val="00E332E6"/>
    <w:rsid w:val="00E373B8"/>
    <w:rsid w:val="00E77ECF"/>
    <w:rsid w:val="00E95AA4"/>
    <w:rsid w:val="00EB1B21"/>
    <w:rsid w:val="00ED57C6"/>
    <w:rsid w:val="00EF005A"/>
    <w:rsid w:val="00EF1E32"/>
    <w:rsid w:val="00EF5DBE"/>
    <w:rsid w:val="00F01FE4"/>
    <w:rsid w:val="00F120DC"/>
    <w:rsid w:val="00F226A6"/>
    <w:rsid w:val="00F42E6A"/>
    <w:rsid w:val="00F845E6"/>
    <w:rsid w:val="00F84704"/>
    <w:rsid w:val="00F91B3C"/>
    <w:rsid w:val="00FA6353"/>
    <w:rsid w:val="00FC18AB"/>
    <w:rsid w:val="00FE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54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3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3D0"/>
    <w:pPr>
      <w:spacing w:line="280" w:lineRule="atLeast"/>
    </w:pPr>
    <w:rPr>
      <w:rFonts w:ascii="Arial" w:hAnsi="Arial" w:cs="Arial"/>
      <w:sz w:val="24"/>
    </w:rPr>
  </w:style>
  <w:style w:type="paragraph" w:styleId="Heading1">
    <w:name w:val="heading 1"/>
    <w:next w:val="Normal"/>
    <w:link w:val="Heading1Char"/>
    <w:qFormat/>
    <w:rsid w:val="005B53D0"/>
    <w:pPr>
      <w:keepNext/>
      <w:spacing w:after="240" w:line="300" w:lineRule="atLeast"/>
      <w:outlineLvl w:val="0"/>
    </w:pPr>
    <w:rPr>
      <w:rFonts w:ascii="Arial Bold" w:hAnsi="Arial Bold" w:cs="Times New Roman"/>
      <w:b/>
      <w:sz w:val="36"/>
      <w:szCs w:val="36"/>
      <w:lang w:val="en-AU"/>
    </w:rPr>
  </w:style>
  <w:style w:type="paragraph" w:styleId="Heading2">
    <w:name w:val="heading 2"/>
    <w:next w:val="Normal"/>
    <w:link w:val="Heading2Char"/>
    <w:qFormat/>
    <w:rsid w:val="005B53D0"/>
    <w:pPr>
      <w:keepNext/>
      <w:spacing w:before="360" w:after="240" w:line="300" w:lineRule="atLeast"/>
      <w:outlineLvl w:val="1"/>
    </w:pPr>
    <w:rPr>
      <w:rFonts w:ascii="Arial" w:hAnsi="Arial" w:cs="Times New Roman"/>
      <w:b/>
      <w:i/>
      <w:sz w:val="28"/>
      <w:szCs w:val="28"/>
      <w:lang w:val="en-AU"/>
    </w:rPr>
  </w:style>
  <w:style w:type="paragraph" w:styleId="Heading3">
    <w:name w:val="heading 3"/>
    <w:next w:val="Normal"/>
    <w:link w:val="Heading3Char"/>
    <w:qFormat/>
    <w:rsid w:val="005B53D0"/>
    <w:pPr>
      <w:keepNext/>
      <w:spacing w:line="280" w:lineRule="atLeast"/>
      <w:outlineLvl w:val="2"/>
    </w:pPr>
    <w:rPr>
      <w:rFonts w:ascii="Arial" w:hAnsi="Arial" w:cs="Times New Roman"/>
      <w:b/>
      <w:sz w:val="24"/>
      <w:szCs w:val="24"/>
    </w:rPr>
  </w:style>
  <w:style w:type="paragraph" w:styleId="Heading4">
    <w:name w:val="heading 4"/>
    <w:next w:val="Normal"/>
    <w:link w:val="Heading4Char"/>
    <w:rsid w:val="00865206"/>
    <w:pPr>
      <w:keepNext/>
      <w:spacing w:before="60" w:after="120" w:line="280" w:lineRule="atLeast"/>
      <w:outlineLvl w:val="3"/>
    </w:pPr>
    <w:rPr>
      <w:rFonts w:ascii="Arial" w:hAnsi="Arial" w:cs="Times New Roman"/>
      <w:i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5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A24B8"/>
    <w:rPr>
      <w:rFonts w:ascii="Arial" w:hAnsi="Arial" w:cs="Arial"/>
    </w:rPr>
  </w:style>
  <w:style w:type="paragraph" w:styleId="Header">
    <w:name w:val="header"/>
    <w:basedOn w:val="Normal"/>
    <w:link w:val="HeaderChar"/>
    <w:rsid w:val="00865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A24B8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5B53D0"/>
    <w:rPr>
      <w:rFonts w:ascii="Arial Bold" w:hAnsi="Arial Bold" w:cs="Times New Roman"/>
      <w:b/>
      <w:sz w:val="36"/>
      <w:szCs w:val="36"/>
      <w:lang w:val="en-AU"/>
    </w:rPr>
  </w:style>
  <w:style w:type="character" w:customStyle="1" w:styleId="Heading2Char">
    <w:name w:val="Heading 2 Char"/>
    <w:basedOn w:val="DefaultParagraphFont"/>
    <w:link w:val="Heading2"/>
    <w:rsid w:val="005B53D0"/>
    <w:rPr>
      <w:rFonts w:ascii="Arial" w:hAnsi="Arial" w:cs="Times New Roman"/>
      <w:b/>
      <w:i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5B53D0"/>
    <w:rPr>
      <w:rFonts w:ascii="Arial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A24B8"/>
    <w:rPr>
      <w:rFonts w:ascii="Arial" w:hAnsi="Arial" w:cs="Times New Roman"/>
      <w:i/>
      <w:szCs w:val="20"/>
      <w:lang w:val="en-AU"/>
    </w:rPr>
  </w:style>
  <w:style w:type="paragraph" w:styleId="ListParagraph">
    <w:name w:val="List Paragraph"/>
    <w:basedOn w:val="Normal"/>
    <w:uiPriority w:val="34"/>
    <w:rsid w:val="00DA24B8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CB5C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unhideWhenUsed/>
    <w:rsid w:val="00CB5C54"/>
    <w:rPr>
      <w:rFonts w:asciiTheme="majorHAnsi" w:eastAsiaTheme="majorEastAsia" w:hAnsiTheme="majorHAnsi" w:cstheme="majorBidi"/>
      <w:sz w:val="20"/>
    </w:rPr>
  </w:style>
  <w:style w:type="paragraph" w:customStyle="1" w:styleId="BulletList">
    <w:name w:val="Bullet List"/>
    <w:basedOn w:val="ListParagraph"/>
    <w:uiPriority w:val="1"/>
    <w:qFormat/>
    <w:rsid w:val="005B53D0"/>
    <w:pPr>
      <w:numPr>
        <w:numId w:val="6"/>
      </w:numPr>
      <w:ind w:left="284" w:hanging="284"/>
      <w:contextualSpacing w:val="0"/>
    </w:pPr>
  </w:style>
  <w:style w:type="paragraph" w:customStyle="1" w:styleId="FootnoteSeparator">
    <w:name w:val="Footnote Separator"/>
    <w:basedOn w:val="Normal"/>
    <w:semiHidden/>
    <w:qFormat/>
    <w:rsid w:val="00865206"/>
    <w:rPr>
      <w:color w:val="404040"/>
    </w:rPr>
  </w:style>
  <w:style w:type="paragraph" w:styleId="FootnoteText">
    <w:name w:val="footnote text"/>
    <w:link w:val="FootnoteTextChar"/>
    <w:uiPriority w:val="3"/>
    <w:rsid w:val="00865206"/>
    <w:pPr>
      <w:tabs>
        <w:tab w:val="left" w:pos="227"/>
      </w:tabs>
      <w:spacing w:after="60" w:line="240" w:lineRule="atLeast"/>
      <w:ind w:left="227" w:hanging="227"/>
    </w:pPr>
    <w:rPr>
      <w:rFonts w:ascii="Arial" w:hAnsi="Arial" w:cs="Times New Roman"/>
      <w:sz w:val="16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865206"/>
    <w:rPr>
      <w:rFonts w:ascii="Arial" w:hAnsi="Arial" w:cs="Times New Roman"/>
      <w:sz w:val="16"/>
      <w:szCs w:val="20"/>
      <w:lang w:val="en-AU"/>
    </w:rPr>
  </w:style>
  <w:style w:type="paragraph" w:customStyle="1" w:styleId="TableHeading1">
    <w:name w:val="Table Heading 1"/>
    <w:next w:val="Normal"/>
    <w:uiPriority w:val="2"/>
    <w:rsid w:val="00865206"/>
    <w:pPr>
      <w:spacing w:before="60" w:after="60" w:line="240" w:lineRule="atLeast"/>
    </w:pPr>
    <w:rPr>
      <w:rFonts w:ascii="Arial" w:hAnsi="Arial" w:cs="Arial"/>
      <w:b/>
      <w:bCs/>
      <w:sz w:val="18"/>
      <w:szCs w:val="14"/>
      <w:lang w:val="en-GB" w:eastAsia="en-GB"/>
    </w:rPr>
  </w:style>
  <w:style w:type="paragraph" w:customStyle="1" w:styleId="TableHeading2">
    <w:name w:val="Table Heading 2"/>
    <w:uiPriority w:val="2"/>
    <w:rsid w:val="00865206"/>
    <w:pPr>
      <w:widowControl w:val="0"/>
      <w:spacing w:before="60" w:after="60" w:line="240" w:lineRule="atLeast"/>
    </w:pPr>
    <w:rPr>
      <w:rFonts w:ascii="Arial" w:hAnsi="Arial" w:cs="Arial"/>
      <w:bCs/>
      <w:i/>
      <w:sz w:val="18"/>
      <w:szCs w:val="14"/>
    </w:rPr>
  </w:style>
  <w:style w:type="paragraph" w:customStyle="1" w:styleId="TableText">
    <w:name w:val="Table Text"/>
    <w:uiPriority w:val="1"/>
    <w:rsid w:val="00865206"/>
    <w:pPr>
      <w:autoSpaceDE w:val="0"/>
      <w:autoSpaceDN w:val="0"/>
      <w:adjustRightInd w:val="0"/>
      <w:spacing w:before="60" w:after="60" w:line="240" w:lineRule="atLeast"/>
    </w:pPr>
    <w:rPr>
      <w:rFonts w:ascii="Arial" w:hAnsi="Arial" w:cs="GillSans"/>
      <w:sz w:val="18"/>
      <w:szCs w:val="18"/>
      <w:lang w:val="en-GB" w:eastAsia="en-AU"/>
    </w:rPr>
  </w:style>
  <w:style w:type="paragraph" w:styleId="Title">
    <w:name w:val="Title"/>
    <w:basedOn w:val="Heading1"/>
    <w:next w:val="Normal"/>
    <w:link w:val="TitleChar"/>
    <w:uiPriority w:val="10"/>
    <w:unhideWhenUsed/>
    <w:rsid w:val="00865206"/>
    <w:rPr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865206"/>
    <w:rPr>
      <w:rFonts w:ascii="Arial Bold" w:hAnsi="Arial Bold" w:cs="Times New Roman"/>
      <w:b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7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F0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0F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0F"/>
    <w:rPr>
      <w:rFonts w:ascii="Segoe UI" w:hAnsi="Segoe UI" w:cs="Segoe UI"/>
      <w:sz w:val="18"/>
      <w:szCs w:val="18"/>
    </w:rPr>
  </w:style>
  <w:style w:type="paragraph" w:customStyle="1" w:styleId="CabStandard">
    <w:name w:val="CabStandard"/>
    <w:basedOn w:val="Normal"/>
    <w:uiPriority w:val="99"/>
    <w:rsid w:val="00AF05AE"/>
    <w:pPr>
      <w:numPr>
        <w:numId w:val="5"/>
      </w:numPr>
      <w:spacing w:after="240" w:line="240" w:lineRule="auto"/>
    </w:pPr>
    <w:rPr>
      <w:rFonts w:ascii="Times New Roman" w:hAnsi="Times New Roman" w:cs="Times New Roman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AF05AE"/>
    <w:rPr>
      <w:vertAlign w:val="superscript"/>
    </w:rPr>
  </w:style>
  <w:style w:type="table" w:styleId="TableGrid">
    <w:name w:val="Table Grid"/>
    <w:basedOn w:val="TableNormal"/>
    <w:uiPriority w:val="59"/>
    <w:rsid w:val="001C7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53D0"/>
    <w:pPr>
      <w:spacing w:after="0" w:line="240" w:lineRule="auto"/>
    </w:pPr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096830"/>
    <w:pPr>
      <w:spacing w:after="0" w:line="240" w:lineRule="auto"/>
    </w:pPr>
    <w:rPr>
      <w:rFonts w:ascii="Arial" w:hAnsi="Arial" w:cs="Arial"/>
      <w:sz w:val="24"/>
    </w:rPr>
  </w:style>
  <w:style w:type="paragraph" w:customStyle="1" w:styleId="text5">
    <w:name w:val="text5"/>
    <w:basedOn w:val="Normal"/>
    <w:rsid w:val="00096830"/>
    <w:pPr>
      <w:spacing w:before="83" w:after="216" w:line="288" w:lineRule="atLeast"/>
    </w:pPr>
    <w:rPr>
      <w:rFonts w:ascii="Times New Roman" w:hAnsi="Times New Roman" w:cs="Times New Roman"/>
      <w:szCs w:val="24"/>
      <w:lang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3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3D0"/>
    <w:pPr>
      <w:spacing w:line="280" w:lineRule="atLeast"/>
    </w:pPr>
    <w:rPr>
      <w:rFonts w:ascii="Arial" w:hAnsi="Arial" w:cs="Arial"/>
      <w:sz w:val="24"/>
    </w:rPr>
  </w:style>
  <w:style w:type="paragraph" w:styleId="Heading1">
    <w:name w:val="heading 1"/>
    <w:next w:val="Normal"/>
    <w:link w:val="Heading1Char"/>
    <w:qFormat/>
    <w:rsid w:val="005B53D0"/>
    <w:pPr>
      <w:keepNext/>
      <w:spacing w:after="240" w:line="300" w:lineRule="atLeast"/>
      <w:outlineLvl w:val="0"/>
    </w:pPr>
    <w:rPr>
      <w:rFonts w:ascii="Arial Bold" w:hAnsi="Arial Bold" w:cs="Times New Roman"/>
      <w:b/>
      <w:sz w:val="36"/>
      <w:szCs w:val="36"/>
      <w:lang w:val="en-AU"/>
    </w:rPr>
  </w:style>
  <w:style w:type="paragraph" w:styleId="Heading2">
    <w:name w:val="heading 2"/>
    <w:next w:val="Normal"/>
    <w:link w:val="Heading2Char"/>
    <w:qFormat/>
    <w:rsid w:val="005B53D0"/>
    <w:pPr>
      <w:keepNext/>
      <w:spacing w:before="360" w:after="240" w:line="300" w:lineRule="atLeast"/>
      <w:outlineLvl w:val="1"/>
    </w:pPr>
    <w:rPr>
      <w:rFonts w:ascii="Arial" w:hAnsi="Arial" w:cs="Times New Roman"/>
      <w:b/>
      <w:i/>
      <w:sz w:val="28"/>
      <w:szCs w:val="28"/>
      <w:lang w:val="en-AU"/>
    </w:rPr>
  </w:style>
  <w:style w:type="paragraph" w:styleId="Heading3">
    <w:name w:val="heading 3"/>
    <w:next w:val="Normal"/>
    <w:link w:val="Heading3Char"/>
    <w:qFormat/>
    <w:rsid w:val="005B53D0"/>
    <w:pPr>
      <w:keepNext/>
      <w:spacing w:line="280" w:lineRule="atLeast"/>
      <w:outlineLvl w:val="2"/>
    </w:pPr>
    <w:rPr>
      <w:rFonts w:ascii="Arial" w:hAnsi="Arial" w:cs="Times New Roman"/>
      <w:b/>
      <w:sz w:val="24"/>
      <w:szCs w:val="24"/>
    </w:rPr>
  </w:style>
  <w:style w:type="paragraph" w:styleId="Heading4">
    <w:name w:val="heading 4"/>
    <w:next w:val="Normal"/>
    <w:link w:val="Heading4Char"/>
    <w:rsid w:val="00865206"/>
    <w:pPr>
      <w:keepNext/>
      <w:spacing w:before="60" w:after="120" w:line="280" w:lineRule="atLeast"/>
      <w:outlineLvl w:val="3"/>
    </w:pPr>
    <w:rPr>
      <w:rFonts w:ascii="Arial" w:hAnsi="Arial" w:cs="Times New Roman"/>
      <w:i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652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A24B8"/>
    <w:rPr>
      <w:rFonts w:ascii="Arial" w:hAnsi="Arial" w:cs="Arial"/>
    </w:rPr>
  </w:style>
  <w:style w:type="paragraph" w:styleId="Header">
    <w:name w:val="header"/>
    <w:basedOn w:val="Normal"/>
    <w:link w:val="HeaderChar"/>
    <w:rsid w:val="008652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A24B8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5B53D0"/>
    <w:rPr>
      <w:rFonts w:ascii="Arial Bold" w:hAnsi="Arial Bold" w:cs="Times New Roman"/>
      <w:b/>
      <w:sz w:val="36"/>
      <w:szCs w:val="36"/>
      <w:lang w:val="en-AU"/>
    </w:rPr>
  </w:style>
  <w:style w:type="character" w:customStyle="1" w:styleId="Heading2Char">
    <w:name w:val="Heading 2 Char"/>
    <w:basedOn w:val="DefaultParagraphFont"/>
    <w:link w:val="Heading2"/>
    <w:rsid w:val="005B53D0"/>
    <w:rPr>
      <w:rFonts w:ascii="Arial" w:hAnsi="Arial" w:cs="Times New Roman"/>
      <w:b/>
      <w:i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5B53D0"/>
    <w:rPr>
      <w:rFonts w:ascii="Arial" w:hAnsi="Arial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A24B8"/>
    <w:rPr>
      <w:rFonts w:ascii="Arial" w:hAnsi="Arial" w:cs="Times New Roman"/>
      <w:i/>
      <w:szCs w:val="20"/>
      <w:lang w:val="en-AU"/>
    </w:rPr>
  </w:style>
  <w:style w:type="paragraph" w:styleId="ListParagraph">
    <w:name w:val="List Paragraph"/>
    <w:basedOn w:val="Normal"/>
    <w:uiPriority w:val="34"/>
    <w:rsid w:val="00DA24B8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CB5C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unhideWhenUsed/>
    <w:rsid w:val="00CB5C54"/>
    <w:rPr>
      <w:rFonts w:asciiTheme="majorHAnsi" w:eastAsiaTheme="majorEastAsia" w:hAnsiTheme="majorHAnsi" w:cstheme="majorBidi"/>
      <w:sz w:val="20"/>
    </w:rPr>
  </w:style>
  <w:style w:type="paragraph" w:customStyle="1" w:styleId="BulletList">
    <w:name w:val="Bullet List"/>
    <w:basedOn w:val="ListParagraph"/>
    <w:uiPriority w:val="1"/>
    <w:qFormat/>
    <w:rsid w:val="005B53D0"/>
    <w:pPr>
      <w:numPr>
        <w:numId w:val="6"/>
      </w:numPr>
      <w:ind w:left="284" w:hanging="284"/>
      <w:contextualSpacing w:val="0"/>
    </w:pPr>
  </w:style>
  <w:style w:type="paragraph" w:customStyle="1" w:styleId="FootnoteSeparator">
    <w:name w:val="Footnote Separator"/>
    <w:basedOn w:val="Normal"/>
    <w:semiHidden/>
    <w:qFormat/>
    <w:rsid w:val="00865206"/>
    <w:rPr>
      <w:color w:val="404040"/>
    </w:rPr>
  </w:style>
  <w:style w:type="paragraph" w:styleId="FootnoteText">
    <w:name w:val="footnote text"/>
    <w:link w:val="FootnoteTextChar"/>
    <w:uiPriority w:val="3"/>
    <w:rsid w:val="00865206"/>
    <w:pPr>
      <w:tabs>
        <w:tab w:val="left" w:pos="227"/>
      </w:tabs>
      <w:spacing w:after="60" w:line="240" w:lineRule="atLeast"/>
      <w:ind w:left="227" w:hanging="227"/>
    </w:pPr>
    <w:rPr>
      <w:rFonts w:ascii="Arial" w:hAnsi="Arial" w:cs="Times New Roman"/>
      <w:sz w:val="16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865206"/>
    <w:rPr>
      <w:rFonts w:ascii="Arial" w:hAnsi="Arial" w:cs="Times New Roman"/>
      <w:sz w:val="16"/>
      <w:szCs w:val="20"/>
      <w:lang w:val="en-AU"/>
    </w:rPr>
  </w:style>
  <w:style w:type="paragraph" w:customStyle="1" w:styleId="TableHeading1">
    <w:name w:val="Table Heading 1"/>
    <w:next w:val="Normal"/>
    <w:uiPriority w:val="2"/>
    <w:rsid w:val="00865206"/>
    <w:pPr>
      <w:spacing w:before="60" w:after="60" w:line="240" w:lineRule="atLeast"/>
    </w:pPr>
    <w:rPr>
      <w:rFonts w:ascii="Arial" w:hAnsi="Arial" w:cs="Arial"/>
      <w:b/>
      <w:bCs/>
      <w:sz w:val="18"/>
      <w:szCs w:val="14"/>
      <w:lang w:val="en-GB" w:eastAsia="en-GB"/>
    </w:rPr>
  </w:style>
  <w:style w:type="paragraph" w:customStyle="1" w:styleId="TableHeading2">
    <w:name w:val="Table Heading 2"/>
    <w:uiPriority w:val="2"/>
    <w:rsid w:val="00865206"/>
    <w:pPr>
      <w:widowControl w:val="0"/>
      <w:spacing w:before="60" w:after="60" w:line="240" w:lineRule="atLeast"/>
    </w:pPr>
    <w:rPr>
      <w:rFonts w:ascii="Arial" w:hAnsi="Arial" w:cs="Arial"/>
      <w:bCs/>
      <w:i/>
      <w:sz w:val="18"/>
      <w:szCs w:val="14"/>
    </w:rPr>
  </w:style>
  <w:style w:type="paragraph" w:customStyle="1" w:styleId="TableText">
    <w:name w:val="Table Text"/>
    <w:uiPriority w:val="1"/>
    <w:rsid w:val="00865206"/>
    <w:pPr>
      <w:autoSpaceDE w:val="0"/>
      <w:autoSpaceDN w:val="0"/>
      <w:adjustRightInd w:val="0"/>
      <w:spacing w:before="60" w:after="60" w:line="240" w:lineRule="atLeast"/>
    </w:pPr>
    <w:rPr>
      <w:rFonts w:ascii="Arial" w:hAnsi="Arial" w:cs="GillSans"/>
      <w:sz w:val="18"/>
      <w:szCs w:val="18"/>
      <w:lang w:val="en-GB" w:eastAsia="en-AU"/>
    </w:rPr>
  </w:style>
  <w:style w:type="paragraph" w:styleId="Title">
    <w:name w:val="Title"/>
    <w:basedOn w:val="Heading1"/>
    <w:next w:val="Normal"/>
    <w:link w:val="TitleChar"/>
    <w:uiPriority w:val="10"/>
    <w:unhideWhenUsed/>
    <w:rsid w:val="00865206"/>
    <w:rPr>
      <w:sz w:val="56"/>
      <w:szCs w:val="56"/>
      <w:lang w:val="en-NZ"/>
    </w:rPr>
  </w:style>
  <w:style w:type="character" w:customStyle="1" w:styleId="TitleChar">
    <w:name w:val="Title Char"/>
    <w:basedOn w:val="DefaultParagraphFont"/>
    <w:link w:val="Title"/>
    <w:uiPriority w:val="10"/>
    <w:rsid w:val="00865206"/>
    <w:rPr>
      <w:rFonts w:ascii="Arial Bold" w:hAnsi="Arial Bold" w:cs="Times New Roman"/>
      <w:b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97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F0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0F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0F"/>
    <w:rPr>
      <w:rFonts w:ascii="Segoe UI" w:hAnsi="Segoe UI" w:cs="Segoe UI"/>
      <w:sz w:val="18"/>
      <w:szCs w:val="18"/>
    </w:rPr>
  </w:style>
  <w:style w:type="paragraph" w:customStyle="1" w:styleId="CabStandard">
    <w:name w:val="CabStandard"/>
    <w:basedOn w:val="Normal"/>
    <w:uiPriority w:val="99"/>
    <w:rsid w:val="00AF05AE"/>
    <w:pPr>
      <w:numPr>
        <w:numId w:val="5"/>
      </w:numPr>
      <w:spacing w:after="240" w:line="240" w:lineRule="auto"/>
    </w:pPr>
    <w:rPr>
      <w:rFonts w:ascii="Times New Roman" w:hAnsi="Times New Roman" w:cs="Times New Roman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AF05AE"/>
    <w:rPr>
      <w:vertAlign w:val="superscript"/>
    </w:rPr>
  </w:style>
  <w:style w:type="table" w:styleId="TableGrid">
    <w:name w:val="Table Grid"/>
    <w:basedOn w:val="TableNormal"/>
    <w:uiPriority w:val="59"/>
    <w:rsid w:val="001C7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B53D0"/>
    <w:pPr>
      <w:spacing w:after="0" w:line="240" w:lineRule="auto"/>
    </w:pPr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096830"/>
    <w:pPr>
      <w:spacing w:after="0" w:line="240" w:lineRule="auto"/>
    </w:pPr>
    <w:rPr>
      <w:rFonts w:ascii="Arial" w:hAnsi="Arial" w:cs="Arial"/>
      <w:sz w:val="24"/>
    </w:rPr>
  </w:style>
  <w:style w:type="paragraph" w:customStyle="1" w:styleId="text5">
    <w:name w:val="text5"/>
    <w:basedOn w:val="Normal"/>
    <w:rsid w:val="00096830"/>
    <w:pPr>
      <w:spacing w:before="83" w:after="216" w:line="288" w:lineRule="atLeast"/>
    </w:pPr>
    <w:rPr>
      <w:rFonts w:ascii="Times New Roman" w:hAnsi="Times New Roman" w:cs="Times New Roman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97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1303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699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9431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4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29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63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879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380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43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83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710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9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3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630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819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83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3508</Characters>
  <Application>Microsoft Office Word</Application>
  <DocSecurity>0</DocSecurity>
  <Lines>103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2017 - Fact Sheet 2 – Changes to Tax Thresholds and the Independent Earner Tax Credit (25 May 2017)</vt:lpstr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2017 - Fact Sheet 2 – Changes to Tax Thresholds and the Independent Earner Tax Credit (25 May 2017)</dc:title>
  <dc:creator/>
  <cp:lastModifiedBy>Wendy Watkin</cp:lastModifiedBy>
  <cp:revision>2</cp:revision>
  <dcterms:created xsi:type="dcterms:W3CDTF">2017-05-25T00:12:00Z</dcterms:created>
  <dcterms:modified xsi:type="dcterms:W3CDTF">2017-05-25T00:12:00Z</dcterms:modified>
</cp:coreProperties>
</file>