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249C8" w14:textId="261138A6" w:rsidR="000328EC" w:rsidRPr="00AD24C3" w:rsidRDefault="000328EC" w:rsidP="00AD24C3">
      <w:pPr>
        <w:pStyle w:val="Heading1"/>
      </w:pPr>
      <w:bookmarkStart w:id="0" w:name="_GoBack"/>
      <w:bookmarkEnd w:id="0"/>
      <w:r w:rsidRPr="00AD24C3">
        <w:t>Fact Sheet 1 –</w:t>
      </w:r>
      <w:r w:rsidR="00314EB4">
        <w:t xml:space="preserve"> </w:t>
      </w:r>
      <w:r w:rsidRPr="00AD24C3">
        <w:t>Family Incomes Package</w:t>
      </w:r>
    </w:p>
    <w:p w14:paraId="3CB806EA" w14:textId="77777777" w:rsidR="000328EC" w:rsidRPr="00AD24C3" w:rsidRDefault="000328EC" w:rsidP="00AD24C3">
      <w:pPr>
        <w:pStyle w:val="Heading2"/>
      </w:pPr>
      <w:r w:rsidRPr="00AD24C3">
        <w:t>Summary</w:t>
      </w:r>
    </w:p>
    <w:p w14:paraId="1B644CB2" w14:textId="5B8A66FA" w:rsidR="000328EC" w:rsidRPr="0015126C" w:rsidRDefault="000328EC" w:rsidP="00B4277A">
      <w:pPr>
        <w:pStyle w:val="Heading3"/>
        <w:rPr>
          <w:b w:val="0"/>
        </w:rPr>
      </w:pPr>
      <w:r w:rsidRPr="0015126C">
        <w:rPr>
          <w:b w:val="0"/>
        </w:rPr>
        <w:t>From 1 April 2018</w:t>
      </w:r>
      <w:r w:rsidR="0015126C" w:rsidRPr="0015126C">
        <w:rPr>
          <w:b w:val="0"/>
        </w:rPr>
        <w:t>:</w:t>
      </w:r>
    </w:p>
    <w:p w14:paraId="24476615" w14:textId="021DF44D" w:rsidR="00633ABB" w:rsidRDefault="00633ABB" w:rsidP="00AD24C3">
      <w:r>
        <w:t>The</w:t>
      </w:r>
      <w:r w:rsidRPr="00AD24C3">
        <w:t xml:space="preserve"> </w:t>
      </w:r>
      <w:r w:rsidR="00255253">
        <w:t xml:space="preserve">$2 billion </w:t>
      </w:r>
      <w:r w:rsidR="007F39A5">
        <w:t xml:space="preserve">per year </w:t>
      </w:r>
      <w:r w:rsidR="00976F0F" w:rsidRPr="00AD24C3">
        <w:t>F</w:t>
      </w:r>
      <w:r w:rsidR="000328EC" w:rsidRPr="00AD24C3">
        <w:t xml:space="preserve">amily </w:t>
      </w:r>
      <w:r w:rsidR="00976F0F" w:rsidRPr="00AD24C3">
        <w:t>Incomes P</w:t>
      </w:r>
      <w:r w:rsidR="000328EC" w:rsidRPr="00AD24C3">
        <w:t xml:space="preserve">ackage will provide better rewards for hard work, help lower-income families with young children meet their living costs, and improve incomes for </w:t>
      </w:r>
      <w:r w:rsidR="00DF1529" w:rsidRPr="00AD24C3">
        <w:t xml:space="preserve">people </w:t>
      </w:r>
      <w:r w:rsidR="000328EC" w:rsidRPr="00AD24C3">
        <w:t xml:space="preserve">with high housing costs.  </w:t>
      </w:r>
    </w:p>
    <w:p w14:paraId="1B762E28" w14:textId="36FF1835" w:rsidR="00633ABB" w:rsidRDefault="00633ABB" w:rsidP="00AD24C3">
      <w:r w:rsidRPr="00F3427C">
        <w:t xml:space="preserve">The Family Incomes </w:t>
      </w:r>
      <w:r w:rsidR="00B303D3">
        <w:t>P</w:t>
      </w:r>
      <w:r w:rsidRPr="00F3427C">
        <w:t>ackage will benefit 1</w:t>
      </w:r>
      <w:r w:rsidR="00255253">
        <w:t>,</w:t>
      </w:r>
      <w:r w:rsidRPr="00F3427C">
        <w:t>3</w:t>
      </w:r>
      <w:r w:rsidR="00255253">
        <w:t>40,000</w:t>
      </w:r>
      <w:r w:rsidRPr="00F3427C">
        <w:t xml:space="preserve"> families by an average of $26 per week.</w:t>
      </w:r>
      <w:r w:rsidR="00255253">
        <w:t xml:space="preserve"> </w:t>
      </w:r>
      <w:r w:rsidR="00CD4E56">
        <w:t xml:space="preserve"> </w:t>
      </w:r>
      <w:r w:rsidR="006240F8">
        <w:t xml:space="preserve">Around 750,000 superannuitants and 41,000 students will </w:t>
      </w:r>
      <w:r w:rsidR="007F39A5">
        <w:t xml:space="preserve">also </w:t>
      </w:r>
      <w:r w:rsidR="006240F8">
        <w:t xml:space="preserve">benefit from the </w:t>
      </w:r>
      <w:r w:rsidR="00B303D3">
        <w:t>Family Incomes P</w:t>
      </w:r>
      <w:r w:rsidR="006240F8">
        <w:t xml:space="preserve">ackage. </w:t>
      </w:r>
    </w:p>
    <w:p w14:paraId="46CB6560" w14:textId="5ADA0841" w:rsidR="007F39A5" w:rsidRDefault="007F39A5" w:rsidP="00AD24C3">
      <w:r>
        <w:t xml:space="preserve">The measures in this </w:t>
      </w:r>
      <w:r w:rsidR="00DB50A4">
        <w:t>Package</w:t>
      </w:r>
      <w:r>
        <w:t xml:space="preserve"> </w:t>
      </w:r>
      <w:r w:rsidR="00C36DA3">
        <w:t xml:space="preserve">are expected to </w:t>
      </w:r>
      <w:r>
        <w:t xml:space="preserve">lift 20,000 households above the threshold for severe housing stress, and reduce the number of children living in families receiving less than half of the median income by around 50,000. </w:t>
      </w:r>
    </w:p>
    <w:p w14:paraId="1544A2AE" w14:textId="73506F3C" w:rsidR="000328EC" w:rsidRPr="00AD24C3" w:rsidRDefault="00A719EE" w:rsidP="00AD24C3">
      <w:r w:rsidRPr="00AD24C3">
        <w:t xml:space="preserve">The </w:t>
      </w:r>
      <w:r w:rsidR="00633ABB">
        <w:t xml:space="preserve">following </w:t>
      </w:r>
      <w:r w:rsidRPr="00AD24C3">
        <w:t xml:space="preserve">elements </w:t>
      </w:r>
      <w:r w:rsidR="00633ABB">
        <w:t xml:space="preserve">make up the </w:t>
      </w:r>
      <w:r w:rsidR="00CD4E56">
        <w:t>Package</w:t>
      </w:r>
      <w:r w:rsidR="000328EC" w:rsidRPr="00AD24C3">
        <w:t>:</w:t>
      </w:r>
    </w:p>
    <w:p w14:paraId="167F7B9A" w14:textId="75CE30A5" w:rsidR="001A1E28" w:rsidRDefault="00A719EE" w:rsidP="00510D9E">
      <w:pPr>
        <w:pStyle w:val="BulletList"/>
        <w:ind w:left="568"/>
      </w:pPr>
      <w:r>
        <w:t>Increasing</w:t>
      </w:r>
      <w:r w:rsidR="000328EC" w:rsidRPr="00D90F82">
        <w:t xml:space="preserve"> the </w:t>
      </w:r>
      <w:r w:rsidR="001A1E28">
        <w:t>bottom two income tax thresholds:</w:t>
      </w:r>
    </w:p>
    <w:p w14:paraId="15A5CB72" w14:textId="0CD817B9" w:rsidR="001A1E28" w:rsidRDefault="001A1E28" w:rsidP="00510D9E">
      <w:pPr>
        <w:pStyle w:val="ListParagraph"/>
        <w:numPr>
          <w:ilvl w:val="1"/>
          <w:numId w:val="3"/>
        </w:numPr>
        <w:ind w:left="851" w:hanging="284"/>
        <w:contextualSpacing w:val="0"/>
      </w:pPr>
      <w:r>
        <w:t xml:space="preserve">From </w:t>
      </w:r>
      <w:r w:rsidR="000328EC" w:rsidRPr="00D90F82">
        <w:t>$14,000 to $22,000</w:t>
      </w:r>
      <w:r>
        <w:t>; and</w:t>
      </w:r>
    </w:p>
    <w:p w14:paraId="7823BA54" w14:textId="4174CB62" w:rsidR="000328EC" w:rsidRPr="00D90F82" w:rsidRDefault="001A1E28" w:rsidP="00510D9E">
      <w:pPr>
        <w:pStyle w:val="ListParagraph"/>
        <w:numPr>
          <w:ilvl w:val="1"/>
          <w:numId w:val="3"/>
        </w:numPr>
        <w:ind w:left="851" w:hanging="284"/>
        <w:contextualSpacing w:val="0"/>
      </w:pPr>
      <w:r>
        <w:t xml:space="preserve">From </w:t>
      </w:r>
      <w:r w:rsidR="000328EC" w:rsidRPr="00D90F82">
        <w:t>$48,000 to $52,000.</w:t>
      </w:r>
    </w:p>
    <w:p w14:paraId="3817439D" w14:textId="7300F44E" w:rsidR="000328EC" w:rsidRPr="00D90F82" w:rsidRDefault="00465474" w:rsidP="00510D9E">
      <w:pPr>
        <w:pStyle w:val="BulletList"/>
        <w:ind w:left="568"/>
      </w:pPr>
      <w:r>
        <w:t>Discontinuing</w:t>
      </w:r>
      <w:r w:rsidRPr="00D90F82">
        <w:t xml:space="preserve"> </w:t>
      </w:r>
      <w:r w:rsidR="000328EC" w:rsidRPr="00D90F82">
        <w:t>the Independent Earner Tax Credit</w:t>
      </w:r>
      <w:r w:rsidR="00B14A6D">
        <w:t xml:space="preserve"> (IETC)</w:t>
      </w:r>
      <w:r w:rsidR="00DF1529" w:rsidRPr="00D90F82">
        <w:t>.</w:t>
      </w:r>
    </w:p>
    <w:p w14:paraId="15B77BEC" w14:textId="4C2D08A0" w:rsidR="001A1E28" w:rsidRDefault="000328EC" w:rsidP="00510D9E">
      <w:pPr>
        <w:pStyle w:val="BulletList"/>
        <w:ind w:left="568"/>
      </w:pPr>
      <w:r w:rsidRPr="00D90F82">
        <w:t>Family Tax Credit</w:t>
      </w:r>
      <w:r w:rsidR="00B14A6D">
        <w:t xml:space="preserve"> (FTC)</w:t>
      </w:r>
      <w:r w:rsidR="001A1E28">
        <w:t>:</w:t>
      </w:r>
    </w:p>
    <w:p w14:paraId="38884B60" w14:textId="06A94734" w:rsidR="001A1E28" w:rsidRDefault="00A719EE" w:rsidP="00510D9E">
      <w:pPr>
        <w:pStyle w:val="ListParagraph"/>
        <w:numPr>
          <w:ilvl w:val="1"/>
          <w:numId w:val="3"/>
        </w:numPr>
        <w:ind w:left="851" w:hanging="284"/>
        <w:contextualSpacing w:val="0"/>
      </w:pPr>
      <w:r>
        <w:t>Increasing payment</w:t>
      </w:r>
      <w:r w:rsidR="001A1E28" w:rsidRPr="001A1E28">
        <w:t xml:space="preserve"> rates for children aged </w:t>
      </w:r>
      <w:r w:rsidR="00465474">
        <w:t>under 16</w:t>
      </w:r>
      <w:r w:rsidR="001A1E28" w:rsidRPr="001A1E28">
        <w:t>, so that they align with the rates f</w:t>
      </w:r>
      <w:r w:rsidR="001A1E28">
        <w:t>or children aged 16 to 18 years; and</w:t>
      </w:r>
    </w:p>
    <w:p w14:paraId="0D4C6CFF" w14:textId="0220182D" w:rsidR="000328EC" w:rsidRPr="00D90F82" w:rsidRDefault="00A719EE" w:rsidP="00510D9E">
      <w:pPr>
        <w:pStyle w:val="ListParagraph"/>
        <w:numPr>
          <w:ilvl w:val="1"/>
          <w:numId w:val="3"/>
        </w:numPr>
        <w:ind w:left="851" w:hanging="284"/>
        <w:contextualSpacing w:val="0"/>
      </w:pPr>
      <w:r>
        <w:t>Increasing</w:t>
      </w:r>
      <w:r w:rsidR="001A1E28" w:rsidRPr="001A1E28">
        <w:t xml:space="preserve"> the abatement rate from 22.5 cents to 25 cents in the dollar</w:t>
      </w:r>
      <w:r w:rsidR="001A1E28">
        <w:t xml:space="preserve"> </w:t>
      </w:r>
      <w:r w:rsidR="001A1E28" w:rsidRPr="001A1E28">
        <w:t>and decreas</w:t>
      </w:r>
      <w:r>
        <w:t>ing</w:t>
      </w:r>
      <w:r w:rsidR="001A1E28" w:rsidRPr="001A1E28">
        <w:t xml:space="preserve"> the abatement threshold</w:t>
      </w:r>
      <w:r w:rsidR="001A1E28">
        <w:t xml:space="preserve"> from $36,350 a year to $35,000 a year</w:t>
      </w:r>
      <w:r w:rsidR="006240F8">
        <w:t>.</w:t>
      </w:r>
    </w:p>
    <w:p w14:paraId="0ABDE352" w14:textId="1DD32B0E" w:rsidR="001A1E28" w:rsidRDefault="00B14A6D" w:rsidP="00510D9E">
      <w:pPr>
        <w:pStyle w:val="BulletList"/>
        <w:ind w:left="568"/>
      </w:pPr>
      <w:r>
        <w:t>Housing costs</w:t>
      </w:r>
      <w:r w:rsidR="001A1E28">
        <w:t>:</w:t>
      </w:r>
    </w:p>
    <w:p w14:paraId="7BF1F93D" w14:textId="41E36D32" w:rsidR="000328EC" w:rsidRDefault="00A719EE" w:rsidP="00510D9E">
      <w:pPr>
        <w:pStyle w:val="ListParagraph"/>
        <w:numPr>
          <w:ilvl w:val="1"/>
          <w:numId w:val="3"/>
        </w:numPr>
        <w:ind w:left="851" w:hanging="284"/>
        <w:contextualSpacing w:val="0"/>
      </w:pPr>
      <w:r>
        <w:t>Increasing</w:t>
      </w:r>
      <w:r w:rsidR="001A1E28">
        <w:t xml:space="preserve"> the maximum Accommodation </w:t>
      </w:r>
      <w:r w:rsidR="000328EC" w:rsidRPr="00D90F82">
        <w:t>Supplement</w:t>
      </w:r>
      <w:r w:rsidR="00702A33">
        <w:t xml:space="preserve"> (AS)</w:t>
      </w:r>
      <w:r w:rsidR="000328EC" w:rsidRPr="00D90F82">
        <w:t xml:space="preserve"> payments</w:t>
      </w:r>
      <w:r w:rsidR="00FB2078">
        <w:t xml:space="preserve"> </w:t>
      </w:r>
      <w:r w:rsidR="0047209C">
        <w:t>and</w:t>
      </w:r>
      <w:r w:rsidR="000328EC" w:rsidRPr="00D90F82">
        <w:t xml:space="preserve"> updating locations </w:t>
      </w:r>
      <w:r w:rsidR="00633ABB">
        <w:t>of</w:t>
      </w:r>
      <w:r w:rsidR="000328EC" w:rsidRPr="00D90F82">
        <w:t xml:space="preserve"> Accommodation Supplement areas to reflect </w:t>
      </w:r>
      <w:r w:rsidR="0047209C">
        <w:t>increases in housing</w:t>
      </w:r>
      <w:r w:rsidR="0047209C" w:rsidRPr="00D90F82">
        <w:t xml:space="preserve"> </w:t>
      </w:r>
      <w:r w:rsidR="000328EC" w:rsidRPr="00D90F82">
        <w:t>costs</w:t>
      </w:r>
      <w:r w:rsidR="001A1E28">
        <w:t xml:space="preserve">; </w:t>
      </w:r>
      <w:r w:rsidR="00B14A6D">
        <w:t>a</w:t>
      </w:r>
      <w:r w:rsidR="001A1E28">
        <w:t>nd</w:t>
      </w:r>
    </w:p>
    <w:p w14:paraId="2F232EAE" w14:textId="3B895247" w:rsidR="001A1E28" w:rsidRPr="00D90F82" w:rsidRDefault="00A719EE" w:rsidP="00510D9E">
      <w:pPr>
        <w:pStyle w:val="ListParagraph"/>
        <w:numPr>
          <w:ilvl w:val="1"/>
          <w:numId w:val="3"/>
        </w:numPr>
        <w:ind w:left="851" w:hanging="284"/>
        <w:contextualSpacing w:val="0"/>
      </w:pPr>
      <w:r>
        <w:t>Increasing</w:t>
      </w:r>
      <w:r w:rsidR="001A1E28">
        <w:t xml:space="preserve"> the</w:t>
      </w:r>
      <w:r w:rsidR="001A1E28" w:rsidRPr="00D90F82">
        <w:t xml:space="preserve"> weekly payments</w:t>
      </w:r>
      <w:r w:rsidR="001A1E28">
        <w:t xml:space="preserve"> of </w:t>
      </w:r>
      <w:r w:rsidR="001A1E28" w:rsidRPr="00D90F82">
        <w:t xml:space="preserve">Accommodation Benefit for </w:t>
      </w:r>
      <w:r w:rsidR="005C2F0D">
        <w:t xml:space="preserve">eligible </w:t>
      </w:r>
      <w:r w:rsidR="00CB5946">
        <w:t>S</w:t>
      </w:r>
      <w:r w:rsidR="00CB5946" w:rsidRPr="00D90F82">
        <w:t xml:space="preserve">tudent </w:t>
      </w:r>
      <w:r w:rsidR="00CB5946">
        <w:t xml:space="preserve">Allowance recipients </w:t>
      </w:r>
      <w:r w:rsidR="001A1E28" w:rsidRPr="00D90F82">
        <w:t>by up to $20.</w:t>
      </w:r>
    </w:p>
    <w:p w14:paraId="04A05392" w14:textId="6F96D424" w:rsidR="001E23EA" w:rsidRPr="00D90F82" w:rsidRDefault="00351FF8" w:rsidP="00AD24C3">
      <w:r>
        <w:t>Superannuitants</w:t>
      </w:r>
      <w:r w:rsidR="001E23EA">
        <w:t xml:space="preserve"> </w:t>
      </w:r>
      <w:r>
        <w:t xml:space="preserve">will gain from the tax threshold increases and some </w:t>
      </w:r>
      <w:r w:rsidR="006240F8">
        <w:t>will</w:t>
      </w:r>
      <w:r>
        <w:t xml:space="preserve"> also gain from the Accommodation Supplement increases.</w:t>
      </w:r>
    </w:p>
    <w:p w14:paraId="4F25E5CD" w14:textId="4CF8E499" w:rsidR="00AD24C3" w:rsidRDefault="00976F0F" w:rsidP="00AD24C3">
      <w:r w:rsidRPr="00D90F82">
        <w:t>The impact of the Family Incomes Package on any given family</w:t>
      </w:r>
      <w:r w:rsidR="001C5548" w:rsidRPr="00D90F82">
        <w:t xml:space="preserve"> or individual</w:t>
      </w:r>
      <w:r w:rsidRPr="00D90F82">
        <w:t xml:space="preserve"> will depend on </w:t>
      </w:r>
      <w:r w:rsidR="0047209C">
        <w:t xml:space="preserve">their </w:t>
      </w:r>
      <w:r w:rsidRPr="00D90F82">
        <w:t>particular circumstances, including the types of supplementary assistance they may receive.</w:t>
      </w:r>
      <w:r w:rsidR="001A1E28">
        <w:t xml:space="preserve">  </w:t>
      </w:r>
    </w:p>
    <w:p w14:paraId="4959D564" w14:textId="7862B746" w:rsidR="000328EC" w:rsidRPr="00D90F82" w:rsidRDefault="005404D5" w:rsidP="00AD24C3">
      <w:pPr>
        <w:pStyle w:val="Heading2"/>
      </w:pPr>
      <w:r>
        <w:lastRenderedPageBreak/>
        <w:t>Impact on family incomes</w:t>
      </w:r>
    </w:p>
    <w:p w14:paraId="10E6D3FA" w14:textId="7E1DDE1B" w:rsidR="00D34A9D" w:rsidRPr="00313765" w:rsidRDefault="00773BDD" w:rsidP="00313765">
      <w:pPr>
        <w:pStyle w:val="Heading3"/>
      </w:pPr>
      <w:r w:rsidRPr="00313765">
        <w:t xml:space="preserve">Tax threshold changes and </w:t>
      </w:r>
      <w:r w:rsidR="0047209C" w:rsidRPr="00313765">
        <w:t xml:space="preserve">discontinuing </w:t>
      </w:r>
      <w:r w:rsidRPr="00313765">
        <w:t>IETC</w:t>
      </w:r>
    </w:p>
    <w:p w14:paraId="32CB7334" w14:textId="1C4776D9" w:rsidR="00CD4E56" w:rsidRDefault="00CD4E56" w:rsidP="00AD24C3">
      <w:pPr>
        <w:rPr>
          <w:lang w:val="en-AU"/>
        </w:rPr>
      </w:pPr>
      <w:r>
        <w:rPr>
          <w:lang w:val="en-AU"/>
        </w:rPr>
        <w:t>The tax threshold change</w:t>
      </w:r>
      <w:r w:rsidR="00535C19">
        <w:rPr>
          <w:lang w:val="en-AU"/>
        </w:rPr>
        <w:t>s provide</w:t>
      </w:r>
      <w:r>
        <w:rPr>
          <w:lang w:val="en-AU"/>
        </w:rPr>
        <w:t xml:space="preserve"> a tax reduction of $10.77 a week to anyone earning more than $22,000 per annum, increasing to $20.38 a week for anyone earning more than $52,000 per annum. </w:t>
      </w:r>
    </w:p>
    <w:p w14:paraId="506A0D9A" w14:textId="70D895C4" w:rsidR="00773BDD" w:rsidRDefault="00773BDD" w:rsidP="00AD24C3">
      <w:r w:rsidRPr="00D90F82">
        <w:rPr>
          <w:lang w:val="en-AU"/>
        </w:rPr>
        <w:t>The</w:t>
      </w:r>
      <w:r w:rsidR="00CD4E56">
        <w:rPr>
          <w:lang w:val="en-AU"/>
        </w:rPr>
        <w:t>se</w:t>
      </w:r>
      <w:r w:rsidRPr="00D90F82">
        <w:rPr>
          <w:lang w:val="en-AU"/>
        </w:rPr>
        <w:t xml:space="preserve"> </w:t>
      </w:r>
      <w:r w:rsidR="00CD4E56">
        <w:rPr>
          <w:lang w:val="en-AU"/>
        </w:rPr>
        <w:t xml:space="preserve">changes </w:t>
      </w:r>
      <w:r w:rsidR="0047209C">
        <w:rPr>
          <w:lang w:val="en-AU"/>
        </w:rPr>
        <w:t>are likely to</w:t>
      </w:r>
      <w:r w:rsidR="0047209C" w:rsidRPr="00D90F82">
        <w:rPr>
          <w:lang w:val="en-AU"/>
        </w:rPr>
        <w:t xml:space="preserve"> </w:t>
      </w:r>
      <w:r w:rsidRPr="00D90F82">
        <w:rPr>
          <w:lang w:val="en-AU"/>
        </w:rPr>
        <w:t xml:space="preserve">increase work incentives.  </w:t>
      </w:r>
      <w:r w:rsidR="00012963" w:rsidRPr="00D90F82">
        <w:t xml:space="preserve">Working families </w:t>
      </w:r>
      <w:r>
        <w:t xml:space="preserve">and individuals not receiving a benefit </w:t>
      </w:r>
      <w:r w:rsidR="00012963" w:rsidRPr="00D90F82">
        <w:t xml:space="preserve">will </w:t>
      </w:r>
      <w:r>
        <w:t>gain</w:t>
      </w:r>
      <w:r w:rsidR="00012963" w:rsidRPr="00D90F82">
        <w:t xml:space="preserve"> from the tax threshold changes if their individual incomes are above $14,000.  </w:t>
      </w:r>
    </w:p>
    <w:p w14:paraId="165F0CD6" w14:textId="577C3D04" w:rsidR="005C2F0D" w:rsidRDefault="005C2F0D" w:rsidP="005C2F0D">
      <w:r>
        <w:t xml:space="preserve">Individuals who receive the </w:t>
      </w:r>
      <w:r w:rsidRPr="00D90F82">
        <w:t xml:space="preserve">Independent Earner Tax Credit </w:t>
      </w:r>
      <w:r>
        <w:t xml:space="preserve">of up to $10 per week will be fully compensated by the increase in the $14,000 tax threshold. Only 32 per cent of those eligible claim this credit during the tax year. </w:t>
      </w:r>
    </w:p>
    <w:p w14:paraId="1471C257" w14:textId="0B6E7CE7" w:rsidR="00773BDD" w:rsidRDefault="00773BDD" w:rsidP="00AD24C3">
      <w:r w:rsidRPr="009D2ED5">
        <w:t>New Zealand Superannuation recipients will gain from the tax thr</w:t>
      </w:r>
      <w:r w:rsidR="004D02B5" w:rsidRPr="008609A3">
        <w:t xml:space="preserve">eshold increases, and from the </w:t>
      </w:r>
      <w:r w:rsidR="00436014">
        <w:t>link between Superannuation rates and</w:t>
      </w:r>
      <w:r w:rsidR="004D02B5" w:rsidRPr="008609A3">
        <w:t xml:space="preserve"> </w:t>
      </w:r>
      <w:r w:rsidR="004D02B5" w:rsidRPr="00FB2078">
        <w:t>after-tax average wages</w:t>
      </w:r>
      <w:r w:rsidRPr="009D2ED5">
        <w:t>.</w:t>
      </w:r>
    </w:p>
    <w:p w14:paraId="03556923" w14:textId="1C7E76F9" w:rsidR="004D02B5" w:rsidRPr="004D02B5" w:rsidRDefault="004D02B5" w:rsidP="00313765">
      <w:pPr>
        <w:pStyle w:val="Heading3"/>
      </w:pPr>
      <w:r w:rsidRPr="004D02B5">
        <w:t>Changes to Family Tax Credit</w:t>
      </w:r>
    </w:p>
    <w:p w14:paraId="21E15B82" w14:textId="5BA4DDB9" w:rsidR="00773BDD" w:rsidRDefault="00633ABB" w:rsidP="00AD24C3">
      <w:r>
        <w:t>Eligible f</w:t>
      </w:r>
      <w:r w:rsidRPr="00D90F82">
        <w:t xml:space="preserve">amilies </w:t>
      </w:r>
      <w:r w:rsidR="001C5548" w:rsidRPr="00D90F82">
        <w:t xml:space="preserve">with </w:t>
      </w:r>
      <w:r w:rsidR="00012963" w:rsidRPr="00D90F82">
        <w:t xml:space="preserve">children </w:t>
      </w:r>
      <w:r w:rsidR="005404D5">
        <w:t>aged under</w:t>
      </w:r>
      <w:r w:rsidR="00012963" w:rsidRPr="00D90F82">
        <w:t xml:space="preserve"> 16 will gain further from the increases to the </w:t>
      </w:r>
      <w:r w:rsidR="001C5548" w:rsidRPr="00D90F82">
        <w:t xml:space="preserve">Family Tax Credit </w:t>
      </w:r>
      <w:r w:rsidR="00012963" w:rsidRPr="00D90F82">
        <w:t>rates</w:t>
      </w:r>
      <w:r w:rsidR="0047209C">
        <w:t xml:space="preserve"> for younger children</w:t>
      </w:r>
      <w:r w:rsidR="00012963" w:rsidRPr="00D90F82">
        <w:t xml:space="preserve">.  </w:t>
      </w:r>
    </w:p>
    <w:p w14:paraId="03ECE1F3" w14:textId="3FF66548" w:rsidR="00633ABB" w:rsidRDefault="00633ABB" w:rsidP="00633ABB">
      <w:pPr>
        <w:rPr>
          <w:szCs w:val="24"/>
        </w:rPr>
      </w:pPr>
      <w:r w:rsidRPr="00B75F4E">
        <w:rPr>
          <w:szCs w:val="24"/>
        </w:rPr>
        <w:t xml:space="preserve">Family </w:t>
      </w:r>
      <w:r>
        <w:rPr>
          <w:szCs w:val="24"/>
        </w:rPr>
        <w:t>T</w:t>
      </w:r>
      <w:r w:rsidRPr="00B75F4E">
        <w:rPr>
          <w:szCs w:val="24"/>
        </w:rPr>
        <w:t xml:space="preserve">ax </w:t>
      </w:r>
      <w:r>
        <w:rPr>
          <w:szCs w:val="24"/>
        </w:rPr>
        <w:t>C</w:t>
      </w:r>
      <w:r w:rsidRPr="00B75F4E">
        <w:rPr>
          <w:szCs w:val="24"/>
        </w:rPr>
        <w:t>redits increase by $9.25 a week for the first child under 1</w:t>
      </w:r>
      <w:r>
        <w:rPr>
          <w:szCs w:val="24"/>
        </w:rPr>
        <w:t>6</w:t>
      </w:r>
      <w:r w:rsidRPr="00B75F4E">
        <w:rPr>
          <w:szCs w:val="24"/>
        </w:rPr>
        <w:t>, while credits for subsequent children increase by bet</w:t>
      </w:r>
      <w:r>
        <w:rPr>
          <w:szCs w:val="24"/>
        </w:rPr>
        <w:t>ween $17.75 and $26.</w:t>
      </w:r>
      <w:r w:rsidR="00CD4E56">
        <w:rPr>
          <w:szCs w:val="24"/>
        </w:rPr>
        <w:t xml:space="preserve">81 </w:t>
      </w:r>
      <w:r>
        <w:rPr>
          <w:szCs w:val="24"/>
        </w:rPr>
        <w:t>per week.</w:t>
      </w:r>
    </w:p>
    <w:p w14:paraId="0B54FF0C" w14:textId="320E2647" w:rsidR="00BE6FFD" w:rsidRDefault="00BE6FFD" w:rsidP="00AD24C3">
      <w:r w:rsidRPr="00D90F82">
        <w:t xml:space="preserve">A small number of families may be disadvantaged </w:t>
      </w:r>
      <w:r w:rsidR="001C5548" w:rsidRPr="00D90F82">
        <w:t xml:space="preserve">by </w:t>
      </w:r>
      <w:r w:rsidRPr="00D90F82">
        <w:t xml:space="preserve">the </w:t>
      </w:r>
      <w:r w:rsidR="001C5548" w:rsidRPr="00D90F82">
        <w:t xml:space="preserve">changes to </w:t>
      </w:r>
      <w:r w:rsidRPr="00D90F82">
        <w:t>Family Tax Credit</w:t>
      </w:r>
      <w:r w:rsidR="001C5548" w:rsidRPr="00D90F82">
        <w:t xml:space="preserve"> abatement settings</w:t>
      </w:r>
      <w:r w:rsidR="00CD4E56">
        <w:t xml:space="preserve"> but in nearly all cases this will be more than offset by the tax threshold changes</w:t>
      </w:r>
      <w:r w:rsidRPr="00D90F82">
        <w:t xml:space="preserve">.  </w:t>
      </w:r>
      <w:r w:rsidR="001C5548" w:rsidRPr="00D90F82">
        <w:t>Transitional assistance</w:t>
      </w:r>
      <w:r w:rsidRPr="00D90F82">
        <w:t xml:space="preserve"> </w:t>
      </w:r>
      <w:r w:rsidR="001C5548" w:rsidRPr="00D90F82">
        <w:t>will</w:t>
      </w:r>
      <w:r w:rsidRPr="00D90F82">
        <w:t xml:space="preserve"> be available </w:t>
      </w:r>
      <w:r w:rsidR="001C5548" w:rsidRPr="00D90F82">
        <w:t xml:space="preserve">for </w:t>
      </w:r>
      <w:r w:rsidR="00633ABB">
        <w:t xml:space="preserve">any </w:t>
      </w:r>
      <w:r w:rsidR="001C5548" w:rsidRPr="00D90F82">
        <w:t xml:space="preserve">families experiencing </w:t>
      </w:r>
      <w:r w:rsidR="00CD4E56">
        <w:t xml:space="preserve">overall </w:t>
      </w:r>
      <w:r w:rsidR="001C5548" w:rsidRPr="00D90F82">
        <w:t xml:space="preserve">losses </w:t>
      </w:r>
      <w:r w:rsidR="0047209C">
        <w:t>of more than $3 per week as a result of the changes</w:t>
      </w:r>
      <w:r w:rsidR="00CD4E56">
        <w:t xml:space="preserve"> across the Family Incomes Package</w:t>
      </w:r>
      <w:r w:rsidRPr="00D90F82">
        <w:t>.</w:t>
      </w:r>
    </w:p>
    <w:p w14:paraId="3AA6DFFC" w14:textId="722F37FE" w:rsidR="004D02B5" w:rsidRPr="004D02B5" w:rsidRDefault="004D02B5" w:rsidP="00313765">
      <w:pPr>
        <w:pStyle w:val="Heading3"/>
      </w:pPr>
      <w:r w:rsidRPr="004D02B5">
        <w:t>Changes to accommodation payments</w:t>
      </w:r>
    </w:p>
    <w:p w14:paraId="47B9045D" w14:textId="4EDB19B2" w:rsidR="00C44DA6" w:rsidRDefault="00633ABB">
      <w:r>
        <w:t xml:space="preserve">The maximum </w:t>
      </w:r>
      <w:r w:rsidR="00CD4E56">
        <w:t xml:space="preserve">Accommodation Supplement rates </w:t>
      </w:r>
      <w:r>
        <w:t>for a two person household will increase between $25 and $75 a week, while larger households will gain up to between $</w:t>
      </w:r>
      <w:r w:rsidR="00436014">
        <w:t>40</w:t>
      </w:r>
      <w:r>
        <w:t xml:space="preserve"> and $80 a week in accommodation support, depending on where they live</w:t>
      </w:r>
      <w:r w:rsidR="00436014">
        <w:t>.</w:t>
      </w:r>
      <w:r w:rsidR="00CD4E56">
        <w:t xml:space="preserve"> </w:t>
      </w:r>
      <w:r w:rsidR="00836615">
        <w:t>In addition, t</w:t>
      </w:r>
      <w:r w:rsidR="00C44DA6">
        <w:t>he make-up of the four Accommodation Supplement areas will be updated so families in areas where housing costs have increased the most will receive further gains.</w:t>
      </w:r>
    </w:p>
    <w:p w14:paraId="5CEF5A74" w14:textId="1FE93B72" w:rsidR="00CD4E56" w:rsidRDefault="00C44DA6">
      <w:r>
        <w:t>F</w:t>
      </w:r>
      <w:r w:rsidRPr="00D90F82">
        <w:t xml:space="preserve">amilies </w:t>
      </w:r>
      <w:r>
        <w:t xml:space="preserve">and individuals </w:t>
      </w:r>
      <w:r w:rsidRPr="00D90F82">
        <w:t xml:space="preserve">who are entitled to receive Accommodation Supplement at the maximum payment rate will gain </w:t>
      </w:r>
      <w:r>
        <w:t>from</w:t>
      </w:r>
      <w:r w:rsidRPr="00D90F82">
        <w:t xml:space="preserve"> </w:t>
      </w:r>
      <w:r>
        <w:t>these changes</w:t>
      </w:r>
      <w:r w:rsidRPr="00D90F82">
        <w:t>.</w:t>
      </w:r>
    </w:p>
    <w:p w14:paraId="59589825" w14:textId="117912D5" w:rsidR="00CD4A58" w:rsidRDefault="00CD4A58" w:rsidP="00AD24C3">
      <w:r w:rsidRPr="00D90F82">
        <w:t>Student</w:t>
      </w:r>
      <w:r w:rsidR="00C44DA6">
        <w:t xml:space="preserve"> Allowance</w:t>
      </w:r>
      <w:r w:rsidRPr="00D90F82">
        <w:t xml:space="preserve"> </w:t>
      </w:r>
      <w:r w:rsidR="00C44DA6">
        <w:t xml:space="preserve">recipients </w:t>
      </w:r>
      <w:r w:rsidRPr="00D90F82">
        <w:t xml:space="preserve">who are eligible to receive Accommodation Benefit at the </w:t>
      </w:r>
      <w:r w:rsidR="00702A33">
        <w:t xml:space="preserve">current </w:t>
      </w:r>
      <w:r w:rsidRPr="00D90F82">
        <w:t xml:space="preserve">maximum weekly rate of $40 </w:t>
      </w:r>
      <w:r w:rsidR="003F5047" w:rsidRPr="00D90F82">
        <w:t xml:space="preserve">may </w:t>
      </w:r>
      <w:r w:rsidRPr="00D90F82">
        <w:t>now receive</w:t>
      </w:r>
      <w:r w:rsidR="007167B4" w:rsidRPr="00D90F82">
        <w:t xml:space="preserve"> up to</w:t>
      </w:r>
      <w:r w:rsidRPr="00D90F82">
        <w:t xml:space="preserve"> $60 per week.  This will help </w:t>
      </w:r>
      <w:r w:rsidR="006C26A9">
        <w:t>around</w:t>
      </w:r>
      <w:r w:rsidRPr="00D90F82">
        <w:t xml:space="preserve"> </w:t>
      </w:r>
      <w:r w:rsidR="00633ABB" w:rsidRPr="00D90F82">
        <w:t>4</w:t>
      </w:r>
      <w:r w:rsidR="00633ABB">
        <w:t>1</w:t>
      </w:r>
      <w:r w:rsidRPr="00D90F82">
        <w:t>,000 students with high accommodation costs.</w:t>
      </w:r>
    </w:p>
    <w:p w14:paraId="25B41AE9" w14:textId="73E58728" w:rsidR="0047209C" w:rsidRPr="00FB2078" w:rsidRDefault="0047209C" w:rsidP="00555DE3">
      <w:pPr>
        <w:pStyle w:val="Heading2"/>
      </w:pPr>
      <w:r w:rsidRPr="00FB2078">
        <w:lastRenderedPageBreak/>
        <w:t>Average impacts</w:t>
      </w:r>
    </w:p>
    <w:p w14:paraId="4CC42316" w14:textId="44E37FBD" w:rsidR="00CB5946" w:rsidRDefault="00CB5946" w:rsidP="00CB5946">
      <w:r>
        <w:t xml:space="preserve">The package as a whole is expected to benefit </w:t>
      </w:r>
      <w:r w:rsidR="008D6D17">
        <w:t xml:space="preserve">around </w:t>
      </w:r>
      <w:r>
        <w:t>1</w:t>
      </w:r>
      <w:r w:rsidR="00EE393D">
        <w:t>,</w:t>
      </w:r>
      <w:r>
        <w:t>3</w:t>
      </w:r>
      <w:r w:rsidR="00EE393D">
        <w:t>4</w:t>
      </w:r>
      <w:r w:rsidR="008D6D17">
        <w:t>0</w:t>
      </w:r>
      <w:r w:rsidR="00EE393D">
        <w:t>,000</w:t>
      </w:r>
      <w:r>
        <w:t xml:space="preserve"> families by an average of $26 per week. </w:t>
      </w:r>
    </w:p>
    <w:p w14:paraId="09792C72" w14:textId="77777777" w:rsidR="0047209C" w:rsidRDefault="0047209C" w:rsidP="00AD24C3">
      <w:pPr>
        <w:rPr>
          <w:lang w:val="en-AU"/>
        </w:rPr>
      </w:pPr>
      <w:r>
        <w:rPr>
          <w:lang w:val="en-AU"/>
        </w:rPr>
        <w:t>The table below shows the impacts across the population for those families who gain from the Family Incomes Package.  These are approximate changes by income quintile, and indicate how a family’s average gain is distributed across the elements of the package.</w:t>
      </w:r>
    </w:p>
    <w:p w14:paraId="1CE272E3" w14:textId="477F05B0" w:rsidR="0047209C" w:rsidRPr="00E4446F" w:rsidRDefault="0047209C" w:rsidP="00AD24C3">
      <w:pPr>
        <w:rPr>
          <w:lang w:val="en-AU"/>
        </w:rPr>
      </w:pPr>
      <w:r w:rsidRPr="00B4277A">
        <w:rPr>
          <w:b/>
          <w:lang w:val="en-AU"/>
        </w:rPr>
        <w:t xml:space="preserve">Table </w:t>
      </w:r>
      <w:r w:rsidR="00633ABB">
        <w:rPr>
          <w:b/>
          <w:lang w:val="en-AU"/>
        </w:rPr>
        <w:t>1</w:t>
      </w:r>
      <w:r>
        <w:rPr>
          <w:lang w:val="en-AU"/>
        </w:rPr>
        <w:t>: Distribution of gains by element</w:t>
      </w:r>
      <w:r w:rsidR="00836615" w:rsidRPr="00FB2078">
        <w:rPr>
          <w:rStyle w:val="FootnoteReference"/>
          <w:sz w:val="22"/>
        </w:rPr>
        <w:footnoteReference w:id="1"/>
      </w:r>
    </w:p>
    <w:tbl>
      <w:tblPr>
        <w:tblW w:w="8789" w:type="dxa"/>
        <w:tblInd w:w="57" w:type="dxa"/>
        <w:tblCellMar>
          <w:left w:w="57" w:type="dxa"/>
          <w:right w:w="57" w:type="dxa"/>
        </w:tblCellMar>
        <w:tblLook w:val="04A0" w:firstRow="1" w:lastRow="0" w:firstColumn="1" w:lastColumn="0" w:noHBand="0" w:noVBand="1"/>
      </w:tblPr>
      <w:tblGrid>
        <w:gridCol w:w="907"/>
        <w:gridCol w:w="1056"/>
        <w:gridCol w:w="1298"/>
        <w:gridCol w:w="1027"/>
        <w:gridCol w:w="1028"/>
        <w:gridCol w:w="1027"/>
        <w:gridCol w:w="1028"/>
        <w:gridCol w:w="1418"/>
      </w:tblGrid>
      <w:tr w:rsidR="00AF6468" w:rsidRPr="00B4277A" w14:paraId="1707C22E" w14:textId="3413A6E2" w:rsidTr="00AF6468">
        <w:trPr>
          <w:trHeight w:val="20"/>
        </w:trPr>
        <w:tc>
          <w:tcPr>
            <w:tcW w:w="90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vAlign w:val="bottom"/>
          </w:tcPr>
          <w:p w14:paraId="5AF6D93A" w14:textId="77777777" w:rsidR="00CB5946" w:rsidRPr="00B4277A" w:rsidRDefault="00CB5946" w:rsidP="00937279">
            <w:pPr>
              <w:spacing w:before="60" w:after="60"/>
              <w:jc w:val="center"/>
              <w:rPr>
                <w:b/>
                <w:sz w:val="20"/>
                <w:szCs w:val="20"/>
                <w:lang w:eastAsia="en-NZ"/>
              </w:rPr>
            </w:pPr>
            <w:r w:rsidRPr="00B4277A">
              <w:rPr>
                <w:b/>
                <w:sz w:val="20"/>
                <w:szCs w:val="20"/>
                <w:lang w:eastAsia="en-NZ"/>
              </w:rPr>
              <w:t>Quintile</w:t>
            </w:r>
          </w:p>
        </w:tc>
        <w:tc>
          <w:tcPr>
            <w:tcW w:w="1056" w:type="dxa"/>
            <w:vMerge w:val="restart"/>
            <w:tcBorders>
              <w:top w:val="single" w:sz="4" w:space="0" w:color="808080" w:themeColor="background1" w:themeShade="80"/>
              <w:left w:val="nil"/>
              <w:bottom w:val="single" w:sz="4" w:space="0" w:color="808080" w:themeColor="background1" w:themeShade="80"/>
              <w:right w:val="nil"/>
            </w:tcBorders>
            <w:shd w:val="clear" w:color="auto" w:fill="F2F2F2" w:themeFill="background1" w:themeFillShade="F2"/>
            <w:vAlign w:val="bottom"/>
          </w:tcPr>
          <w:p w14:paraId="4AF87E68" w14:textId="77777777" w:rsidR="00CB5946" w:rsidRPr="00B4277A" w:rsidRDefault="00CB5946" w:rsidP="00937279">
            <w:pPr>
              <w:spacing w:before="60" w:after="60"/>
              <w:jc w:val="right"/>
              <w:rPr>
                <w:b/>
                <w:sz w:val="20"/>
                <w:szCs w:val="20"/>
                <w:lang w:eastAsia="en-NZ"/>
              </w:rPr>
            </w:pPr>
            <w:r w:rsidRPr="00B4277A">
              <w:rPr>
                <w:b/>
                <w:sz w:val="20"/>
                <w:szCs w:val="20"/>
                <w:lang w:eastAsia="en-NZ"/>
              </w:rPr>
              <w:t xml:space="preserve">Minimum income </w:t>
            </w:r>
            <w:r>
              <w:rPr>
                <w:b/>
                <w:sz w:val="20"/>
                <w:szCs w:val="20"/>
                <w:lang w:eastAsia="en-NZ"/>
              </w:rPr>
              <w:br/>
            </w:r>
            <w:r w:rsidRPr="00B4277A">
              <w:rPr>
                <w:b/>
                <w:sz w:val="20"/>
                <w:szCs w:val="20"/>
                <w:lang w:eastAsia="en-NZ"/>
              </w:rPr>
              <w:t>in range</w:t>
            </w:r>
          </w:p>
        </w:tc>
        <w:tc>
          <w:tcPr>
            <w:tcW w:w="1298" w:type="dxa"/>
            <w:vMerge w:val="restart"/>
            <w:tcBorders>
              <w:top w:val="single" w:sz="4" w:space="0" w:color="808080" w:themeColor="background1" w:themeShade="80"/>
              <w:left w:val="nil"/>
              <w:bottom w:val="single" w:sz="4" w:space="0" w:color="808080" w:themeColor="background1" w:themeShade="80"/>
              <w:right w:val="nil"/>
            </w:tcBorders>
            <w:shd w:val="clear" w:color="auto" w:fill="F2F2F2" w:themeFill="background1" w:themeFillShade="F2"/>
          </w:tcPr>
          <w:p w14:paraId="3A162AAE" w14:textId="77777777" w:rsidR="00CB5946" w:rsidRPr="00B4277A" w:rsidRDefault="00CB5946" w:rsidP="00937279">
            <w:pPr>
              <w:spacing w:before="60" w:after="60"/>
              <w:jc w:val="right"/>
              <w:rPr>
                <w:b/>
                <w:sz w:val="20"/>
                <w:szCs w:val="20"/>
                <w:lang w:eastAsia="en-NZ"/>
              </w:rPr>
            </w:pPr>
            <w:r w:rsidRPr="00B4277A">
              <w:rPr>
                <w:b/>
                <w:sz w:val="20"/>
                <w:szCs w:val="20"/>
                <w:lang w:eastAsia="en-NZ"/>
              </w:rPr>
              <w:t>Number of Families who gain</w:t>
            </w:r>
          </w:p>
        </w:tc>
        <w:tc>
          <w:tcPr>
            <w:tcW w:w="411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tcPr>
          <w:p w14:paraId="0F53A5AE" w14:textId="77777777" w:rsidR="00CB5946" w:rsidRPr="00B4277A" w:rsidRDefault="00CB5946" w:rsidP="00937279">
            <w:pPr>
              <w:spacing w:before="60" w:after="60"/>
              <w:jc w:val="center"/>
              <w:rPr>
                <w:b/>
                <w:sz w:val="20"/>
                <w:szCs w:val="20"/>
                <w:lang w:eastAsia="en-NZ"/>
              </w:rPr>
            </w:pPr>
            <w:r w:rsidRPr="00B4277A">
              <w:rPr>
                <w:b/>
                <w:sz w:val="20"/>
                <w:szCs w:val="20"/>
                <w:lang w:eastAsia="en-NZ"/>
              </w:rPr>
              <w:t>Average change in:</w:t>
            </w:r>
          </w:p>
        </w:tc>
        <w:tc>
          <w:tcPr>
            <w:tcW w:w="141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tcPr>
          <w:p w14:paraId="70F5F514" w14:textId="3A5F1CB8" w:rsidR="00CB5946" w:rsidRPr="00B4277A" w:rsidRDefault="00CB5946" w:rsidP="00937279">
            <w:pPr>
              <w:spacing w:before="60" w:after="60"/>
              <w:jc w:val="right"/>
              <w:rPr>
                <w:b/>
                <w:sz w:val="20"/>
                <w:szCs w:val="20"/>
                <w:lang w:eastAsia="en-NZ"/>
              </w:rPr>
            </w:pPr>
            <w:r w:rsidRPr="00B4277A">
              <w:rPr>
                <w:rFonts w:ascii="Arial Bold" w:hAnsi="Arial Bold"/>
                <w:b/>
                <w:spacing w:val="-3"/>
                <w:sz w:val="20"/>
                <w:szCs w:val="20"/>
                <w:lang w:eastAsia="en-NZ"/>
              </w:rPr>
              <w:t>Average gain from all elements</w:t>
            </w:r>
            <w:r w:rsidRPr="00B4277A">
              <w:rPr>
                <w:rStyle w:val="FootnoteReference"/>
                <w:b/>
                <w:bCs/>
                <w:color w:val="333333"/>
                <w:sz w:val="20"/>
                <w:szCs w:val="20"/>
                <w:lang w:eastAsia="en-NZ"/>
              </w:rPr>
              <w:footnoteReference w:id="2"/>
            </w:r>
          </w:p>
        </w:tc>
      </w:tr>
      <w:tr w:rsidR="00A53D12" w:rsidRPr="00B4277A" w14:paraId="6B966277" w14:textId="26C7FD53" w:rsidTr="00CB5946">
        <w:trPr>
          <w:trHeight w:val="146"/>
        </w:trPr>
        <w:tc>
          <w:tcPr>
            <w:tcW w:w="907" w:type="dxa"/>
            <w:vMerge/>
            <w:tcBorders>
              <w:left w:val="single" w:sz="4" w:space="0" w:color="808080" w:themeColor="background1" w:themeShade="80"/>
              <w:bottom w:val="single" w:sz="4" w:space="0" w:color="808080" w:themeColor="background1" w:themeShade="80"/>
              <w:right w:val="nil"/>
            </w:tcBorders>
            <w:shd w:val="clear" w:color="auto" w:fill="F2F2F2" w:themeFill="background1" w:themeFillShade="F2"/>
            <w:vAlign w:val="bottom"/>
            <w:hideMark/>
          </w:tcPr>
          <w:p w14:paraId="1FB11A82" w14:textId="77777777" w:rsidR="00CB5946" w:rsidRPr="00B4277A" w:rsidRDefault="00CB5946" w:rsidP="00937279">
            <w:pPr>
              <w:spacing w:before="60" w:after="60"/>
              <w:jc w:val="center"/>
              <w:rPr>
                <w:b/>
                <w:sz w:val="20"/>
                <w:szCs w:val="20"/>
                <w:lang w:eastAsia="en-NZ"/>
              </w:rPr>
            </w:pPr>
          </w:p>
        </w:tc>
        <w:tc>
          <w:tcPr>
            <w:tcW w:w="1056" w:type="dxa"/>
            <w:vMerge/>
            <w:tcBorders>
              <w:left w:val="nil"/>
              <w:bottom w:val="single" w:sz="4" w:space="0" w:color="808080" w:themeColor="background1" w:themeShade="80"/>
              <w:right w:val="nil"/>
            </w:tcBorders>
            <w:shd w:val="clear" w:color="auto" w:fill="F2F2F2" w:themeFill="background1" w:themeFillShade="F2"/>
            <w:vAlign w:val="bottom"/>
          </w:tcPr>
          <w:p w14:paraId="68529EC1" w14:textId="77777777" w:rsidR="00CB5946" w:rsidRPr="00B4277A" w:rsidRDefault="00CB5946" w:rsidP="00937279">
            <w:pPr>
              <w:spacing w:before="60" w:after="60"/>
              <w:jc w:val="right"/>
              <w:rPr>
                <w:b/>
                <w:sz w:val="20"/>
                <w:szCs w:val="20"/>
                <w:lang w:eastAsia="en-NZ"/>
              </w:rPr>
            </w:pPr>
          </w:p>
        </w:tc>
        <w:tc>
          <w:tcPr>
            <w:tcW w:w="1298" w:type="dxa"/>
            <w:vMerge/>
            <w:tcBorders>
              <w:left w:val="nil"/>
              <w:bottom w:val="single" w:sz="4" w:space="0" w:color="808080" w:themeColor="background1" w:themeShade="80"/>
              <w:right w:val="nil"/>
            </w:tcBorders>
            <w:shd w:val="clear" w:color="auto" w:fill="F2F2F2" w:themeFill="background1" w:themeFillShade="F2"/>
            <w:vAlign w:val="bottom"/>
          </w:tcPr>
          <w:p w14:paraId="44A12E6D" w14:textId="77777777" w:rsidR="00CB5946" w:rsidRPr="00B4277A" w:rsidRDefault="00CB5946" w:rsidP="00937279">
            <w:pPr>
              <w:spacing w:before="60" w:after="60"/>
              <w:jc w:val="right"/>
              <w:rPr>
                <w:b/>
                <w:sz w:val="20"/>
                <w:szCs w:val="20"/>
                <w:lang w:eastAsia="en-NZ"/>
              </w:rPr>
            </w:pPr>
          </w:p>
        </w:tc>
        <w:tc>
          <w:tcPr>
            <w:tcW w:w="102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vAlign w:val="bottom"/>
            <w:hideMark/>
          </w:tcPr>
          <w:p w14:paraId="7BF2D9D7" w14:textId="77777777" w:rsidR="00CB5946" w:rsidRPr="00B4277A" w:rsidRDefault="00CB5946" w:rsidP="00937279">
            <w:pPr>
              <w:spacing w:before="60" w:after="60"/>
              <w:jc w:val="right"/>
              <w:rPr>
                <w:b/>
                <w:sz w:val="20"/>
                <w:szCs w:val="20"/>
                <w:lang w:eastAsia="en-NZ"/>
              </w:rPr>
            </w:pPr>
            <w:r w:rsidRPr="00B4277A">
              <w:rPr>
                <w:b/>
                <w:sz w:val="20"/>
                <w:szCs w:val="20"/>
                <w:lang w:eastAsia="en-NZ"/>
              </w:rPr>
              <w:t>Tax</w:t>
            </w:r>
          </w:p>
        </w:tc>
        <w:tc>
          <w:tcPr>
            <w:tcW w:w="1028" w:type="dxa"/>
            <w:tcBorders>
              <w:top w:val="single" w:sz="4" w:space="0" w:color="808080" w:themeColor="background1" w:themeShade="80"/>
              <w:left w:val="nil"/>
              <w:bottom w:val="single" w:sz="4" w:space="0" w:color="808080" w:themeColor="background1" w:themeShade="80"/>
              <w:right w:val="nil"/>
            </w:tcBorders>
            <w:shd w:val="clear" w:color="auto" w:fill="F2F2F2" w:themeFill="background1" w:themeFillShade="F2"/>
            <w:vAlign w:val="bottom"/>
            <w:hideMark/>
          </w:tcPr>
          <w:p w14:paraId="2E9C0E35" w14:textId="77777777" w:rsidR="00CB5946" w:rsidRPr="00B4277A" w:rsidRDefault="00CB5946" w:rsidP="00937279">
            <w:pPr>
              <w:spacing w:before="60" w:after="60"/>
              <w:jc w:val="right"/>
              <w:rPr>
                <w:b/>
                <w:sz w:val="20"/>
                <w:szCs w:val="20"/>
                <w:lang w:eastAsia="en-NZ"/>
              </w:rPr>
            </w:pPr>
            <w:r w:rsidRPr="00B4277A">
              <w:rPr>
                <w:b/>
                <w:sz w:val="20"/>
                <w:szCs w:val="20"/>
                <w:lang w:eastAsia="en-NZ"/>
              </w:rPr>
              <w:t>IETC</w:t>
            </w:r>
          </w:p>
        </w:tc>
        <w:tc>
          <w:tcPr>
            <w:tcW w:w="1027" w:type="dxa"/>
            <w:tcBorders>
              <w:top w:val="single" w:sz="4" w:space="0" w:color="808080" w:themeColor="background1" w:themeShade="80"/>
              <w:left w:val="nil"/>
              <w:bottom w:val="single" w:sz="4" w:space="0" w:color="808080" w:themeColor="background1" w:themeShade="80"/>
              <w:right w:val="nil"/>
            </w:tcBorders>
            <w:shd w:val="clear" w:color="auto" w:fill="F2F2F2" w:themeFill="background1" w:themeFillShade="F2"/>
            <w:vAlign w:val="bottom"/>
          </w:tcPr>
          <w:p w14:paraId="33D9DFE5" w14:textId="77777777" w:rsidR="00CB5946" w:rsidRPr="00B4277A" w:rsidRDefault="00CB5946" w:rsidP="00937279">
            <w:pPr>
              <w:spacing w:before="60" w:after="60"/>
              <w:jc w:val="right"/>
              <w:rPr>
                <w:b/>
                <w:sz w:val="20"/>
                <w:szCs w:val="20"/>
                <w:lang w:eastAsia="en-NZ"/>
              </w:rPr>
            </w:pPr>
            <w:r w:rsidRPr="00B4277A">
              <w:rPr>
                <w:b/>
                <w:sz w:val="20"/>
                <w:szCs w:val="20"/>
                <w:lang w:eastAsia="en-NZ"/>
              </w:rPr>
              <w:t>WFF</w:t>
            </w:r>
          </w:p>
        </w:tc>
        <w:tc>
          <w:tcPr>
            <w:tcW w:w="102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bottom"/>
          </w:tcPr>
          <w:p w14:paraId="486F2976" w14:textId="77777777" w:rsidR="00CB5946" w:rsidRPr="00B4277A" w:rsidRDefault="00CB5946" w:rsidP="00937279">
            <w:pPr>
              <w:spacing w:before="60" w:after="60"/>
              <w:jc w:val="right"/>
              <w:rPr>
                <w:b/>
                <w:sz w:val="20"/>
                <w:szCs w:val="20"/>
                <w:lang w:eastAsia="en-NZ"/>
              </w:rPr>
            </w:pPr>
            <w:r w:rsidRPr="00B4277A">
              <w:rPr>
                <w:b/>
                <w:sz w:val="20"/>
                <w:szCs w:val="20"/>
                <w:lang w:eastAsia="en-NZ"/>
              </w:rPr>
              <w:t>AS</w:t>
            </w:r>
          </w:p>
        </w:tc>
        <w:tc>
          <w:tcPr>
            <w:tcW w:w="141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4E12C5" w14:textId="01587A79" w:rsidR="00CB5946" w:rsidRPr="00B4277A" w:rsidRDefault="00CB5946" w:rsidP="00937279">
            <w:pPr>
              <w:spacing w:before="60" w:after="60"/>
              <w:jc w:val="right"/>
              <w:rPr>
                <w:b/>
                <w:sz w:val="20"/>
                <w:szCs w:val="20"/>
                <w:lang w:eastAsia="en-NZ"/>
              </w:rPr>
            </w:pPr>
          </w:p>
        </w:tc>
      </w:tr>
      <w:tr w:rsidR="00AF6468" w:rsidRPr="00313765" w14:paraId="2314CB06" w14:textId="0B33038F" w:rsidTr="00AF6468">
        <w:trPr>
          <w:trHeight w:val="20"/>
        </w:trPr>
        <w:tc>
          <w:tcPr>
            <w:tcW w:w="907" w:type="dxa"/>
            <w:tcBorders>
              <w:top w:val="single" w:sz="4" w:space="0" w:color="808080" w:themeColor="background1" w:themeShade="80"/>
              <w:left w:val="single" w:sz="4" w:space="0" w:color="808080" w:themeColor="background1" w:themeShade="80"/>
              <w:bottom w:val="nil"/>
              <w:right w:val="nil"/>
            </w:tcBorders>
            <w:shd w:val="clear" w:color="000000" w:fill="FFFFFF"/>
            <w:hideMark/>
          </w:tcPr>
          <w:p w14:paraId="034C5DD4" w14:textId="77777777" w:rsidR="00CB5946" w:rsidRPr="00313765" w:rsidRDefault="00CB5946" w:rsidP="00CB5946">
            <w:pPr>
              <w:spacing w:before="60" w:after="60"/>
              <w:jc w:val="center"/>
              <w:rPr>
                <w:sz w:val="20"/>
                <w:szCs w:val="20"/>
                <w:lang w:eastAsia="en-NZ"/>
              </w:rPr>
            </w:pPr>
            <w:r w:rsidRPr="00313765">
              <w:rPr>
                <w:sz w:val="20"/>
                <w:szCs w:val="20"/>
                <w:lang w:eastAsia="en-NZ"/>
              </w:rPr>
              <w:t>1</w:t>
            </w:r>
          </w:p>
        </w:tc>
        <w:tc>
          <w:tcPr>
            <w:tcW w:w="1056" w:type="dxa"/>
            <w:tcBorders>
              <w:top w:val="single" w:sz="4" w:space="0" w:color="808080" w:themeColor="background1" w:themeShade="80"/>
              <w:left w:val="nil"/>
              <w:bottom w:val="nil"/>
              <w:right w:val="nil"/>
            </w:tcBorders>
            <w:shd w:val="clear" w:color="000000" w:fill="FFFFFF"/>
          </w:tcPr>
          <w:p w14:paraId="23B84564" w14:textId="77777777" w:rsidR="00CB5946" w:rsidRPr="00313765" w:rsidRDefault="00CB5946" w:rsidP="00CB5946">
            <w:pPr>
              <w:spacing w:before="60" w:after="60"/>
              <w:jc w:val="right"/>
              <w:rPr>
                <w:sz w:val="20"/>
                <w:szCs w:val="20"/>
                <w:lang w:eastAsia="en-NZ"/>
              </w:rPr>
            </w:pPr>
            <w:r w:rsidRPr="00313765">
              <w:rPr>
                <w:sz w:val="20"/>
                <w:szCs w:val="20"/>
                <w:lang w:eastAsia="en-NZ"/>
              </w:rPr>
              <w:t>*</w:t>
            </w:r>
          </w:p>
        </w:tc>
        <w:tc>
          <w:tcPr>
            <w:tcW w:w="1298" w:type="dxa"/>
            <w:tcBorders>
              <w:top w:val="single" w:sz="4" w:space="0" w:color="808080" w:themeColor="background1" w:themeShade="80"/>
              <w:left w:val="nil"/>
              <w:bottom w:val="nil"/>
              <w:right w:val="nil"/>
            </w:tcBorders>
            <w:shd w:val="clear" w:color="000000" w:fill="FFFFFF"/>
          </w:tcPr>
          <w:p w14:paraId="6F4AC9B8" w14:textId="77777777" w:rsidR="00CB5946" w:rsidRPr="00313765" w:rsidRDefault="00CB5946" w:rsidP="00CB5946">
            <w:pPr>
              <w:spacing w:before="60" w:after="60"/>
              <w:jc w:val="right"/>
              <w:rPr>
                <w:sz w:val="20"/>
                <w:szCs w:val="20"/>
                <w:lang w:eastAsia="en-NZ"/>
              </w:rPr>
            </w:pPr>
            <w:r w:rsidRPr="00313765">
              <w:rPr>
                <w:sz w:val="20"/>
                <w:szCs w:val="20"/>
                <w:lang w:eastAsia="en-NZ"/>
              </w:rPr>
              <w:t>154,000</w:t>
            </w:r>
          </w:p>
        </w:tc>
        <w:tc>
          <w:tcPr>
            <w:tcW w:w="1027" w:type="dxa"/>
            <w:tcBorders>
              <w:top w:val="single" w:sz="4" w:space="0" w:color="808080" w:themeColor="background1" w:themeShade="80"/>
              <w:left w:val="single" w:sz="4" w:space="0" w:color="808080" w:themeColor="background1" w:themeShade="80"/>
              <w:bottom w:val="nil"/>
              <w:right w:val="nil"/>
            </w:tcBorders>
            <w:shd w:val="clear" w:color="000000" w:fill="FFFFFF"/>
            <w:hideMark/>
          </w:tcPr>
          <w:p w14:paraId="0DBDB5E8"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$5.13 </w:t>
            </w:r>
          </w:p>
        </w:tc>
        <w:tc>
          <w:tcPr>
            <w:tcW w:w="1028" w:type="dxa"/>
            <w:tcBorders>
              <w:top w:val="single" w:sz="4" w:space="0" w:color="808080" w:themeColor="background1" w:themeShade="80"/>
              <w:left w:val="nil"/>
              <w:bottom w:val="nil"/>
              <w:right w:val="nil"/>
            </w:tcBorders>
            <w:shd w:val="clear" w:color="000000" w:fill="FFFFFF"/>
            <w:hideMark/>
          </w:tcPr>
          <w:p w14:paraId="41F83430" w14:textId="77777777" w:rsidR="00CB5946" w:rsidRPr="00313765" w:rsidRDefault="00CB5946" w:rsidP="00CB5946">
            <w:pPr>
              <w:spacing w:before="60" w:after="60"/>
              <w:jc w:val="right"/>
              <w:rPr>
                <w:sz w:val="20"/>
                <w:szCs w:val="20"/>
                <w:lang w:eastAsia="en-NZ"/>
              </w:rPr>
            </w:pPr>
            <w:r w:rsidRPr="00313765">
              <w:rPr>
                <w:sz w:val="20"/>
                <w:szCs w:val="20"/>
                <w:lang w:eastAsia="en-NZ"/>
              </w:rPr>
              <w:t>($0.10)</w:t>
            </w:r>
          </w:p>
        </w:tc>
        <w:tc>
          <w:tcPr>
            <w:tcW w:w="1027" w:type="dxa"/>
            <w:tcBorders>
              <w:top w:val="single" w:sz="4" w:space="0" w:color="808080" w:themeColor="background1" w:themeShade="80"/>
              <w:left w:val="nil"/>
              <w:bottom w:val="nil"/>
              <w:right w:val="nil"/>
            </w:tcBorders>
            <w:shd w:val="clear" w:color="000000" w:fill="FFFFFF"/>
          </w:tcPr>
          <w:p w14:paraId="69F6E409"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$16.63 </w:t>
            </w:r>
          </w:p>
        </w:tc>
        <w:tc>
          <w:tcPr>
            <w:tcW w:w="1028" w:type="dxa"/>
            <w:tcBorders>
              <w:top w:val="single" w:sz="4" w:space="0" w:color="808080" w:themeColor="background1" w:themeShade="80"/>
              <w:left w:val="nil"/>
              <w:bottom w:val="nil"/>
              <w:right w:val="single" w:sz="4" w:space="0" w:color="808080" w:themeColor="background1" w:themeShade="80"/>
            </w:tcBorders>
            <w:shd w:val="clear" w:color="000000" w:fill="FFFFFF"/>
          </w:tcPr>
          <w:p w14:paraId="3F971BDD"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$17.04 </w:t>
            </w:r>
          </w:p>
        </w:tc>
        <w:tc>
          <w:tcPr>
            <w:tcW w:w="1418" w:type="dxa"/>
            <w:tcBorders>
              <w:top w:val="single" w:sz="4" w:space="0" w:color="808080" w:themeColor="background1" w:themeShade="80"/>
              <w:left w:val="nil"/>
              <w:bottom w:val="nil"/>
              <w:right w:val="single" w:sz="4" w:space="0" w:color="808080" w:themeColor="background1" w:themeShade="80"/>
            </w:tcBorders>
            <w:shd w:val="clear" w:color="000000" w:fill="FFFFFF"/>
          </w:tcPr>
          <w:p w14:paraId="3F1C3F52" w14:textId="1D3091D8" w:rsidR="00CB5946" w:rsidRPr="00313765" w:rsidRDefault="00CB5946" w:rsidP="00CB5946">
            <w:pPr>
              <w:spacing w:before="60" w:after="60"/>
              <w:jc w:val="right"/>
              <w:rPr>
                <w:sz w:val="20"/>
                <w:szCs w:val="20"/>
                <w:lang w:eastAsia="en-NZ"/>
              </w:rPr>
            </w:pPr>
            <w:r w:rsidRPr="00313765">
              <w:rPr>
                <w:sz w:val="20"/>
                <w:szCs w:val="20"/>
                <w:lang w:eastAsia="en-NZ"/>
              </w:rPr>
              <w:t xml:space="preserve">$35.32 </w:t>
            </w:r>
          </w:p>
        </w:tc>
      </w:tr>
      <w:tr w:rsidR="00AF6468" w:rsidRPr="00313765" w14:paraId="72EAE81E" w14:textId="39B5F35F" w:rsidTr="00AF6468">
        <w:trPr>
          <w:trHeight w:val="20"/>
        </w:trPr>
        <w:tc>
          <w:tcPr>
            <w:tcW w:w="907" w:type="dxa"/>
            <w:tcBorders>
              <w:top w:val="nil"/>
              <w:left w:val="single" w:sz="4" w:space="0" w:color="808080" w:themeColor="background1" w:themeShade="80"/>
              <w:bottom w:val="nil"/>
              <w:right w:val="nil"/>
            </w:tcBorders>
            <w:shd w:val="clear" w:color="000000" w:fill="FFFFFF"/>
            <w:hideMark/>
          </w:tcPr>
          <w:p w14:paraId="6FBD6192" w14:textId="77777777" w:rsidR="00CB5946" w:rsidRPr="00313765" w:rsidRDefault="00CB5946" w:rsidP="00CB5946">
            <w:pPr>
              <w:spacing w:before="60" w:after="60"/>
              <w:jc w:val="center"/>
              <w:rPr>
                <w:sz w:val="20"/>
                <w:szCs w:val="20"/>
                <w:lang w:eastAsia="en-NZ"/>
              </w:rPr>
            </w:pPr>
            <w:r w:rsidRPr="00313765">
              <w:rPr>
                <w:sz w:val="20"/>
                <w:szCs w:val="20"/>
                <w:lang w:eastAsia="en-NZ"/>
              </w:rPr>
              <w:t>2</w:t>
            </w:r>
          </w:p>
        </w:tc>
        <w:tc>
          <w:tcPr>
            <w:tcW w:w="1056" w:type="dxa"/>
            <w:tcBorders>
              <w:top w:val="nil"/>
              <w:left w:val="nil"/>
              <w:bottom w:val="nil"/>
              <w:right w:val="nil"/>
            </w:tcBorders>
            <w:shd w:val="clear" w:color="000000" w:fill="FFFFFF"/>
          </w:tcPr>
          <w:p w14:paraId="4F550750" w14:textId="77777777" w:rsidR="00CB5946" w:rsidRPr="00313765" w:rsidRDefault="00CB5946" w:rsidP="00CB5946">
            <w:pPr>
              <w:spacing w:before="60" w:after="60"/>
              <w:jc w:val="right"/>
              <w:rPr>
                <w:sz w:val="20"/>
                <w:szCs w:val="20"/>
                <w:lang w:eastAsia="en-NZ"/>
              </w:rPr>
            </w:pPr>
            <w:r w:rsidRPr="00313765">
              <w:rPr>
                <w:sz w:val="20"/>
                <w:szCs w:val="20"/>
                <w:lang w:eastAsia="en-NZ"/>
              </w:rPr>
              <w:t>$24,000</w:t>
            </w:r>
          </w:p>
        </w:tc>
        <w:tc>
          <w:tcPr>
            <w:tcW w:w="1298" w:type="dxa"/>
            <w:tcBorders>
              <w:top w:val="nil"/>
              <w:left w:val="nil"/>
              <w:bottom w:val="nil"/>
              <w:right w:val="nil"/>
            </w:tcBorders>
            <w:shd w:val="clear" w:color="000000" w:fill="FFFFFF"/>
          </w:tcPr>
          <w:p w14:paraId="0C0669D9" w14:textId="77777777" w:rsidR="00CB5946" w:rsidRPr="00313765" w:rsidRDefault="00CB5946" w:rsidP="00CB5946">
            <w:pPr>
              <w:spacing w:before="60" w:after="60"/>
              <w:jc w:val="right"/>
              <w:rPr>
                <w:sz w:val="20"/>
                <w:szCs w:val="20"/>
                <w:lang w:eastAsia="en-NZ"/>
              </w:rPr>
            </w:pPr>
            <w:r w:rsidRPr="00313765">
              <w:rPr>
                <w:sz w:val="20"/>
                <w:szCs w:val="20"/>
                <w:lang w:eastAsia="en-NZ"/>
              </w:rPr>
              <w:t>296,000</w:t>
            </w:r>
          </w:p>
        </w:tc>
        <w:tc>
          <w:tcPr>
            <w:tcW w:w="1027" w:type="dxa"/>
            <w:tcBorders>
              <w:top w:val="nil"/>
              <w:left w:val="single" w:sz="4" w:space="0" w:color="808080" w:themeColor="background1" w:themeShade="80"/>
              <w:bottom w:val="nil"/>
              <w:right w:val="nil"/>
            </w:tcBorders>
            <w:shd w:val="clear" w:color="000000" w:fill="FFFFFF"/>
            <w:hideMark/>
          </w:tcPr>
          <w:p w14:paraId="349FCEA8"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$11.07 </w:t>
            </w:r>
          </w:p>
        </w:tc>
        <w:tc>
          <w:tcPr>
            <w:tcW w:w="1028" w:type="dxa"/>
            <w:tcBorders>
              <w:top w:val="nil"/>
              <w:left w:val="nil"/>
              <w:bottom w:val="nil"/>
              <w:right w:val="nil"/>
            </w:tcBorders>
            <w:shd w:val="clear" w:color="000000" w:fill="FFFFFF"/>
            <w:hideMark/>
          </w:tcPr>
          <w:p w14:paraId="71C7D2AD" w14:textId="77777777" w:rsidR="00CB5946" w:rsidRPr="00313765" w:rsidRDefault="00CB5946" w:rsidP="00CB5946">
            <w:pPr>
              <w:spacing w:before="60" w:after="60"/>
              <w:jc w:val="right"/>
              <w:rPr>
                <w:sz w:val="20"/>
                <w:szCs w:val="20"/>
                <w:lang w:eastAsia="en-NZ"/>
              </w:rPr>
            </w:pPr>
            <w:r w:rsidRPr="00313765">
              <w:rPr>
                <w:sz w:val="20"/>
                <w:szCs w:val="20"/>
                <w:lang w:eastAsia="en-NZ"/>
              </w:rPr>
              <w:t>($5.73)</w:t>
            </w:r>
          </w:p>
        </w:tc>
        <w:tc>
          <w:tcPr>
            <w:tcW w:w="1027" w:type="dxa"/>
            <w:tcBorders>
              <w:top w:val="nil"/>
              <w:left w:val="nil"/>
              <w:bottom w:val="nil"/>
              <w:right w:val="nil"/>
            </w:tcBorders>
            <w:shd w:val="clear" w:color="000000" w:fill="FFFFFF"/>
          </w:tcPr>
          <w:p w14:paraId="19EA3A46"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$6.10 </w:t>
            </w:r>
          </w:p>
        </w:tc>
        <w:tc>
          <w:tcPr>
            <w:tcW w:w="1028" w:type="dxa"/>
            <w:tcBorders>
              <w:top w:val="nil"/>
              <w:left w:val="nil"/>
              <w:bottom w:val="nil"/>
              <w:right w:val="single" w:sz="4" w:space="0" w:color="808080" w:themeColor="background1" w:themeShade="80"/>
            </w:tcBorders>
            <w:shd w:val="clear" w:color="000000" w:fill="FFFFFF"/>
          </w:tcPr>
          <w:p w14:paraId="49CA59FC"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$3.81 </w:t>
            </w:r>
          </w:p>
        </w:tc>
        <w:tc>
          <w:tcPr>
            <w:tcW w:w="1418" w:type="dxa"/>
            <w:tcBorders>
              <w:top w:val="nil"/>
              <w:left w:val="nil"/>
              <w:bottom w:val="nil"/>
              <w:right w:val="single" w:sz="4" w:space="0" w:color="808080" w:themeColor="background1" w:themeShade="80"/>
            </w:tcBorders>
            <w:shd w:val="clear" w:color="000000" w:fill="FFFFFF"/>
          </w:tcPr>
          <w:p w14:paraId="14466166" w14:textId="6B57D2E0" w:rsidR="00CB5946" w:rsidRPr="00313765" w:rsidRDefault="00CB5946" w:rsidP="00CB5946">
            <w:pPr>
              <w:spacing w:before="60" w:after="60"/>
              <w:jc w:val="right"/>
              <w:rPr>
                <w:sz w:val="20"/>
                <w:szCs w:val="20"/>
                <w:lang w:eastAsia="en-NZ"/>
              </w:rPr>
            </w:pPr>
            <w:r w:rsidRPr="00313765">
              <w:rPr>
                <w:sz w:val="20"/>
                <w:szCs w:val="20"/>
                <w:lang w:eastAsia="en-NZ"/>
              </w:rPr>
              <w:t xml:space="preserve">$15.11 </w:t>
            </w:r>
          </w:p>
        </w:tc>
      </w:tr>
      <w:tr w:rsidR="00AF6468" w:rsidRPr="00313765" w14:paraId="12F820B4" w14:textId="6B135062" w:rsidTr="00AF6468">
        <w:trPr>
          <w:trHeight w:val="20"/>
        </w:trPr>
        <w:tc>
          <w:tcPr>
            <w:tcW w:w="907" w:type="dxa"/>
            <w:tcBorders>
              <w:top w:val="nil"/>
              <w:left w:val="single" w:sz="4" w:space="0" w:color="808080" w:themeColor="background1" w:themeShade="80"/>
              <w:bottom w:val="nil"/>
              <w:right w:val="nil"/>
            </w:tcBorders>
            <w:shd w:val="clear" w:color="000000" w:fill="FFFFFF"/>
            <w:hideMark/>
          </w:tcPr>
          <w:p w14:paraId="38D7C35B" w14:textId="77777777" w:rsidR="00CB5946" w:rsidRPr="00313765" w:rsidRDefault="00CB5946" w:rsidP="00CB5946">
            <w:pPr>
              <w:spacing w:before="60" w:after="60"/>
              <w:jc w:val="center"/>
              <w:rPr>
                <w:sz w:val="20"/>
                <w:szCs w:val="20"/>
                <w:lang w:eastAsia="en-NZ"/>
              </w:rPr>
            </w:pPr>
            <w:r w:rsidRPr="00313765">
              <w:rPr>
                <w:sz w:val="20"/>
                <w:szCs w:val="20"/>
                <w:lang w:eastAsia="en-NZ"/>
              </w:rPr>
              <w:t>3</w:t>
            </w:r>
          </w:p>
        </w:tc>
        <w:tc>
          <w:tcPr>
            <w:tcW w:w="1056" w:type="dxa"/>
            <w:tcBorders>
              <w:top w:val="nil"/>
              <w:left w:val="nil"/>
              <w:bottom w:val="nil"/>
              <w:right w:val="nil"/>
            </w:tcBorders>
            <w:shd w:val="clear" w:color="000000" w:fill="FFFFFF"/>
          </w:tcPr>
          <w:p w14:paraId="486E48A8" w14:textId="77777777" w:rsidR="00CB5946" w:rsidRPr="00313765" w:rsidRDefault="00CB5946" w:rsidP="00CB5946">
            <w:pPr>
              <w:spacing w:before="60" w:after="60"/>
              <w:jc w:val="right"/>
              <w:rPr>
                <w:sz w:val="20"/>
                <w:szCs w:val="20"/>
                <w:lang w:eastAsia="en-NZ"/>
              </w:rPr>
            </w:pPr>
            <w:r w:rsidRPr="00313765">
              <w:rPr>
                <w:sz w:val="20"/>
                <w:szCs w:val="20"/>
                <w:lang w:eastAsia="en-NZ"/>
              </w:rPr>
              <w:t>$51,000</w:t>
            </w:r>
          </w:p>
        </w:tc>
        <w:tc>
          <w:tcPr>
            <w:tcW w:w="1298" w:type="dxa"/>
            <w:tcBorders>
              <w:top w:val="nil"/>
              <w:left w:val="nil"/>
              <w:bottom w:val="nil"/>
              <w:right w:val="nil"/>
            </w:tcBorders>
            <w:shd w:val="clear" w:color="000000" w:fill="FFFFFF"/>
          </w:tcPr>
          <w:p w14:paraId="49E643A0" w14:textId="77777777" w:rsidR="00CB5946" w:rsidRPr="00313765" w:rsidRDefault="00CB5946" w:rsidP="00CB5946">
            <w:pPr>
              <w:spacing w:before="60" w:after="60"/>
              <w:jc w:val="right"/>
              <w:rPr>
                <w:sz w:val="20"/>
                <w:szCs w:val="20"/>
                <w:lang w:eastAsia="en-NZ"/>
              </w:rPr>
            </w:pPr>
            <w:r w:rsidRPr="00313765">
              <w:rPr>
                <w:sz w:val="20"/>
                <w:szCs w:val="20"/>
                <w:lang w:eastAsia="en-NZ"/>
              </w:rPr>
              <w:t>296,000</w:t>
            </w:r>
          </w:p>
        </w:tc>
        <w:tc>
          <w:tcPr>
            <w:tcW w:w="1027" w:type="dxa"/>
            <w:tcBorders>
              <w:top w:val="nil"/>
              <w:left w:val="single" w:sz="4" w:space="0" w:color="808080" w:themeColor="background1" w:themeShade="80"/>
              <w:bottom w:val="nil"/>
              <w:right w:val="nil"/>
            </w:tcBorders>
            <w:shd w:val="clear" w:color="000000" w:fill="FFFFFF"/>
            <w:hideMark/>
          </w:tcPr>
          <w:p w14:paraId="71BB90AD"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$20.90 </w:t>
            </w:r>
          </w:p>
        </w:tc>
        <w:tc>
          <w:tcPr>
            <w:tcW w:w="1028" w:type="dxa"/>
            <w:tcBorders>
              <w:top w:val="nil"/>
              <w:left w:val="nil"/>
              <w:bottom w:val="nil"/>
              <w:right w:val="nil"/>
            </w:tcBorders>
            <w:shd w:val="clear" w:color="000000" w:fill="FFFFFF"/>
            <w:hideMark/>
          </w:tcPr>
          <w:p w14:paraId="43AA261F" w14:textId="77777777" w:rsidR="00CB5946" w:rsidRPr="00313765" w:rsidRDefault="00CB5946" w:rsidP="00CB5946">
            <w:pPr>
              <w:spacing w:before="60" w:after="60"/>
              <w:jc w:val="right"/>
              <w:rPr>
                <w:sz w:val="20"/>
                <w:szCs w:val="20"/>
                <w:lang w:eastAsia="en-NZ"/>
              </w:rPr>
            </w:pPr>
            <w:r w:rsidRPr="00313765">
              <w:rPr>
                <w:sz w:val="20"/>
                <w:szCs w:val="20"/>
                <w:lang w:eastAsia="en-NZ"/>
              </w:rPr>
              <w:t>($2.32)</w:t>
            </w:r>
          </w:p>
        </w:tc>
        <w:tc>
          <w:tcPr>
            <w:tcW w:w="1027" w:type="dxa"/>
            <w:tcBorders>
              <w:top w:val="nil"/>
              <w:left w:val="nil"/>
              <w:bottom w:val="nil"/>
              <w:right w:val="nil"/>
            </w:tcBorders>
            <w:shd w:val="clear" w:color="000000" w:fill="FFFFFF"/>
          </w:tcPr>
          <w:p w14:paraId="7185550A"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$2.98 </w:t>
            </w:r>
          </w:p>
        </w:tc>
        <w:tc>
          <w:tcPr>
            <w:tcW w:w="1028" w:type="dxa"/>
            <w:tcBorders>
              <w:top w:val="nil"/>
              <w:left w:val="nil"/>
              <w:bottom w:val="nil"/>
              <w:right w:val="single" w:sz="4" w:space="0" w:color="808080" w:themeColor="background1" w:themeShade="80"/>
            </w:tcBorders>
            <w:shd w:val="clear" w:color="000000" w:fill="FFFFFF"/>
          </w:tcPr>
          <w:p w14:paraId="231C6269"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$2.14 </w:t>
            </w:r>
          </w:p>
        </w:tc>
        <w:tc>
          <w:tcPr>
            <w:tcW w:w="1418" w:type="dxa"/>
            <w:tcBorders>
              <w:top w:val="nil"/>
              <w:left w:val="nil"/>
              <w:bottom w:val="nil"/>
              <w:right w:val="single" w:sz="4" w:space="0" w:color="808080" w:themeColor="background1" w:themeShade="80"/>
            </w:tcBorders>
            <w:shd w:val="clear" w:color="000000" w:fill="FFFFFF"/>
          </w:tcPr>
          <w:p w14:paraId="5EFFA0A2" w14:textId="2341B930" w:rsidR="00CB5946" w:rsidRPr="00313765" w:rsidRDefault="00CB5946" w:rsidP="00CB5946">
            <w:pPr>
              <w:spacing w:before="60" w:after="60"/>
              <w:jc w:val="right"/>
              <w:rPr>
                <w:sz w:val="20"/>
                <w:szCs w:val="20"/>
                <w:lang w:eastAsia="en-NZ"/>
              </w:rPr>
            </w:pPr>
            <w:r w:rsidRPr="00313765">
              <w:rPr>
                <w:sz w:val="20"/>
                <w:szCs w:val="20"/>
                <w:lang w:eastAsia="en-NZ"/>
              </w:rPr>
              <w:t xml:space="preserve">$23.69 </w:t>
            </w:r>
          </w:p>
        </w:tc>
      </w:tr>
      <w:tr w:rsidR="00AF6468" w:rsidRPr="00313765" w14:paraId="637871BD" w14:textId="0FC24963" w:rsidTr="00AF6468">
        <w:trPr>
          <w:trHeight w:val="20"/>
        </w:trPr>
        <w:tc>
          <w:tcPr>
            <w:tcW w:w="907" w:type="dxa"/>
            <w:tcBorders>
              <w:top w:val="nil"/>
              <w:left w:val="single" w:sz="4" w:space="0" w:color="808080" w:themeColor="background1" w:themeShade="80"/>
              <w:right w:val="nil"/>
            </w:tcBorders>
            <w:shd w:val="clear" w:color="000000" w:fill="FFFFFF"/>
            <w:hideMark/>
          </w:tcPr>
          <w:p w14:paraId="540B429A" w14:textId="77777777" w:rsidR="00CB5946" w:rsidRPr="00313765" w:rsidRDefault="00CB5946" w:rsidP="00CB5946">
            <w:pPr>
              <w:spacing w:before="60" w:after="60"/>
              <w:jc w:val="center"/>
              <w:rPr>
                <w:sz w:val="20"/>
                <w:szCs w:val="20"/>
                <w:lang w:eastAsia="en-NZ"/>
              </w:rPr>
            </w:pPr>
            <w:r w:rsidRPr="00313765">
              <w:rPr>
                <w:sz w:val="20"/>
                <w:szCs w:val="20"/>
                <w:lang w:eastAsia="en-NZ"/>
              </w:rPr>
              <w:t>4</w:t>
            </w:r>
          </w:p>
        </w:tc>
        <w:tc>
          <w:tcPr>
            <w:tcW w:w="1056" w:type="dxa"/>
            <w:tcBorders>
              <w:top w:val="nil"/>
              <w:left w:val="nil"/>
              <w:right w:val="nil"/>
            </w:tcBorders>
            <w:shd w:val="clear" w:color="000000" w:fill="FFFFFF"/>
          </w:tcPr>
          <w:p w14:paraId="4F06E40A" w14:textId="77777777" w:rsidR="00CB5946" w:rsidRPr="00313765" w:rsidRDefault="00CB5946" w:rsidP="00CB5946">
            <w:pPr>
              <w:spacing w:before="60" w:after="60"/>
              <w:jc w:val="right"/>
              <w:rPr>
                <w:sz w:val="20"/>
                <w:szCs w:val="20"/>
                <w:lang w:eastAsia="en-NZ"/>
              </w:rPr>
            </w:pPr>
            <w:r w:rsidRPr="00313765">
              <w:rPr>
                <w:sz w:val="20"/>
                <w:szCs w:val="20"/>
                <w:lang w:eastAsia="en-NZ"/>
              </w:rPr>
              <w:t>$84,000</w:t>
            </w:r>
          </w:p>
        </w:tc>
        <w:tc>
          <w:tcPr>
            <w:tcW w:w="1298" w:type="dxa"/>
            <w:tcBorders>
              <w:top w:val="nil"/>
              <w:left w:val="nil"/>
              <w:right w:val="nil"/>
            </w:tcBorders>
            <w:shd w:val="clear" w:color="000000" w:fill="FFFFFF"/>
          </w:tcPr>
          <w:p w14:paraId="56672228" w14:textId="77777777" w:rsidR="00CB5946" w:rsidRPr="00313765" w:rsidRDefault="00CB5946" w:rsidP="00CB5946">
            <w:pPr>
              <w:spacing w:before="60" w:after="60"/>
              <w:jc w:val="right"/>
              <w:rPr>
                <w:sz w:val="20"/>
                <w:szCs w:val="20"/>
                <w:lang w:eastAsia="en-NZ"/>
              </w:rPr>
            </w:pPr>
            <w:r w:rsidRPr="00313765">
              <w:rPr>
                <w:sz w:val="20"/>
                <w:szCs w:val="20"/>
                <w:lang w:eastAsia="en-NZ"/>
              </w:rPr>
              <w:t>298,000</w:t>
            </w:r>
          </w:p>
        </w:tc>
        <w:tc>
          <w:tcPr>
            <w:tcW w:w="1027" w:type="dxa"/>
            <w:tcBorders>
              <w:top w:val="nil"/>
              <w:left w:val="single" w:sz="4" w:space="0" w:color="808080" w:themeColor="background1" w:themeShade="80"/>
              <w:right w:val="nil"/>
            </w:tcBorders>
            <w:shd w:val="clear" w:color="000000" w:fill="FFFFFF"/>
            <w:hideMark/>
          </w:tcPr>
          <w:p w14:paraId="18282064"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$28.12 </w:t>
            </w:r>
          </w:p>
        </w:tc>
        <w:tc>
          <w:tcPr>
            <w:tcW w:w="1028" w:type="dxa"/>
            <w:tcBorders>
              <w:top w:val="nil"/>
              <w:left w:val="nil"/>
              <w:right w:val="nil"/>
            </w:tcBorders>
            <w:shd w:val="clear" w:color="000000" w:fill="FFFFFF"/>
            <w:hideMark/>
          </w:tcPr>
          <w:p w14:paraId="566F5858" w14:textId="77777777" w:rsidR="00CB5946" w:rsidRPr="00313765" w:rsidRDefault="00CB5946" w:rsidP="00CB5946">
            <w:pPr>
              <w:spacing w:before="60" w:after="60"/>
              <w:jc w:val="right"/>
              <w:rPr>
                <w:sz w:val="20"/>
                <w:szCs w:val="20"/>
                <w:lang w:eastAsia="en-NZ"/>
              </w:rPr>
            </w:pPr>
            <w:r w:rsidRPr="00313765">
              <w:rPr>
                <w:sz w:val="20"/>
                <w:szCs w:val="20"/>
                <w:lang w:eastAsia="en-NZ"/>
              </w:rPr>
              <w:t>($3.77)</w:t>
            </w:r>
          </w:p>
        </w:tc>
        <w:tc>
          <w:tcPr>
            <w:tcW w:w="1027" w:type="dxa"/>
            <w:tcBorders>
              <w:top w:val="nil"/>
              <w:left w:val="nil"/>
              <w:right w:val="nil"/>
            </w:tcBorders>
            <w:shd w:val="clear" w:color="000000" w:fill="FFFFFF"/>
          </w:tcPr>
          <w:p w14:paraId="089D14C5"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$1.65 </w:t>
            </w:r>
          </w:p>
        </w:tc>
        <w:tc>
          <w:tcPr>
            <w:tcW w:w="1028" w:type="dxa"/>
            <w:tcBorders>
              <w:top w:val="nil"/>
              <w:left w:val="nil"/>
              <w:right w:val="single" w:sz="4" w:space="0" w:color="808080" w:themeColor="background1" w:themeShade="80"/>
            </w:tcBorders>
            <w:shd w:val="clear" w:color="000000" w:fill="FFFFFF"/>
          </w:tcPr>
          <w:p w14:paraId="0D327328"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$0.25 </w:t>
            </w:r>
          </w:p>
        </w:tc>
        <w:tc>
          <w:tcPr>
            <w:tcW w:w="1418" w:type="dxa"/>
            <w:tcBorders>
              <w:top w:val="nil"/>
              <w:left w:val="nil"/>
              <w:right w:val="single" w:sz="4" w:space="0" w:color="808080" w:themeColor="background1" w:themeShade="80"/>
            </w:tcBorders>
            <w:shd w:val="clear" w:color="000000" w:fill="FFFFFF"/>
          </w:tcPr>
          <w:p w14:paraId="2B8608F9" w14:textId="2B6A29CD" w:rsidR="00CB5946" w:rsidRPr="00313765" w:rsidRDefault="00CB5946" w:rsidP="00CB5946">
            <w:pPr>
              <w:spacing w:before="60" w:after="60"/>
              <w:jc w:val="right"/>
              <w:rPr>
                <w:sz w:val="20"/>
                <w:szCs w:val="20"/>
                <w:lang w:eastAsia="en-NZ"/>
              </w:rPr>
            </w:pPr>
            <w:r w:rsidRPr="00313765">
              <w:rPr>
                <w:sz w:val="20"/>
                <w:szCs w:val="20"/>
                <w:lang w:eastAsia="en-NZ"/>
              </w:rPr>
              <w:t xml:space="preserve">$26.24 </w:t>
            </w:r>
          </w:p>
        </w:tc>
      </w:tr>
      <w:tr w:rsidR="00AF6468" w:rsidRPr="00313765" w14:paraId="2559CF47" w14:textId="5013002A" w:rsidTr="00AF6468">
        <w:trPr>
          <w:trHeight w:val="20"/>
        </w:trPr>
        <w:tc>
          <w:tcPr>
            <w:tcW w:w="907" w:type="dxa"/>
            <w:tcBorders>
              <w:top w:val="nil"/>
              <w:left w:val="single" w:sz="4" w:space="0" w:color="808080" w:themeColor="background1" w:themeShade="80"/>
              <w:bottom w:val="single" w:sz="4" w:space="0" w:color="808080" w:themeColor="background1" w:themeShade="80"/>
              <w:right w:val="nil"/>
            </w:tcBorders>
            <w:shd w:val="clear" w:color="000000" w:fill="FFFFFF"/>
            <w:hideMark/>
          </w:tcPr>
          <w:p w14:paraId="1EB03FF2" w14:textId="77777777" w:rsidR="00CB5946" w:rsidRPr="00313765" w:rsidRDefault="00CB5946" w:rsidP="00CB5946">
            <w:pPr>
              <w:spacing w:before="60" w:after="60"/>
              <w:jc w:val="center"/>
              <w:rPr>
                <w:sz w:val="20"/>
                <w:szCs w:val="20"/>
                <w:lang w:eastAsia="en-NZ"/>
              </w:rPr>
            </w:pPr>
            <w:r w:rsidRPr="00313765">
              <w:rPr>
                <w:sz w:val="20"/>
                <w:szCs w:val="20"/>
                <w:lang w:eastAsia="en-NZ"/>
              </w:rPr>
              <w:t>5</w:t>
            </w:r>
          </w:p>
        </w:tc>
        <w:tc>
          <w:tcPr>
            <w:tcW w:w="1056" w:type="dxa"/>
            <w:tcBorders>
              <w:top w:val="nil"/>
              <w:left w:val="nil"/>
              <w:bottom w:val="single" w:sz="4" w:space="0" w:color="808080" w:themeColor="background1" w:themeShade="80"/>
              <w:right w:val="nil"/>
            </w:tcBorders>
            <w:shd w:val="clear" w:color="000000" w:fill="FFFFFF"/>
          </w:tcPr>
          <w:p w14:paraId="6A91EA0C" w14:textId="77777777" w:rsidR="00CB5946" w:rsidRPr="00313765" w:rsidRDefault="00CB5946" w:rsidP="00CB5946">
            <w:pPr>
              <w:spacing w:before="60" w:after="60"/>
              <w:jc w:val="right"/>
              <w:rPr>
                <w:sz w:val="20"/>
                <w:szCs w:val="20"/>
                <w:lang w:eastAsia="en-NZ"/>
              </w:rPr>
            </w:pPr>
            <w:r w:rsidRPr="00313765">
              <w:rPr>
                <w:sz w:val="20"/>
                <w:szCs w:val="20"/>
                <w:lang w:eastAsia="en-NZ"/>
              </w:rPr>
              <w:t>$127,000</w:t>
            </w:r>
          </w:p>
        </w:tc>
        <w:tc>
          <w:tcPr>
            <w:tcW w:w="1298" w:type="dxa"/>
            <w:tcBorders>
              <w:top w:val="nil"/>
              <w:left w:val="nil"/>
              <w:bottom w:val="single" w:sz="4" w:space="0" w:color="808080" w:themeColor="background1" w:themeShade="80"/>
              <w:right w:val="nil"/>
            </w:tcBorders>
            <w:shd w:val="clear" w:color="000000" w:fill="FFFFFF"/>
          </w:tcPr>
          <w:p w14:paraId="7ACCC4F8" w14:textId="77777777" w:rsidR="00CB5946" w:rsidRPr="00313765" w:rsidRDefault="00CB5946" w:rsidP="00CB5946">
            <w:pPr>
              <w:spacing w:before="60" w:after="60"/>
              <w:jc w:val="right"/>
              <w:rPr>
                <w:sz w:val="20"/>
                <w:szCs w:val="20"/>
                <w:lang w:eastAsia="en-NZ"/>
              </w:rPr>
            </w:pPr>
            <w:r w:rsidRPr="00313765">
              <w:rPr>
                <w:sz w:val="20"/>
                <w:szCs w:val="20"/>
                <w:lang w:eastAsia="en-NZ"/>
              </w:rPr>
              <w:t>298,000</w:t>
            </w:r>
          </w:p>
        </w:tc>
        <w:tc>
          <w:tcPr>
            <w:tcW w:w="1027" w:type="dxa"/>
            <w:tcBorders>
              <w:top w:val="nil"/>
              <w:left w:val="single" w:sz="4" w:space="0" w:color="808080" w:themeColor="background1" w:themeShade="80"/>
              <w:bottom w:val="single" w:sz="4" w:space="0" w:color="808080" w:themeColor="background1" w:themeShade="80"/>
              <w:right w:val="nil"/>
            </w:tcBorders>
            <w:shd w:val="clear" w:color="000000" w:fill="FFFFFF"/>
            <w:hideMark/>
          </w:tcPr>
          <w:p w14:paraId="3F5E1A15"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$34.65 </w:t>
            </w:r>
          </w:p>
        </w:tc>
        <w:tc>
          <w:tcPr>
            <w:tcW w:w="1028" w:type="dxa"/>
            <w:tcBorders>
              <w:top w:val="nil"/>
              <w:left w:val="nil"/>
              <w:bottom w:val="single" w:sz="4" w:space="0" w:color="808080" w:themeColor="background1" w:themeShade="80"/>
              <w:right w:val="nil"/>
            </w:tcBorders>
            <w:shd w:val="clear" w:color="000000" w:fill="FFFFFF"/>
            <w:hideMark/>
          </w:tcPr>
          <w:p w14:paraId="181B6A34" w14:textId="77777777" w:rsidR="00CB5946" w:rsidRPr="00313765" w:rsidRDefault="00CB5946" w:rsidP="00CB5946">
            <w:pPr>
              <w:spacing w:before="60" w:after="60"/>
              <w:jc w:val="right"/>
              <w:rPr>
                <w:sz w:val="20"/>
                <w:szCs w:val="20"/>
                <w:lang w:eastAsia="en-NZ"/>
              </w:rPr>
            </w:pPr>
            <w:r w:rsidRPr="00313765">
              <w:rPr>
                <w:sz w:val="20"/>
                <w:szCs w:val="20"/>
                <w:lang w:eastAsia="en-NZ"/>
              </w:rPr>
              <w:t>($1.43)</w:t>
            </w:r>
          </w:p>
        </w:tc>
        <w:tc>
          <w:tcPr>
            <w:tcW w:w="1027" w:type="dxa"/>
            <w:tcBorders>
              <w:top w:val="nil"/>
              <w:left w:val="nil"/>
              <w:bottom w:val="single" w:sz="4" w:space="0" w:color="808080" w:themeColor="background1" w:themeShade="80"/>
              <w:right w:val="nil"/>
            </w:tcBorders>
            <w:shd w:val="clear" w:color="000000" w:fill="FFFFFF"/>
          </w:tcPr>
          <w:p w14:paraId="6EC606CF"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$0.00 </w:t>
            </w:r>
          </w:p>
        </w:tc>
        <w:tc>
          <w:tcPr>
            <w:tcW w:w="1028" w:type="dxa"/>
            <w:tcBorders>
              <w:top w:val="nil"/>
              <w:left w:val="nil"/>
              <w:bottom w:val="single" w:sz="4" w:space="0" w:color="808080" w:themeColor="background1" w:themeShade="80"/>
              <w:right w:val="single" w:sz="4" w:space="0" w:color="808080" w:themeColor="background1" w:themeShade="80"/>
            </w:tcBorders>
            <w:shd w:val="clear" w:color="000000" w:fill="FFFFFF"/>
          </w:tcPr>
          <w:p w14:paraId="3E001CB3" w14:textId="77777777" w:rsidR="00CB5946" w:rsidRPr="00313765" w:rsidRDefault="00CB5946" w:rsidP="00CB5946">
            <w:pPr>
              <w:spacing w:before="60" w:after="60"/>
              <w:jc w:val="right"/>
              <w:rPr>
                <w:sz w:val="20"/>
                <w:szCs w:val="20"/>
                <w:lang w:eastAsia="en-NZ"/>
              </w:rPr>
            </w:pPr>
            <w:r w:rsidRPr="00313765">
              <w:rPr>
                <w:sz w:val="20"/>
                <w:szCs w:val="20"/>
                <w:lang w:eastAsia="en-NZ"/>
              </w:rPr>
              <w:t xml:space="preserve">$0.00 </w:t>
            </w:r>
          </w:p>
        </w:tc>
        <w:tc>
          <w:tcPr>
            <w:tcW w:w="1418" w:type="dxa"/>
            <w:tcBorders>
              <w:top w:val="nil"/>
              <w:left w:val="nil"/>
              <w:bottom w:val="single" w:sz="4" w:space="0" w:color="808080" w:themeColor="background1" w:themeShade="80"/>
              <w:right w:val="single" w:sz="4" w:space="0" w:color="808080" w:themeColor="background1" w:themeShade="80"/>
            </w:tcBorders>
            <w:shd w:val="clear" w:color="000000" w:fill="FFFFFF"/>
          </w:tcPr>
          <w:p w14:paraId="03FA1E95" w14:textId="22D25C44" w:rsidR="00CB5946" w:rsidRPr="00313765" w:rsidRDefault="00CB5946" w:rsidP="00CB5946">
            <w:pPr>
              <w:spacing w:before="60" w:after="60"/>
              <w:jc w:val="right"/>
              <w:rPr>
                <w:sz w:val="20"/>
                <w:szCs w:val="20"/>
                <w:lang w:eastAsia="en-NZ"/>
              </w:rPr>
            </w:pPr>
            <w:r w:rsidRPr="00313765">
              <w:rPr>
                <w:sz w:val="20"/>
                <w:szCs w:val="20"/>
                <w:lang w:eastAsia="en-NZ"/>
              </w:rPr>
              <w:t xml:space="preserve">$33.22 </w:t>
            </w:r>
          </w:p>
        </w:tc>
      </w:tr>
      <w:tr w:rsidR="00AF6468" w:rsidRPr="00313765" w14:paraId="7C22C498" w14:textId="77777777" w:rsidTr="00AF6468">
        <w:trPr>
          <w:trHeight w:val="20"/>
        </w:trPr>
        <w:tc>
          <w:tcPr>
            <w:tcW w:w="90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000000" w:fill="FFFFFF"/>
          </w:tcPr>
          <w:p w14:paraId="34FB20CC" w14:textId="5CDCEAA3" w:rsidR="00CB5946" w:rsidRPr="00313765" w:rsidRDefault="00CB5946" w:rsidP="00CB5946">
            <w:pPr>
              <w:spacing w:before="60" w:after="60"/>
              <w:jc w:val="center"/>
              <w:rPr>
                <w:sz w:val="20"/>
                <w:szCs w:val="20"/>
                <w:lang w:eastAsia="en-NZ"/>
              </w:rPr>
            </w:pPr>
            <w:r>
              <w:rPr>
                <w:sz w:val="20"/>
                <w:szCs w:val="20"/>
                <w:lang w:eastAsia="en-NZ"/>
              </w:rPr>
              <w:t>Total</w:t>
            </w:r>
          </w:p>
        </w:tc>
        <w:tc>
          <w:tcPr>
            <w:tcW w:w="1056" w:type="dxa"/>
            <w:tcBorders>
              <w:top w:val="single" w:sz="4" w:space="0" w:color="808080" w:themeColor="background1" w:themeShade="80"/>
              <w:left w:val="nil"/>
              <w:bottom w:val="single" w:sz="4" w:space="0" w:color="808080" w:themeColor="background1" w:themeShade="80"/>
              <w:right w:val="nil"/>
            </w:tcBorders>
            <w:shd w:val="clear" w:color="000000" w:fill="FFFFFF"/>
          </w:tcPr>
          <w:p w14:paraId="21260F79" w14:textId="77777777" w:rsidR="00CB5946" w:rsidRPr="00313765" w:rsidRDefault="00CB5946" w:rsidP="00CB5946">
            <w:pPr>
              <w:spacing w:before="60" w:after="60"/>
              <w:jc w:val="right"/>
              <w:rPr>
                <w:sz w:val="20"/>
                <w:szCs w:val="20"/>
                <w:lang w:eastAsia="en-NZ"/>
              </w:rPr>
            </w:pPr>
          </w:p>
        </w:tc>
        <w:tc>
          <w:tcPr>
            <w:tcW w:w="1298" w:type="dxa"/>
            <w:tcBorders>
              <w:top w:val="single" w:sz="4" w:space="0" w:color="808080" w:themeColor="background1" w:themeShade="80"/>
              <w:left w:val="nil"/>
              <w:bottom w:val="single" w:sz="4" w:space="0" w:color="808080" w:themeColor="background1" w:themeShade="80"/>
              <w:right w:val="nil"/>
            </w:tcBorders>
            <w:shd w:val="clear" w:color="000000" w:fill="FFFFFF"/>
          </w:tcPr>
          <w:p w14:paraId="4C2C54DF" w14:textId="0B95DECE" w:rsidR="00CB5946" w:rsidRPr="00313765" w:rsidRDefault="007F18B9" w:rsidP="00CB5946">
            <w:pPr>
              <w:spacing w:before="60" w:after="60"/>
              <w:jc w:val="right"/>
              <w:rPr>
                <w:sz w:val="20"/>
                <w:szCs w:val="20"/>
                <w:lang w:eastAsia="en-NZ"/>
              </w:rPr>
            </w:pPr>
            <w:r>
              <w:rPr>
                <w:sz w:val="20"/>
                <w:szCs w:val="20"/>
                <w:lang w:eastAsia="en-NZ"/>
              </w:rPr>
              <w:t>1,342,000</w:t>
            </w:r>
          </w:p>
        </w:tc>
        <w:tc>
          <w:tcPr>
            <w:tcW w:w="102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000000" w:fill="FFFFFF"/>
          </w:tcPr>
          <w:p w14:paraId="5BC0C687" w14:textId="503011FC" w:rsidR="00CB5946" w:rsidRPr="00313765" w:rsidRDefault="007F18B9" w:rsidP="00CB5946">
            <w:pPr>
              <w:spacing w:before="60" w:after="60"/>
              <w:jc w:val="right"/>
              <w:rPr>
                <w:sz w:val="20"/>
                <w:szCs w:val="20"/>
                <w:lang w:eastAsia="en-NZ"/>
              </w:rPr>
            </w:pPr>
            <w:r>
              <w:rPr>
                <w:sz w:val="20"/>
                <w:szCs w:val="20"/>
                <w:lang w:eastAsia="en-NZ"/>
              </w:rPr>
              <w:t>$21.58</w:t>
            </w:r>
          </w:p>
        </w:tc>
        <w:tc>
          <w:tcPr>
            <w:tcW w:w="1028" w:type="dxa"/>
            <w:tcBorders>
              <w:top w:val="single" w:sz="4" w:space="0" w:color="808080" w:themeColor="background1" w:themeShade="80"/>
              <w:left w:val="nil"/>
              <w:bottom w:val="single" w:sz="4" w:space="0" w:color="808080" w:themeColor="background1" w:themeShade="80"/>
              <w:right w:val="nil"/>
            </w:tcBorders>
            <w:shd w:val="clear" w:color="000000" w:fill="FFFFFF"/>
          </w:tcPr>
          <w:p w14:paraId="0D8D08E1" w14:textId="34E246E9" w:rsidR="00CB5946" w:rsidRPr="00313765" w:rsidRDefault="007F18B9" w:rsidP="00CB5946">
            <w:pPr>
              <w:spacing w:before="60" w:after="60"/>
              <w:jc w:val="right"/>
              <w:rPr>
                <w:sz w:val="20"/>
                <w:szCs w:val="20"/>
                <w:lang w:eastAsia="en-NZ"/>
              </w:rPr>
            </w:pPr>
            <w:r>
              <w:rPr>
                <w:sz w:val="20"/>
                <w:szCs w:val="20"/>
                <w:lang w:eastAsia="en-NZ"/>
              </w:rPr>
              <w:t>($2.94)</w:t>
            </w:r>
          </w:p>
        </w:tc>
        <w:tc>
          <w:tcPr>
            <w:tcW w:w="1027" w:type="dxa"/>
            <w:tcBorders>
              <w:top w:val="single" w:sz="4" w:space="0" w:color="808080" w:themeColor="background1" w:themeShade="80"/>
              <w:left w:val="nil"/>
              <w:bottom w:val="single" w:sz="4" w:space="0" w:color="808080" w:themeColor="background1" w:themeShade="80"/>
              <w:right w:val="nil"/>
            </w:tcBorders>
            <w:shd w:val="clear" w:color="000000" w:fill="FFFFFF"/>
          </w:tcPr>
          <w:p w14:paraId="769A5F6D" w14:textId="5C453A9E" w:rsidR="00CB5946" w:rsidRPr="00313765" w:rsidRDefault="007F18B9" w:rsidP="00CB5946">
            <w:pPr>
              <w:spacing w:before="60" w:after="60"/>
              <w:jc w:val="right"/>
              <w:rPr>
                <w:sz w:val="20"/>
                <w:szCs w:val="20"/>
                <w:lang w:eastAsia="en-NZ"/>
              </w:rPr>
            </w:pPr>
            <w:r>
              <w:rPr>
                <w:sz w:val="20"/>
                <w:szCs w:val="20"/>
                <w:lang w:eastAsia="en-NZ"/>
              </w:rPr>
              <w:t>$4.28</w:t>
            </w:r>
          </w:p>
        </w:tc>
        <w:tc>
          <w:tcPr>
            <w:tcW w:w="102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FFFFFF"/>
          </w:tcPr>
          <w:p w14:paraId="1B4BC193" w14:textId="66E6B7A8" w:rsidR="00CB5946" w:rsidRPr="00313765" w:rsidRDefault="007F18B9" w:rsidP="00CB5946">
            <w:pPr>
              <w:spacing w:before="60" w:after="60"/>
              <w:jc w:val="right"/>
              <w:rPr>
                <w:sz w:val="20"/>
                <w:szCs w:val="20"/>
                <w:lang w:eastAsia="en-NZ"/>
              </w:rPr>
            </w:pPr>
            <w:r>
              <w:rPr>
                <w:sz w:val="20"/>
                <w:szCs w:val="20"/>
                <w:lang w:eastAsia="en-NZ"/>
              </w:rPr>
              <w:t>$3.32</w:t>
            </w:r>
          </w:p>
        </w:tc>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FFFFFF"/>
          </w:tcPr>
          <w:p w14:paraId="444DEA4F" w14:textId="3C209654" w:rsidR="00CB5946" w:rsidRPr="00313765" w:rsidRDefault="007F18B9" w:rsidP="00CB5946">
            <w:pPr>
              <w:spacing w:before="60" w:after="60"/>
              <w:jc w:val="right"/>
              <w:rPr>
                <w:sz w:val="20"/>
                <w:szCs w:val="20"/>
                <w:lang w:eastAsia="en-NZ"/>
              </w:rPr>
            </w:pPr>
            <w:r>
              <w:rPr>
                <w:sz w:val="20"/>
                <w:szCs w:val="20"/>
                <w:lang w:eastAsia="en-NZ"/>
              </w:rPr>
              <w:t>$25.81</w:t>
            </w:r>
          </w:p>
        </w:tc>
      </w:tr>
    </w:tbl>
    <w:p w14:paraId="68382753" w14:textId="77777777" w:rsidR="00CB5946" w:rsidRDefault="00CB5946" w:rsidP="00B4277A">
      <w:pPr>
        <w:pStyle w:val="NoSpacing"/>
      </w:pPr>
    </w:p>
    <w:p w14:paraId="3CEF1DD5" w14:textId="2EB79386" w:rsidR="007F18B9" w:rsidRDefault="00EE393D" w:rsidP="00B4277A">
      <w:pPr>
        <w:pStyle w:val="NoSpacing"/>
      </w:pPr>
      <w:r>
        <w:t>There will be flow-on gains to a</w:t>
      </w:r>
      <w:r w:rsidR="007F18B9">
        <w:t xml:space="preserve">round 750,000 superannuitants and 41,000 </w:t>
      </w:r>
      <w:r>
        <w:t>s</w:t>
      </w:r>
      <w:r w:rsidR="007F18B9">
        <w:t xml:space="preserve">tudents </w:t>
      </w:r>
      <w:r>
        <w:t xml:space="preserve">who </w:t>
      </w:r>
      <w:r w:rsidR="007F18B9">
        <w:t>also benefit from the Family Incomes Package.</w:t>
      </w:r>
    </w:p>
    <w:p w14:paraId="4F42C965" w14:textId="7DFFE68C" w:rsidR="00E332E6" w:rsidRPr="00D90F82" w:rsidRDefault="00E332E6" w:rsidP="00AD24C3">
      <w:pPr>
        <w:pStyle w:val="Heading2"/>
      </w:pPr>
      <w:r w:rsidRPr="00D90F82">
        <w:t xml:space="preserve">What is the </w:t>
      </w:r>
      <w:r w:rsidR="003F5047" w:rsidRPr="00D90F82">
        <w:t xml:space="preserve">economic </w:t>
      </w:r>
      <w:r w:rsidRPr="00D90F82">
        <w:t>effect of the package?</w:t>
      </w:r>
    </w:p>
    <w:p w14:paraId="1C1B54FF" w14:textId="33A54631" w:rsidR="00E332E6" w:rsidRPr="00D90F82" w:rsidRDefault="006240F8" w:rsidP="00AD24C3">
      <w:pPr>
        <w:rPr>
          <w:lang w:val="en-AU"/>
        </w:rPr>
      </w:pPr>
      <w:r>
        <w:rPr>
          <w:lang w:val="en-AU"/>
        </w:rPr>
        <w:t>In the short term, h</w:t>
      </w:r>
      <w:r w:rsidR="00F47F43" w:rsidRPr="00D90F82">
        <w:rPr>
          <w:lang w:val="en-AU"/>
        </w:rPr>
        <w:t>ousehold consumption is expected to increase, increasing employment growth and reducing the unemployment rate by around 0.1 percentage points. Overall, the package</w:t>
      </w:r>
      <w:r w:rsidR="00BF6409" w:rsidRPr="00D90F82">
        <w:rPr>
          <w:lang w:val="en-AU"/>
        </w:rPr>
        <w:t xml:space="preserve"> </w:t>
      </w:r>
      <w:r w:rsidR="00F47F43" w:rsidRPr="00D90F82">
        <w:rPr>
          <w:lang w:val="en-AU"/>
        </w:rPr>
        <w:t>results in a cumulative $3 billion increase in nominal GDP across the five years to June 2021</w:t>
      </w:r>
      <w:r>
        <w:rPr>
          <w:lang w:val="en-AU"/>
        </w:rPr>
        <w:t>. It is expected</w:t>
      </w:r>
      <w:r w:rsidR="00BF6409" w:rsidRPr="00D90F82">
        <w:rPr>
          <w:lang w:val="en-AU"/>
        </w:rPr>
        <w:t xml:space="preserve"> to have</w:t>
      </w:r>
      <w:r w:rsidR="003F5047" w:rsidRPr="00D90F82">
        <w:rPr>
          <w:lang w:val="en-AU"/>
        </w:rPr>
        <w:t xml:space="preserve"> a</w:t>
      </w:r>
      <w:r w:rsidR="00BF6409" w:rsidRPr="00D90F82">
        <w:rPr>
          <w:lang w:val="en-AU"/>
        </w:rPr>
        <w:t xml:space="preserve"> modest</w:t>
      </w:r>
      <w:r w:rsidR="00F034E8" w:rsidRPr="00D90F82">
        <w:rPr>
          <w:lang w:val="en-AU"/>
        </w:rPr>
        <w:t>,</w:t>
      </w:r>
      <w:r w:rsidR="00BF6409" w:rsidRPr="00D90F82">
        <w:rPr>
          <w:lang w:val="en-AU"/>
        </w:rPr>
        <w:t xml:space="preserve"> </w:t>
      </w:r>
      <w:r w:rsidR="003F5047" w:rsidRPr="00D90F82">
        <w:rPr>
          <w:lang w:val="en-AU"/>
        </w:rPr>
        <w:t xml:space="preserve">positive </w:t>
      </w:r>
      <w:r w:rsidR="00BF6409" w:rsidRPr="00D90F82">
        <w:rPr>
          <w:lang w:val="en-AU"/>
        </w:rPr>
        <w:t xml:space="preserve">impact on </w:t>
      </w:r>
      <w:r>
        <w:rPr>
          <w:lang w:val="en-AU"/>
        </w:rPr>
        <w:t>GDP in the long run</w:t>
      </w:r>
      <w:r w:rsidR="00BF6409" w:rsidRPr="00D90F82">
        <w:rPr>
          <w:lang w:val="en-AU"/>
        </w:rPr>
        <w:t>.</w:t>
      </w:r>
    </w:p>
    <w:p w14:paraId="7FB2FDA7" w14:textId="77777777" w:rsidR="00313765" w:rsidRDefault="00313765" w:rsidP="00313765">
      <w:pPr>
        <w:pStyle w:val="NoSpacing"/>
      </w:pPr>
    </w:p>
    <w:p w14:paraId="205155CD" w14:textId="32C30C13" w:rsidR="00BF6409" w:rsidRPr="00D90F82" w:rsidRDefault="00BF6409" w:rsidP="00555DE3">
      <w:pPr>
        <w:pStyle w:val="Heading2"/>
        <w:pageBreakBefore/>
      </w:pPr>
      <w:r w:rsidRPr="00D90F82">
        <w:lastRenderedPageBreak/>
        <w:t>How much does the package cost?</w:t>
      </w:r>
    </w:p>
    <w:p w14:paraId="5E9CDB26" w14:textId="0C7D41B7" w:rsidR="00BF6409" w:rsidRPr="00D90F82" w:rsidRDefault="00BF6409" w:rsidP="00AD24C3">
      <w:pPr>
        <w:rPr>
          <w:lang w:val="en-AU"/>
        </w:rPr>
      </w:pPr>
      <w:r w:rsidRPr="00D90F82">
        <w:rPr>
          <w:lang w:val="en-AU"/>
        </w:rPr>
        <w:t xml:space="preserve">The total </w:t>
      </w:r>
      <w:r w:rsidR="00AF05AE" w:rsidRPr="00D90F82">
        <w:rPr>
          <w:lang w:val="en-AU"/>
        </w:rPr>
        <w:t xml:space="preserve">net </w:t>
      </w:r>
      <w:r w:rsidRPr="00D90F82">
        <w:rPr>
          <w:lang w:val="en-AU"/>
        </w:rPr>
        <w:t>cost of the Fami</w:t>
      </w:r>
      <w:r w:rsidR="00D77EBC" w:rsidRPr="00D90F82">
        <w:rPr>
          <w:lang w:val="en-AU"/>
        </w:rPr>
        <w:t xml:space="preserve">ly Incomes Package is </w:t>
      </w:r>
      <w:r w:rsidR="00A411E8">
        <w:rPr>
          <w:lang w:val="en-AU"/>
        </w:rPr>
        <w:t>on average</w:t>
      </w:r>
      <w:r w:rsidR="00D77EBC" w:rsidRPr="00D90F82">
        <w:rPr>
          <w:lang w:val="en-AU"/>
        </w:rPr>
        <w:t xml:space="preserve"> $</w:t>
      </w:r>
      <w:r w:rsidR="00A719EE">
        <w:rPr>
          <w:lang w:val="en-AU"/>
        </w:rPr>
        <w:t>2</w:t>
      </w:r>
      <w:r w:rsidRPr="00D90F82">
        <w:rPr>
          <w:lang w:val="en-AU"/>
        </w:rPr>
        <w:t xml:space="preserve"> billion </w:t>
      </w:r>
      <w:r w:rsidR="00A411E8">
        <w:rPr>
          <w:lang w:val="en-AU"/>
        </w:rPr>
        <w:t>per</w:t>
      </w:r>
      <w:r w:rsidR="00313765">
        <w:rPr>
          <w:lang w:val="en-AU"/>
        </w:rPr>
        <w:t> </w:t>
      </w:r>
      <w:r w:rsidRPr="00D90F82">
        <w:rPr>
          <w:lang w:val="en-AU"/>
        </w:rPr>
        <w:t xml:space="preserve">year, and </w:t>
      </w:r>
      <w:r w:rsidR="00AF05AE" w:rsidRPr="00D90F82">
        <w:rPr>
          <w:lang w:val="en-AU"/>
        </w:rPr>
        <w:t>about $</w:t>
      </w:r>
      <w:r w:rsidR="00F034E8" w:rsidRPr="00D90F82">
        <w:rPr>
          <w:lang w:val="en-AU"/>
        </w:rPr>
        <w:t>6.5</w:t>
      </w:r>
      <w:r w:rsidR="00AF05AE" w:rsidRPr="00D90F82">
        <w:rPr>
          <w:lang w:val="en-AU"/>
        </w:rPr>
        <w:t xml:space="preserve"> billion over the four-year Budget forecast period.</w:t>
      </w:r>
    </w:p>
    <w:p w14:paraId="4C2E68B8" w14:textId="7450323B" w:rsidR="00AF05AE" w:rsidRPr="00D90F82" w:rsidRDefault="00AF05AE" w:rsidP="00AD24C3">
      <w:pPr>
        <w:rPr>
          <w:lang w:val="en-AU"/>
        </w:rPr>
      </w:pPr>
      <w:r w:rsidRPr="00313765">
        <w:rPr>
          <w:b/>
          <w:lang w:val="en-AU"/>
        </w:rPr>
        <w:t xml:space="preserve">Table </w:t>
      </w:r>
      <w:r w:rsidR="00633ABB">
        <w:rPr>
          <w:b/>
          <w:lang w:val="en-AU"/>
        </w:rPr>
        <w:t>2</w:t>
      </w:r>
      <w:r w:rsidRPr="00D90F82">
        <w:rPr>
          <w:lang w:val="en-AU"/>
        </w:rPr>
        <w:t xml:space="preserve">: Cost by </w:t>
      </w:r>
      <w:r w:rsidR="00C37BDD">
        <w:rPr>
          <w:lang w:val="en-AU"/>
        </w:rPr>
        <w:t>element</w:t>
      </w:r>
      <w:r w:rsidRPr="00D90F82">
        <w:rPr>
          <w:lang w:val="en-AU"/>
        </w:rPr>
        <w:t xml:space="preserve"> of</w:t>
      </w:r>
      <w:r w:rsidR="00D100BC">
        <w:rPr>
          <w:lang w:val="en-AU"/>
        </w:rPr>
        <w:t xml:space="preserve"> the</w:t>
      </w:r>
      <w:r w:rsidRPr="00D90F82">
        <w:rPr>
          <w:lang w:val="en-AU"/>
        </w:rPr>
        <w:t xml:space="preserve"> Family Incomes Package</w:t>
      </w:r>
    </w:p>
    <w:tbl>
      <w:tblPr>
        <w:tblW w:w="8698" w:type="dxa"/>
        <w:tblInd w:w="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970"/>
        <w:gridCol w:w="1179"/>
        <w:gridCol w:w="1179"/>
        <w:gridCol w:w="1179"/>
        <w:gridCol w:w="1191"/>
      </w:tblGrid>
      <w:tr w:rsidR="003F5047" w:rsidRPr="00313765" w14:paraId="75137CF2" w14:textId="77777777" w:rsidTr="00633ABB">
        <w:trPr>
          <w:trHeight w:val="315"/>
        </w:trPr>
        <w:tc>
          <w:tcPr>
            <w:tcW w:w="3970"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hideMark/>
          </w:tcPr>
          <w:p w14:paraId="11E21D03" w14:textId="11D36D81" w:rsidR="003F5047" w:rsidRPr="00313765" w:rsidRDefault="00313765" w:rsidP="00313765">
            <w:pPr>
              <w:spacing w:before="60" w:after="60"/>
              <w:rPr>
                <w:rFonts w:ascii="Calibri" w:hAnsi="Calibri" w:cs="Times New Roman"/>
                <w:b/>
                <w:sz w:val="20"/>
                <w:szCs w:val="20"/>
                <w:lang w:eastAsia="en-NZ"/>
              </w:rPr>
            </w:pPr>
            <w:r>
              <w:rPr>
                <w:b/>
                <w:sz w:val="20"/>
                <w:szCs w:val="20"/>
                <w:lang w:eastAsia="en-NZ"/>
              </w:rPr>
              <w:t>$m</w:t>
            </w:r>
            <w:r w:rsidR="002E769F">
              <w:rPr>
                <w:b/>
                <w:sz w:val="20"/>
                <w:szCs w:val="20"/>
                <w:lang w:eastAsia="en-NZ"/>
              </w:rPr>
              <w:t>illion</w:t>
            </w:r>
          </w:p>
        </w:tc>
        <w:tc>
          <w:tcPr>
            <w:tcW w:w="1179"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hideMark/>
          </w:tcPr>
          <w:p w14:paraId="2A7FAC7F" w14:textId="77777777" w:rsidR="003F5047" w:rsidRPr="00313765" w:rsidRDefault="003F5047" w:rsidP="00AD24C3">
            <w:pPr>
              <w:spacing w:before="60" w:after="60"/>
              <w:jc w:val="right"/>
              <w:rPr>
                <w:b/>
                <w:sz w:val="20"/>
                <w:szCs w:val="20"/>
                <w:lang w:eastAsia="en-NZ"/>
              </w:rPr>
            </w:pPr>
            <w:r w:rsidRPr="00313765">
              <w:rPr>
                <w:b/>
                <w:sz w:val="20"/>
                <w:szCs w:val="20"/>
                <w:lang w:eastAsia="en-NZ"/>
              </w:rPr>
              <w:t>2017/18</w:t>
            </w:r>
          </w:p>
        </w:tc>
        <w:tc>
          <w:tcPr>
            <w:tcW w:w="1179"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hideMark/>
          </w:tcPr>
          <w:p w14:paraId="7F0944A5" w14:textId="77777777" w:rsidR="003F5047" w:rsidRPr="00313765" w:rsidRDefault="003F5047" w:rsidP="00AD24C3">
            <w:pPr>
              <w:spacing w:before="60" w:after="60"/>
              <w:jc w:val="right"/>
              <w:rPr>
                <w:b/>
                <w:sz w:val="20"/>
                <w:szCs w:val="20"/>
                <w:lang w:eastAsia="en-NZ"/>
              </w:rPr>
            </w:pPr>
            <w:r w:rsidRPr="00313765">
              <w:rPr>
                <w:b/>
                <w:sz w:val="20"/>
                <w:szCs w:val="20"/>
                <w:lang w:eastAsia="en-NZ"/>
              </w:rPr>
              <w:t>2018/19</w:t>
            </w:r>
          </w:p>
        </w:tc>
        <w:tc>
          <w:tcPr>
            <w:tcW w:w="1179"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hideMark/>
          </w:tcPr>
          <w:p w14:paraId="219B7D35" w14:textId="77777777" w:rsidR="003F5047" w:rsidRPr="00313765" w:rsidRDefault="003F5047" w:rsidP="00AD24C3">
            <w:pPr>
              <w:spacing w:before="60" w:after="60"/>
              <w:jc w:val="right"/>
              <w:rPr>
                <w:b/>
                <w:sz w:val="20"/>
                <w:szCs w:val="20"/>
                <w:lang w:eastAsia="en-NZ"/>
              </w:rPr>
            </w:pPr>
            <w:r w:rsidRPr="00313765">
              <w:rPr>
                <w:b/>
                <w:sz w:val="20"/>
                <w:szCs w:val="20"/>
                <w:lang w:eastAsia="en-NZ"/>
              </w:rPr>
              <w:t>2019/20</w:t>
            </w:r>
          </w:p>
        </w:tc>
        <w:tc>
          <w:tcPr>
            <w:tcW w:w="1191"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0" w:type="dxa"/>
              <w:left w:w="108" w:type="dxa"/>
              <w:bottom w:w="0" w:type="dxa"/>
              <w:right w:w="108" w:type="dxa"/>
            </w:tcMar>
            <w:vAlign w:val="center"/>
            <w:hideMark/>
          </w:tcPr>
          <w:p w14:paraId="651F191E" w14:textId="77777777" w:rsidR="003F5047" w:rsidRPr="00313765" w:rsidRDefault="003F5047" w:rsidP="00AD24C3">
            <w:pPr>
              <w:spacing w:before="60" w:after="60"/>
              <w:jc w:val="right"/>
              <w:rPr>
                <w:b/>
                <w:sz w:val="20"/>
                <w:szCs w:val="20"/>
                <w:lang w:eastAsia="en-NZ"/>
              </w:rPr>
            </w:pPr>
            <w:r w:rsidRPr="00313765">
              <w:rPr>
                <w:b/>
                <w:sz w:val="20"/>
                <w:szCs w:val="20"/>
                <w:lang w:eastAsia="en-NZ"/>
              </w:rPr>
              <w:t xml:space="preserve">2020/21 </w:t>
            </w:r>
          </w:p>
        </w:tc>
      </w:tr>
      <w:tr w:rsidR="006F02E6" w:rsidRPr="00313765" w14:paraId="2328866E" w14:textId="77777777" w:rsidTr="00633ABB">
        <w:trPr>
          <w:trHeight w:val="315"/>
        </w:trPr>
        <w:tc>
          <w:tcPr>
            <w:tcW w:w="3970" w:type="dxa"/>
            <w:tcBorders>
              <w:top w:val="single" w:sz="4" w:space="0" w:color="808080" w:themeColor="background1" w:themeShade="80"/>
              <w:bottom w:val="single" w:sz="4" w:space="0" w:color="BFBFBF" w:themeColor="background1" w:themeShade="BF"/>
            </w:tcBorders>
            <w:tcMar>
              <w:top w:w="0" w:type="dxa"/>
              <w:left w:w="108" w:type="dxa"/>
              <w:bottom w:w="0" w:type="dxa"/>
              <w:right w:w="108" w:type="dxa"/>
            </w:tcMar>
            <w:vAlign w:val="center"/>
            <w:hideMark/>
          </w:tcPr>
          <w:p w14:paraId="07AD4315" w14:textId="77777777" w:rsidR="006F02E6" w:rsidRPr="00313765" w:rsidRDefault="006F02E6" w:rsidP="006F02E6">
            <w:pPr>
              <w:spacing w:before="60" w:after="60"/>
              <w:rPr>
                <w:sz w:val="20"/>
                <w:szCs w:val="20"/>
                <w:lang w:eastAsia="en-NZ"/>
              </w:rPr>
            </w:pPr>
            <w:r w:rsidRPr="00313765">
              <w:rPr>
                <w:sz w:val="20"/>
                <w:szCs w:val="20"/>
                <w:lang w:eastAsia="en-NZ"/>
              </w:rPr>
              <w:t>Reduction in Tax Revenue including IETC</w:t>
            </w:r>
          </w:p>
        </w:tc>
        <w:tc>
          <w:tcPr>
            <w:tcW w:w="1179" w:type="dxa"/>
            <w:tcBorders>
              <w:top w:val="single" w:sz="4" w:space="0" w:color="808080" w:themeColor="background1" w:themeShade="80"/>
              <w:bottom w:val="single" w:sz="4" w:space="0" w:color="BFBFBF" w:themeColor="background1" w:themeShade="BF"/>
            </w:tcBorders>
            <w:tcMar>
              <w:top w:w="0" w:type="dxa"/>
              <w:left w:w="108" w:type="dxa"/>
              <w:bottom w:w="0" w:type="dxa"/>
              <w:right w:w="108" w:type="dxa"/>
            </w:tcMar>
            <w:vAlign w:val="center"/>
          </w:tcPr>
          <w:p w14:paraId="1CF33726" w14:textId="03BD714C" w:rsidR="006F02E6" w:rsidRPr="00313765" w:rsidRDefault="006F02E6" w:rsidP="006F02E6">
            <w:pPr>
              <w:spacing w:before="60" w:after="60"/>
              <w:jc w:val="right"/>
              <w:rPr>
                <w:sz w:val="20"/>
                <w:szCs w:val="20"/>
                <w:lang w:eastAsia="en-NZ"/>
              </w:rPr>
            </w:pPr>
            <w:r w:rsidRPr="00313765">
              <w:rPr>
                <w:sz w:val="20"/>
                <w:szCs w:val="20"/>
              </w:rPr>
              <w:t>486.000</w:t>
            </w:r>
          </w:p>
        </w:tc>
        <w:tc>
          <w:tcPr>
            <w:tcW w:w="1179" w:type="dxa"/>
            <w:tcBorders>
              <w:top w:val="single" w:sz="4" w:space="0" w:color="808080" w:themeColor="background1" w:themeShade="80"/>
              <w:bottom w:val="single" w:sz="4" w:space="0" w:color="BFBFBF" w:themeColor="background1" w:themeShade="BF"/>
            </w:tcBorders>
            <w:tcMar>
              <w:top w:w="0" w:type="dxa"/>
              <w:left w:w="108" w:type="dxa"/>
              <w:bottom w:w="0" w:type="dxa"/>
              <w:right w:w="108" w:type="dxa"/>
            </w:tcMar>
            <w:vAlign w:val="center"/>
          </w:tcPr>
          <w:p w14:paraId="39978153" w14:textId="15B01F98" w:rsidR="006F02E6" w:rsidRPr="00313765" w:rsidRDefault="006F02E6" w:rsidP="006F02E6">
            <w:pPr>
              <w:spacing w:before="60" w:after="60"/>
              <w:jc w:val="right"/>
              <w:rPr>
                <w:sz w:val="20"/>
                <w:szCs w:val="20"/>
                <w:lang w:eastAsia="en-NZ"/>
              </w:rPr>
            </w:pPr>
            <w:r w:rsidRPr="00313765">
              <w:rPr>
                <w:sz w:val="20"/>
                <w:szCs w:val="20"/>
              </w:rPr>
              <w:t>1,896.000</w:t>
            </w:r>
          </w:p>
        </w:tc>
        <w:tc>
          <w:tcPr>
            <w:tcW w:w="1179" w:type="dxa"/>
            <w:tcBorders>
              <w:top w:val="single" w:sz="4" w:space="0" w:color="808080" w:themeColor="background1" w:themeShade="80"/>
              <w:bottom w:val="single" w:sz="4" w:space="0" w:color="BFBFBF" w:themeColor="background1" w:themeShade="BF"/>
            </w:tcBorders>
            <w:tcMar>
              <w:top w:w="0" w:type="dxa"/>
              <w:left w:w="108" w:type="dxa"/>
              <w:bottom w:w="0" w:type="dxa"/>
              <w:right w:w="108" w:type="dxa"/>
            </w:tcMar>
            <w:vAlign w:val="center"/>
          </w:tcPr>
          <w:p w14:paraId="044922CD" w14:textId="20B8B96D" w:rsidR="006F02E6" w:rsidRPr="00313765" w:rsidRDefault="006F02E6" w:rsidP="006F02E6">
            <w:pPr>
              <w:spacing w:before="60" w:after="60"/>
              <w:jc w:val="right"/>
              <w:rPr>
                <w:sz w:val="20"/>
                <w:szCs w:val="20"/>
                <w:lang w:eastAsia="en-NZ"/>
              </w:rPr>
            </w:pPr>
            <w:r w:rsidRPr="00313765">
              <w:rPr>
                <w:sz w:val="20"/>
                <w:szCs w:val="20"/>
              </w:rPr>
              <w:t>1,895.000</w:t>
            </w:r>
          </w:p>
        </w:tc>
        <w:tc>
          <w:tcPr>
            <w:tcW w:w="1191" w:type="dxa"/>
            <w:tcBorders>
              <w:top w:val="single" w:sz="4" w:space="0" w:color="808080" w:themeColor="background1" w:themeShade="80"/>
              <w:bottom w:val="single" w:sz="4" w:space="0" w:color="BFBFBF" w:themeColor="background1" w:themeShade="BF"/>
            </w:tcBorders>
            <w:tcMar>
              <w:top w:w="0" w:type="dxa"/>
              <w:left w:w="108" w:type="dxa"/>
              <w:bottom w:w="0" w:type="dxa"/>
              <w:right w:w="108" w:type="dxa"/>
            </w:tcMar>
            <w:vAlign w:val="center"/>
          </w:tcPr>
          <w:p w14:paraId="04C8B731" w14:textId="69AE4EB5" w:rsidR="006F02E6" w:rsidRPr="00313765" w:rsidRDefault="006F02E6" w:rsidP="006F02E6">
            <w:pPr>
              <w:spacing w:before="60" w:after="60"/>
              <w:jc w:val="right"/>
              <w:rPr>
                <w:sz w:val="20"/>
                <w:szCs w:val="20"/>
                <w:lang w:eastAsia="en-NZ"/>
              </w:rPr>
            </w:pPr>
            <w:r w:rsidRPr="00313765">
              <w:rPr>
                <w:sz w:val="20"/>
                <w:szCs w:val="20"/>
              </w:rPr>
              <w:t>1,976.000</w:t>
            </w:r>
          </w:p>
        </w:tc>
      </w:tr>
      <w:tr w:rsidR="006F02E6" w:rsidRPr="00313765" w14:paraId="54EE557D" w14:textId="77777777" w:rsidTr="00633ABB">
        <w:trPr>
          <w:trHeight w:val="315"/>
        </w:trPr>
        <w:tc>
          <w:tcPr>
            <w:tcW w:w="3970"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hideMark/>
          </w:tcPr>
          <w:p w14:paraId="64B9E334" w14:textId="77777777" w:rsidR="006F02E6" w:rsidRPr="00313765" w:rsidRDefault="006F02E6" w:rsidP="006F02E6">
            <w:pPr>
              <w:spacing w:before="60" w:after="60"/>
              <w:rPr>
                <w:sz w:val="20"/>
                <w:szCs w:val="20"/>
                <w:lang w:eastAsia="en-NZ"/>
              </w:rPr>
            </w:pPr>
            <w:r w:rsidRPr="00313765">
              <w:rPr>
                <w:sz w:val="20"/>
                <w:szCs w:val="20"/>
                <w:lang w:eastAsia="en-NZ"/>
              </w:rPr>
              <w:t>Working for Families</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4A4E3967" w14:textId="5F0E53DD" w:rsidR="006F02E6" w:rsidRPr="00313765" w:rsidRDefault="006F02E6" w:rsidP="006F02E6">
            <w:pPr>
              <w:spacing w:before="60" w:after="60"/>
              <w:jc w:val="right"/>
              <w:rPr>
                <w:sz w:val="20"/>
                <w:szCs w:val="20"/>
                <w:lang w:eastAsia="en-NZ"/>
              </w:rPr>
            </w:pPr>
            <w:r w:rsidRPr="00313765">
              <w:rPr>
                <w:sz w:val="20"/>
                <w:szCs w:val="20"/>
              </w:rPr>
              <w:t>97.000</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35FCF365" w14:textId="43B42485" w:rsidR="006F02E6" w:rsidRPr="00313765" w:rsidRDefault="006F02E6" w:rsidP="006F02E6">
            <w:pPr>
              <w:spacing w:before="60" w:after="60"/>
              <w:jc w:val="right"/>
              <w:rPr>
                <w:sz w:val="20"/>
                <w:szCs w:val="20"/>
                <w:lang w:eastAsia="en-NZ"/>
              </w:rPr>
            </w:pPr>
            <w:r w:rsidRPr="00313765">
              <w:rPr>
                <w:sz w:val="20"/>
                <w:szCs w:val="20"/>
              </w:rPr>
              <w:t>373.000</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44122E67" w14:textId="70E9D6FC" w:rsidR="006F02E6" w:rsidRPr="00313765" w:rsidRDefault="006F02E6" w:rsidP="006F02E6">
            <w:pPr>
              <w:spacing w:before="60" w:after="60"/>
              <w:jc w:val="right"/>
              <w:rPr>
                <w:sz w:val="20"/>
                <w:szCs w:val="20"/>
                <w:lang w:eastAsia="en-NZ"/>
              </w:rPr>
            </w:pPr>
            <w:r w:rsidRPr="00313765">
              <w:rPr>
                <w:sz w:val="20"/>
                <w:szCs w:val="20"/>
              </w:rPr>
              <w:t>318.000</w:t>
            </w:r>
          </w:p>
        </w:tc>
        <w:tc>
          <w:tcPr>
            <w:tcW w:w="1191"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088AEE8D" w14:textId="55E96520" w:rsidR="006F02E6" w:rsidRPr="00313765" w:rsidRDefault="006F02E6" w:rsidP="006F02E6">
            <w:pPr>
              <w:spacing w:before="60" w:after="60"/>
              <w:jc w:val="right"/>
              <w:rPr>
                <w:sz w:val="20"/>
                <w:szCs w:val="20"/>
                <w:lang w:eastAsia="en-NZ"/>
              </w:rPr>
            </w:pPr>
            <w:r w:rsidRPr="00313765">
              <w:rPr>
                <w:sz w:val="20"/>
                <w:szCs w:val="20"/>
              </w:rPr>
              <w:t>310.000</w:t>
            </w:r>
          </w:p>
        </w:tc>
      </w:tr>
      <w:tr w:rsidR="006F02E6" w:rsidRPr="00313765" w14:paraId="4277B9D7" w14:textId="77777777" w:rsidTr="00633ABB">
        <w:trPr>
          <w:trHeight w:val="315"/>
        </w:trPr>
        <w:tc>
          <w:tcPr>
            <w:tcW w:w="3970"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hideMark/>
          </w:tcPr>
          <w:p w14:paraId="56527413" w14:textId="77777777" w:rsidR="006F02E6" w:rsidRPr="00313765" w:rsidRDefault="006F02E6" w:rsidP="006F02E6">
            <w:pPr>
              <w:spacing w:before="60" w:after="60"/>
              <w:rPr>
                <w:sz w:val="20"/>
                <w:szCs w:val="20"/>
                <w:lang w:eastAsia="en-NZ"/>
              </w:rPr>
            </w:pPr>
            <w:r w:rsidRPr="00313765">
              <w:rPr>
                <w:sz w:val="20"/>
                <w:szCs w:val="20"/>
                <w:lang w:eastAsia="en-NZ"/>
              </w:rPr>
              <w:t>Accommodation Supplement</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343BEAAC" w14:textId="75D965E5" w:rsidR="006F02E6" w:rsidRPr="00313765" w:rsidRDefault="006F02E6" w:rsidP="006F02E6">
            <w:pPr>
              <w:spacing w:before="60" w:after="60"/>
              <w:jc w:val="right"/>
              <w:rPr>
                <w:sz w:val="20"/>
                <w:szCs w:val="20"/>
                <w:lang w:eastAsia="en-NZ"/>
              </w:rPr>
            </w:pPr>
            <w:r w:rsidRPr="00313765">
              <w:rPr>
                <w:sz w:val="20"/>
                <w:szCs w:val="20"/>
              </w:rPr>
              <w:t>87.559</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79A6A64B" w14:textId="30270A43" w:rsidR="006F02E6" w:rsidRPr="00313765" w:rsidRDefault="006F02E6" w:rsidP="006F02E6">
            <w:pPr>
              <w:spacing w:before="60" w:after="60"/>
              <w:jc w:val="right"/>
              <w:rPr>
                <w:sz w:val="20"/>
                <w:szCs w:val="20"/>
                <w:lang w:eastAsia="en-NZ"/>
              </w:rPr>
            </w:pPr>
            <w:r w:rsidRPr="00313765">
              <w:rPr>
                <w:sz w:val="20"/>
                <w:szCs w:val="20"/>
              </w:rPr>
              <w:t>361.583</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094674F9" w14:textId="64C180C8" w:rsidR="006F02E6" w:rsidRPr="00313765" w:rsidRDefault="006F02E6" w:rsidP="006F02E6">
            <w:pPr>
              <w:spacing w:before="60" w:after="60"/>
              <w:jc w:val="right"/>
              <w:rPr>
                <w:sz w:val="20"/>
                <w:szCs w:val="20"/>
                <w:lang w:eastAsia="en-NZ"/>
              </w:rPr>
            </w:pPr>
            <w:r w:rsidRPr="00313765">
              <w:rPr>
                <w:sz w:val="20"/>
                <w:szCs w:val="20"/>
              </w:rPr>
              <w:t>380.296</w:t>
            </w:r>
          </w:p>
        </w:tc>
        <w:tc>
          <w:tcPr>
            <w:tcW w:w="1191"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6F023352" w14:textId="6E766DB1" w:rsidR="006F02E6" w:rsidRPr="00313765" w:rsidRDefault="006F02E6" w:rsidP="006F02E6">
            <w:pPr>
              <w:spacing w:before="60" w:after="60"/>
              <w:jc w:val="right"/>
              <w:rPr>
                <w:sz w:val="20"/>
                <w:szCs w:val="20"/>
                <w:lang w:eastAsia="en-NZ"/>
              </w:rPr>
            </w:pPr>
            <w:r w:rsidRPr="00313765">
              <w:rPr>
                <w:sz w:val="20"/>
                <w:szCs w:val="20"/>
              </w:rPr>
              <w:t>399.723</w:t>
            </w:r>
          </w:p>
        </w:tc>
      </w:tr>
      <w:tr w:rsidR="006F02E6" w:rsidRPr="00313765" w14:paraId="000B6724" w14:textId="77777777" w:rsidTr="00633ABB">
        <w:trPr>
          <w:trHeight w:val="315"/>
        </w:trPr>
        <w:tc>
          <w:tcPr>
            <w:tcW w:w="3970"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hideMark/>
          </w:tcPr>
          <w:p w14:paraId="06213A10" w14:textId="77777777" w:rsidR="006F02E6" w:rsidRPr="00313765" w:rsidRDefault="006F02E6" w:rsidP="006F02E6">
            <w:pPr>
              <w:spacing w:before="60" w:after="60"/>
              <w:rPr>
                <w:sz w:val="20"/>
                <w:szCs w:val="20"/>
                <w:lang w:eastAsia="en-NZ"/>
              </w:rPr>
            </w:pPr>
            <w:r w:rsidRPr="00313765">
              <w:rPr>
                <w:sz w:val="20"/>
                <w:szCs w:val="20"/>
                <w:lang w:eastAsia="en-NZ"/>
              </w:rPr>
              <w:t>Accommodation Benefit</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43BD19D4" w14:textId="505B14DD" w:rsidR="006F02E6" w:rsidRPr="00313765" w:rsidRDefault="006F02E6" w:rsidP="006F02E6">
            <w:pPr>
              <w:spacing w:before="60" w:after="60"/>
              <w:jc w:val="right"/>
              <w:rPr>
                <w:sz w:val="20"/>
                <w:szCs w:val="20"/>
                <w:lang w:eastAsia="en-NZ"/>
              </w:rPr>
            </w:pPr>
            <w:r w:rsidRPr="00313765">
              <w:rPr>
                <w:sz w:val="20"/>
                <w:szCs w:val="20"/>
              </w:rPr>
              <w:t>6.300</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4894C5B0" w14:textId="513C3BF9" w:rsidR="006F02E6" w:rsidRPr="00313765" w:rsidRDefault="006F02E6" w:rsidP="006F02E6">
            <w:pPr>
              <w:spacing w:before="60" w:after="60"/>
              <w:jc w:val="right"/>
              <w:rPr>
                <w:sz w:val="20"/>
                <w:szCs w:val="20"/>
                <w:lang w:eastAsia="en-NZ"/>
              </w:rPr>
            </w:pPr>
            <w:r w:rsidRPr="00313765">
              <w:rPr>
                <w:sz w:val="20"/>
                <w:szCs w:val="20"/>
              </w:rPr>
              <w:t>19.500</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0E70CB74" w14:textId="0ED5A98F" w:rsidR="006F02E6" w:rsidRPr="00313765" w:rsidRDefault="006F02E6" w:rsidP="006F02E6">
            <w:pPr>
              <w:spacing w:before="60" w:after="60"/>
              <w:jc w:val="right"/>
              <w:rPr>
                <w:sz w:val="20"/>
                <w:szCs w:val="20"/>
                <w:lang w:eastAsia="en-NZ"/>
              </w:rPr>
            </w:pPr>
            <w:r w:rsidRPr="00313765">
              <w:rPr>
                <w:sz w:val="20"/>
                <w:szCs w:val="20"/>
              </w:rPr>
              <w:t>19.500</w:t>
            </w:r>
          </w:p>
        </w:tc>
        <w:tc>
          <w:tcPr>
            <w:tcW w:w="1191"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1839E4CE" w14:textId="35D68E38" w:rsidR="006F02E6" w:rsidRPr="00313765" w:rsidRDefault="006F02E6" w:rsidP="006F02E6">
            <w:pPr>
              <w:spacing w:before="60" w:after="60"/>
              <w:jc w:val="right"/>
              <w:rPr>
                <w:sz w:val="20"/>
                <w:szCs w:val="20"/>
                <w:lang w:eastAsia="en-NZ"/>
              </w:rPr>
            </w:pPr>
            <w:r w:rsidRPr="00313765">
              <w:rPr>
                <w:sz w:val="20"/>
                <w:szCs w:val="20"/>
              </w:rPr>
              <w:t>19.800</w:t>
            </w:r>
          </w:p>
        </w:tc>
      </w:tr>
      <w:tr w:rsidR="006F02E6" w:rsidRPr="00313765" w14:paraId="680F967F" w14:textId="77777777" w:rsidTr="00633ABB">
        <w:trPr>
          <w:trHeight w:val="315"/>
        </w:trPr>
        <w:tc>
          <w:tcPr>
            <w:tcW w:w="3970"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hideMark/>
          </w:tcPr>
          <w:p w14:paraId="50807B50" w14:textId="77777777" w:rsidR="006F02E6" w:rsidRPr="00313765" w:rsidRDefault="006F02E6" w:rsidP="006F02E6">
            <w:pPr>
              <w:spacing w:before="60" w:after="60"/>
              <w:rPr>
                <w:sz w:val="20"/>
                <w:szCs w:val="20"/>
                <w:lang w:eastAsia="en-NZ"/>
              </w:rPr>
            </w:pPr>
            <w:r w:rsidRPr="00313765">
              <w:rPr>
                <w:sz w:val="20"/>
                <w:szCs w:val="20"/>
                <w:lang w:eastAsia="en-NZ"/>
              </w:rPr>
              <w:t>Transitional Fund</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6C077E7C" w14:textId="031AC7D3" w:rsidR="006F02E6" w:rsidRPr="00313765" w:rsidRDefault="006F02E6" w:rsidP="006F02E6">
            <w:pPr>
              <w:spacing w:before="60" w:after="60"/>
              <w:jc w:val="right"/>
              <w:rPr>
                <w:sz w:val="20"/>
                <w:szCs w:val="20"/>
                <w:lang w:eastAsia="en-NZ"/>
              </w:rPr>
            </w:pPr>
            <w:r w:rsidRPr="00313765">
              <w:rPr>
                <w:sz w:val="20"/>
                <w:szCs w:val="20"/>
              </w:rPr>
              <w:t>1.063</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768C3B07" w14:textId="35709616" w:rsidR="006F02E6" w:rsidRPr="00313765" w:rsidRDefault="006F02E6" w:rsidP="006F02E6">
            <w:pPr>
              <w:spacing w:before="60" w:after="60"/>
              <w:jc w:val="right"/>
              <w:rPr>
                <w:sz w:val="20"/>
                <w:szCs w:val="20"/>
                <w:lang w:eastAsia="en-NZ"/>
              </w:rPr>
            </w:pPr>
            <w:r w:rsidRPr="00313765">
              <w:rPr>
                <w:sz w:val="20"/>
                <w:szCs w:val="20"/>
              </w:rPr>
              <w:t>0.500</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7CC16F9A" w14:textId="3B3A98D2" w:rsidR="006F02E6" w:rsidRPr="00313765" w:rsidRDefault="006F02E6" w:rsidP="006F02E6">
            <w:pPr>
              <w:spacing w:before="60" w:after="60"/>
              <w:jc w:val="right"/>
              <w:rPr>
                <w:sz w:val="20"/>
                <w:szCs w:val="20"/>
                <w:lang w:eastAsia="en-NZ"/>
              </w:rPr>
            </w:pPr>
            <w:r w:rsidRPr="00313765">
              <w:rPr>
                <w:sz w:val="20"/>
                <w:szCs w:val="20"/>
              </w:rPr>
              <w:t>0.400</w:t>
            </w:r>
          </w:p>
        </w:tc>
        <w:tc>
          <w:tcPr>
            <w:tcW w:w="1191"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23E37516" w14:textId="52057E10" w:rsidR="006F02E6" w:rsidRPr="00313765" w:rsidRDefault="006F02E6" w:rsidP="006F02E6">
            <w:pPr>
              <w:spacing w:before="60" w:after="60"/>
              <w:jc w:val="right"/>
              <w:rPr>
                <w:sz w:val="20"/>
                <w:szCs w:val="20"/>
                <w:lang w:eastAsia="en-NZ"/>
              </w:rPr>
            </w:pPr>
            <w:r w:rsidRPr="00313765">
              <w:rPr>
                <w:sz w:val="20"/>
                <w:szCs w:val="20"/>
              </w:rPr>
              <w:t>0.250</w:t>
            </w:r>
          </w:p>
        </w:tc>
      </w:tr>
      <w:tr w:rsidR="006F02E6" w:rsidRPr="00313765" w14:paraId="25E4C160" w14:textId="77777777" w:rsidTr="00633ABB">
        <w:trPr>
          <w:trHeight w:val="315"/>
        </w:trPr>
        <w:tc>
          <w:tcPr>
            <w:tcW w:w="3970"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hideMark/>
          </w:tcPr>
          <w:p w14:paraId="390D673F" w14:textId="190785AD" w:rsidR="006F02E6" w:rsidRPr="00313765" w:rsidRDefault="006F02E6" w:rsidP="006F02E6">
            <w:pPr>
              <w:spacing w:before="60" w:after="60"/>
              <w:rPr>
                <w:color w:val="0563C1"/>
                <w:sz w:val="20"/>
                <w:szCs w:val="20"/>
                <w:u w:val="single"/>
                <w:lang w:eastAsia="en-NZ"/>
              </w:rPr>
            </w:pPr>
            <w:r w:rsidRPr="00313765">
              <w:rPr>
                <w:sz w:val="20"/>
                <w:szCs w:val="20"/>
                <w:lang w:eastAsia="en-NZ"/>
              </w:rPr>
              <w:t>Consequential Impacts</w:t>
            </w:r>
            <w:r w:rsidRPr="00313765">
              <w:rPr>
                <w:rStyle w:val="FootnoteReference"/>
                <w:color w:val="000000"/>
                <w:sz w:val="20"/>
                <w:szCs w:val="20"/>
                <w:lang w:eastAsia="en-NZ"/>
              </w:rPr>
              <w:footnoteReference w:id="3"/>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523E9EF2" w14:textId="37C21A7B" w:rsidR="006F02E6" w:rsidRPr="00313765" w:rsidRDefault="006F02E6" w:rsidP="006F02E6">
            <w:pPr>
              <w:spacing w:before="60" w:after="60"/>
              <w:jc w:val="right"/>
              <w:rPr>
                <w:sz w:val="20"/>
                <w:szCs w:val="20"/>
                <w:lang w:eastAsia="en-NZ"/>
              </w:rPr>
            </w:pPr>
            <w:r w:rsidRPr="00313765">
              <w:rPr>
                <w:sz w:val="20"/>
                <w:szCs w:val="20"/>
              </w:rPr>
              <w:t>-74.338</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4764998F" w14:textId="2C7EC564" w:rsidR="006F02E6" w:rsidRPr="00313765" w:rsidRDefault="006F02E6" w:rsidP="006F02E6">
            <w:pPr>
              <w:spacing w:before="60" w:after="60"/>
              <w:jc w:val="right"/>
              <w:rPr>
                <w:sz w:val="20"/>
                <w:szCs w:val="20"/>
                <w:lang w:eastAsia="en-NZ"/>
              </w:rPr>
            </w:pPr>
            <w:r w:rsidRPr="00313765">
              <w:rPr>
                <w:sz w:val="20"/>
                <w:szCs w:val="20"/>
              </w:rPr>
              <w:t>-575.244</w:t>
            </w:r>
          </w:p>
        </w:tc>
        <w:tc>
          <w:tcPr>
            <w:tcW w:w="1179"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7963CF26" w14:textId="1667459A" w:rsidR="006F02E6" w:rsidRPr="00313765" w:rsidRDefault="006F02E6" w:rsidP="006F02E6">
            <w:pPr>
              <w:spacing w:before="60" w:after="60"/>
              <w:jc w:val="right"/>
              <w:rPr>
                <w:sz w:val="20"/>
                <w:szCs w:val="20"/>
                <w:lang w:eastAsia="en-NZ"/>
              </w:rPr>
            </w:pPr>
            <w:r w:rsidRPr="00313765">
              <w:rPr>
                <w:sz w:val="20"/>
                <w:szCs w:val="20"/>
              </w:rPr>
              <w:t>-760.906</w:t>
            </w:r>
          </w:p>
        </w:tc>
        <w:tc>
          <w:tcPr>
            <w:tcW w:w="1191" w:type="dxa"/>
            <w:tcBorders>
              <w:top w:val="single" w:sz="4" w:space="0" w:color="BFBFBF" w:themeColor="background1" w:themeShade="BF"/>
              <w:bottom w:val="single" w:sz="4" w:space="0" w:color="BFBFBF" w:themeColor="background1" w:themeShade="BF"/>
            </w:tcBorders>
            <w:tcMar>
              <w:top w:w="0" w:type="dxa"/>
              <w:left w:w="108" w:type="dxa"/>
              <w:bottom w:w="0" w:type="dxa"/>
              <w:right w:w="108" w:type="dxa"/>
            </w:tcMar>
            <w:vAlign w:val="center"/>
          </w:tcPr>
          <w:p w14:paraId="050EDA99" w14:textId="12E5E83C" w:rsidR="006F02E6" w:rsidRPr="00313765" w:rsidRDefault="006F02E6" w:rsidP="006F02E6">
            <w:pPr>
              <w:spacing w:before="60" w:after="60"/>
              <w:jc w:val="right"/>
              <w:rPr>
                <w:sz w:val="20"/>
                <w:szCs w:val="20"/>
                <w:lang w:eastAsia="en-NZ"/>
              </w:rPr>
            </w:pPr>
            <w:r w:rsidRPr="00313765">
              <w:rPr>
                <w:sz w:val="20"/>
                <w:szCs w:val="20"/>
              </w:rPr>
              <w:t>-693.736</w:t>
            </w:r>
          </w:p>
        </w:tc>
      </w:tr>
      <w:tr w:rsidR="006F02E6" w:rsidRPr="00313765" w14:paraId="6E549020" w14:textId="77777777" w:rsidTr="00633ABB">
        <w:trPr>
          <w:trHeight w:val="315"/>
        </w:trPr>
        <w:tc>
          <w:tcPr>
            <w:tcW w:w="3970" w:type="dxa"/>
            <w:tcBorders>
              <w:top w:val="single" w:sz="4" w:space="0" w:color="BFBFBF" w:themeColor="background1" w:themeShade="BF"/>
              <w:bottom w:val="single" w:sz="4" w:space="0" w:color="808080" w:themeColor="background1" w:themeShade="80"/>
            </w:tcBorders>
            <w:tcMar>
              <w:top w:w="0" w:type="dxa"/>
              <w:left w:w="108" w:type="dxa"/>
              <w:bottom w:w="0" w:type="dxa"/>
              <w:right w:w="108" w:type="dxa"/>
            </w:tcMar>
            <w:vAlign w:val="center"/>
            <w:hideMark/>
          </w:tcPr>
          <w:p w14:paraId="53DB56A4" w14:textId="77777777" w:rsidR="006F02E6" w:rsidRPr="00AF6468" w:rsidRDefault="006F02E6" w:rsidP="006F02E6">
            <w:pPr>
              <w:spacing w:before="60" w:after="60"/>
              <w:rPr>
                <w:b/>
                <w:sz w:val="20"/>
                <w:szCs w:val="20"/>
                <w:lang w:eastAsia="en-NZ"/>
              </w:rPr>
            </w:pPr>
            <w:r w:rsidRPr="00AF6468">
              <w:rPr>
                <w:b/>
                <w:sz w:val="20"/>
                <w:szCs w:val="20"/>
                <w:lang w:eastAsia="en-NZ"/>
              </w:rPr>
              <w:t>Operating balance impact</w:t>
            </w:r>
          </w:p>
        </w:tc>
        <w:tc>
          <w:tcPr>
            <w:tcW w:w="1179" w:type="dxa"/>
            <w:tcBorders>
              <w:top w:val="single" w:sz="4" w:space="0" w:color="BFBFBF" w:themeColor="background1" w:themeShade="BF"/>
              <w:bottom w:val="single" w:sz="4" w:space="0" w:color="808080" w:themeColor="background1" w:themeShade="80"/>
            </w:tcBorders>
            <w:tcMar>
              <w:top w:w="0" w:type="dxa"/>
              <w:left w:w="108" w:type="dxa"/>
              <w:bottom w:w="0" w:type="dxa"/>
              <w:right w:w="108" w:type="dxa"/>
            </w:tcMar>
            <w:vAlign w:val="center"/>
          </w:tcPr>
          <w:p w14:paraId="2097B875" w14:textId="190AFD9F" w:rsidR="006F02E6" w:rsidRPr="00AF6468" w:rsidRDefault="006F02E6" w:rsidP="006F02E6">
            <w:pPr>
              <w:spacing w:before="60" w:after="60"/>
              <w:jc w:val="right"/>
              <w:rPr>
                <w:b/>
                <w:sz w:val="20"/>
                <w:szCs w:val="20"/>
                <w:lang w:eastAsia="en-NZ"/>
              </w:rPr>
            </w:pPr>
            <w:r w:rsidRPr="00AF6468">
              <w:rPr>
                <w:b/>
                <w:sz w:val="20"/>
                <w:szCs w:val="20"/>
              </w:rPr>
              <w:t>603.584</w:t>
            </w:r>
          </w:p>
        </w:tc>
        <w:tc>
          <w:tcPr>
            <w:tcW w:w="1179" w:type="dxa"/>
            <w:tcBorders>
              <w:top w:val="single" w:sz="4" w:space="0" w:color="BFBFBF" w:themeColor="background1" w:themeShade="BF"/>
              <w:bottom w:val="single" w:sz="4" w:space="0" w:color="808080" w:themeColor="background1" w:themeShade="80"/>
            </w:tcBorders>
            <w:tcMar>
              <w:top w:w="0" w:type="dxa"/>
              <w:left w:w="108" w:type="dxa"/>
              <w:bottom w:w="0" w:type="dxa"/>
              <w:right w:w="108" w:type="dxa"/>
            </w:tcMar>
            <w:vAlign w:val="center"/>
          </w:tcPr>
          <w:p w14:paraId="778C230A" w14:textId="55B07C9A" w:rsidR="006F02E6" w:rsidRPr="00AF6468" w:rsidRDefault="006F02E6" w:rsidP="006F02E6">
            <w:pPr>
              <w:spacing w:before="60" w:after="60"/>
              <w:jc w:val="right"/>
              <w:rPr>
                <w:b/>
                <w:sz w:val="20"/>
                <w:szCs w:val="20"/>
                <w:lang w:eastAsia="en-NZ"/>
              </w:rPr>
            </w:pPr>
            <w:r w:rsidRPr="00AF6468">
              <w:rPr>
                <w:b/>
                <w:sz w:val="20"/>
                <w:szCs w:val="20"/>
              </w:rPr>
              <w:t>2,075.339</w:t>
            </w:r>
          </w:p>
        </w:tc>
        <w:tc>
          <w:tcPr>
            <w:tcW w:w="1179" w:type="dxa"/>
            <w:tcBorders>
              <w:top w:val="single" w:sz="4" w:space="0" w:color="BFBFBF" w:themeColor="background1" w:themeShade="BF"/>
              <w:bottom w:val="single" w:sz="4" w:space="0" w:color="808080" w:themeColor="background1" w:themeShade="80"/>
            </w:tcBorders>
            <w:tcMar>
              <w:top w:w="0" w:type="dxa"/>
              <w:left w:w="108" w:type="dxa"/>
              <w:bottom w:w="0" w:type="dxa"/>
              <w:right w:w="108" w:type="dxa"/>
            </w:tcMar>
            <w:vAlign w:val="center"/>
          </w:tcPr>
          <w:p w14:paraId="56291BDC" w14:textId="6EA8F07E" w:rsidR="006F02E6" w:rsidRPr="00AF6468" w:rsidRDefault="006F02E6" w:rsidP="006F02E6">
            <w:pPr>
              <w:spacing w:before="60" w:after="60"/>
              <w:jc w:val="right"/>
              <w:rPr>
                <w:b/>
                <w:sz w:val="20"/>
                <w:szCs w:val="20"/>
                <w:lang w:eastAsia="en-NZ"/>
              </w:rPr>
            </w:pPr>
            <w:r w:rsidRPr="00AF6468">
              <w:rPr>
                <w:b/>
                <w:sz w:val="20"/>
                <w:szCs w:val="20"/>
              </w:rPr>
              <w:t>1,852.290</w:t>
            </w:r>
          </w:p>
        </w:tc>
        <w:tc>
          <w:tcPr>
            <w:tcW w:w="1191" w:type="dxa"/>
            <w:tcBorders>
              <w:top w:val="single" w:sz="4" w:space="0" w:color="BFBFBF" w:themeColor="background1" w:themeShade="BF"/>
              <w:bottom w:val="single" w:sz="4" w:space="0" w:color="808080" w:themeColor="background1" w:themeShade="80"/>
            </w:tcBorders>
            <w:tcMar>
              <w:top w:w="0" w:type="dxa"/>
              <w:left w:w="108" w:type="dxa"/>
              <w:bottom w:w="0" w:type="dxa"/>
              <w:right w:w="108" w:type="dxa"/>
            </w:tcMar>
            <w:vAlign w:val="center"/>
          </w:tcPr>
          <w:p w14:paraId="021EB00D" w14:textId="621EF5BA" w:rsidR="006F02E6" w:rsidRPr="00AF6468" w:rsidRDefault="006F02E6" w:rsidP="006F02E6">
            <w:pPr>
              <w:spacing w:before="60" w:after="60"/>
              <w:jc w:val="right"/>
              <w:rPr>
                <w:b/>
                <w:sz w:val="20"/>
                <w:szCs w:val="20"/>
                <w:lang w:eastAsia="en-NZ"/>
              </w:rPr>
            </w:pPr>
            <w:r w:rsidRPr="00AF6468">
              <w:rPr>
                <w:b/>
                <w:sz w:val="20"/>
                <w:szCs w:val="20"/>
              </w:rPr>
              <w:t>2,012.037</w:t>
            </w:r>
          </w:p>
        </w:tc>
      </w:tr>
    </w:tbl>
    <w:p w14:paraId="69D85671" w14:textId="77777777" w:rsidR="00AF05AE" w:rsidRPr="00313765" w:rsidRDefault="00AF05AE" w:rsidP="00313765">
      <w:pPr>
        <w:pStyle w:val="NoSpacing"/>
      </w:pPr>
    </w:p>
    <w:p w14:paraId="7C3A3DBE" w14:textId="5E49A6AC" w:rsidR="00AF05AE" w:rsidRDefault="00AF05AE" w:rsidP="00AD24C3">
      <w:pPr>
        <w:rPr>
          <w:lang w:val="en-AU"/>
        </w:rPr>
      </w:pPr>
      <w:r w:rsidRPr="00D90F82">
        <w:rPr>
          <w:lang w:val="en-AU"/>
        </w:rPr>
        <w:t xml:space="preserve">The cost is lower in 2019/20 because indexation of the younger-child rates for the Family Tax Credit </w:t>
      </w:r>
      <w:r w:rsidR="00836615">
        <w:rPr>
          <w:lang w:val="en-AU"/>
        </w:rPr>
        <w:t xml:space="preserve">and abatement changes </w:t>
      </w:r>
      <w:r w:rsidRPr="00D90F82">
        <w:rPr>
          <w:lang w:val="en-AU"/>
        </w:rPr>
        <w:t xml:space="preserve">(part of the Working for Families </w:t>
      </w:r>
      <w:r w:rsidR="002E769F">
        <w:rPr>
          <w:lang w:val="en-AU"/>
        </w:rPr>
        <w:t>t</w:t>
      </w:r>
      <w:r w:rsidRPr="00D90F82">
        <w:rPr>
          <w:lang w:val="en-AU"/>
        </w:rPr>
        <w:t xml:space="preserve">ax </w:t>
      </w:r>
      <w:r w:rsidR="002E769F">
        <w:rPr>
          <w:lang w:val="en-AU"/>
        </w:rPr>
        <w:t>c</w:t>
      </w:r>
      <w:r w:rsidRPr="00D90F82">
        <w:rPr>
          <w:lang w:val="en-AU"/>
        </w:rPr>
        <w:t>redits) w</w:t>
      </w:r>
      <w:r w:rsidR="00F67E1A">
        <w:rPr>
          <w:lang w:val="en-AU"/>
        </w:rPr>
        <w:t>ere</w:t>
      </w:r>
      <w:r w:rsidRPr="00D90F82">
        <w:rPr>
          <w:lang w:val="en-AU"/>
        </w:rPr>
        <w:t xml:space="preserve"> expected to occur on 1 April 2019 and </w:t>
      </w:r>
      <w:r w:rsidR="00F47F43" w:rsidRPr="00D90F82">
        <w:rPr>
          <w:lang w:val="en-AU"/>
        </w:rPr>
        <w:t xml:space="preserve">was therefore </w:t>
      </w:r>
      <w:r w:rsidRPr="00D90F82">
        <w:rPr>
          <w:lang w:val="en-AU"/>
        </w:rPr>
        <w:t>included in previous forecasts.</w:t>
      </w:r>
    </w:p>
    <w:p w14:paraId="0EAAB194" w14:textId="77777777" w:rsidR="003349CD" w:rsidRDefault="003349CD" w:rsidP="00AD24C3">
      <w:pPr>
        <w:pStyle w:val="Heading2"/>
        <w:rPr>
          <w:lang w:val="en-AU"/>
        </w:rPr>
      </w:pPr>
      <w:r w:rsidRPr="009B7CCB">
        <w:rPr>
          <w:lang w:val="en-AU"/>
        </w:rPr>
        <w:t>More information</w:t>
      </w:r>
    </w:p>
    <w:p w14:paraId="3C7DAAD3" w14:textId="1978CF7E" w:rsidR="003349CD" w:rsidRDefault="00633ABB" w:rsidP="00AD24C3">
      <w:r>
        <w:t>All</w:t>
      </w:r>
      <w:r w:rsidRPr="00DC08F2">
        <w:t xml:space="preserve"> </w:t>
      </w:r>
      <w:r w:rsidR="003349CD" w:rsidRPr="00DC08F2">
        <w:t xml:space="preserve">changes </w:t>
      </w:r>
      <w:r>
        <w:t xml:space="preserve">in the Family Incomes Package </w:t>
      </w:r>
      <w:r w:rsidR="003349CD" w:rsidRPr="00DC08F2">
        <w:t xml:space="preserve">will </w:t>
      </w:r>
      <w:r>
        <w:t>commence from</w:t>
      </w:r>
      <w:r w:rsidRPr="00DC08F2">
        <w:t xml:space="preserve"> </w:t>
      </w:r>
      <w:r>
        <w:t xml:space="preserve">1 </w:t>
      </w:r>
      <w:r w:rsidR="003349CD" w:rsidRPr="00DC08F2">
        <w:t xml:space="preserve">April 2018. Until then </w:t>
      </w:r>
      <w:r w:rsidR="003349CD">
        <w:t>taxes and</w:t>
      </w:r>
      <w:r w:rsidR="003349CD" w:rsidRPr="00DC08F2">
        <w:t xml:space="preserve"> payments are unaffected. </w:t>
      </w:r>
    </w:p>
    <w:p w14:paraId="58AB8285" w14:textId="0DEAA1A5" w:rsidR="003349CD" w:rsidRDefault="003349CD" w:rsidP="00AD24C3">
      <w:pPr>
        <w:rPr>
          <w:lang w:val="en-AU"/>
        </w:rPr>
      </w:pPr>
      <w:r w:rsidRPr="009B7CCB">
        <w:rPr>
          <w:lang w:val="en-AU"/>
        </w:rPr>
        <w:t>For more information a</w:t>
      </w:r>
      <w:r>
        <w:rPr>
          <w:lang w:val="en-AU"/>
        </w:rPr>
        <w:t xml:space="preserve">bout the Family Incomes Package, see </w:t>
      </w:r>
      <w:hyperlink r:id="rId8" w:history="1">
        <w:r w:rsidR="00E81FCB">
          <w:rPr>
            <w:rStyle w:val="Hyperlink"/>
          </w:rPr>
          <w:t>www.budget.govt.nz</w:t>
        </w:r>
      </w:hyperlink>
      <w:r>
        <w:rPr>
          <w:lang w:val="en-AU"/>
        </w:rPr>
        <w:t xml:space="preserve"> and </w:t>
      </w:r>
      <w:hyperlink r:id="rId9" w:history="1">
        <w:r w:rsidR="004A1FFE" w:rsidRPr="008707AB">
          <w:rPr>
            <w:rStyle w:val="Hyperlink"/>
            <w:lang w:val="en-AU"/>
          </w:rPr>
          <w:t>www.msd.govt.nz/about-msd-and-our-work/newsroom/2017/budget-2017.html</w:t>
        </w:r>
      </w:hyperlink>
      <w:r>
        <w:rPr>
          <w:lang w:val="en-AU"/>
        </w:rPr>
        <w:t>.</w:t>
      </w:r>
    </w:p>
    <w:p w14:paraId="175CB63A" w14:textId="77777777" w:rsidR="004E380F" w:rsidRDefault="004E380F" w:rsidP="00520C91">
      <w:pPr>
        <w:rPr>
          <w:lang w:val="en-AU"/>
        </w:rPr>
      </w:pPr>
      <w:r>
        <w:rPr>
          <w:lang w:val="en-AU"/>
        </w:rPr>
        <w:t>To find out what the Family Incomes Package means for you, see t</w:t>
      </w:r>
      <w:r w:rsidR="00520C91">
        <w:rPr>
          <w:lang w:val="en-AU"/>
        </w:rPr>
        <w:t xml:space="preserve">he Family Incomes Package Calculator at: </w:t>
      </w:r>
    </w:p>
    <w:p w14:paraId="077CCC97" w14:textId="5AC77E0D" w:rsidR="00520C91" w:rsidRDefault="00467E51" w:rsidP="00520C91">
      <w:pPr>
        <w:rPr>
          <w:rFonts w:ascii="Calibri" w:hAnsi="Calibri" w:cs="Times New Roman"/>
          <w:sz w:val="22"/>
        </w:rPr>
      </w:pPr>
      <w:hyperlink r:id="rId10" w:history="1">
        <w:r w:rsidR="00520C91">
          <w:rPr>
            <w:rStyle w:val="Hyperlink"/>
          </w:rPr>
          <w:t>www.budget.govt.nz/budget/2017/family-incomes-calculator</w:t>
        </w:r>
      </w:hyperlink>
    </w:p>
    <w:p w14:paraId="25A11E8B" w14:textId="5540EAE4" w:rsidR="00520C91" w:rsidRPr="00BF6409" w:rsidRDefault="00520C91" w:rsidP="00AD24C3">
      <w:pPr>
        <w:rPr>
          <w:lang w:val="en-AU"/>
        </w:rPr>
      </w:pPr>
      <w:r>
        <w:rPr>
          <w:lang w:val="en-AU"/>
        </w:rPr>
        <w:t xml:space="preserve"> </w:t>
      </w:r>
    </w:p>
    <w:sectPr w:rsidR="00520C91" w:rsidRPr="00BF6409" w:rsidSect="00FB7928">
      <w:headerReference w:type="even" r:id="rId11"/>
      <w:headerReference w:type="default" r:id="rId12"/>
      <w:footerReference w:type="even" r:id="rId13"/>
      <w:footerReference w:type="default" r:id="rId14"/>
      <w:headerReference w:type="first" r:id="rId15"/>
      <w:footerReference w:type="first" r:id="rId16"/>
      <w:pgSz w:w="11906" w:h="16838" w:code="9"/>
      <w:pgMar w:top="2126" w:right="1701" w:bottom="851"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12EE3" w14:textId="77777777" w:rsidR="00C5775B" w:rsidRDefault="00C5775B" w:rsidP="00AD24C3">
      <w:r>
        <w:separator/>
      </w:r>
    </w:p>
  </w:endnote>
  <w:endnote w:type="continuationSeparator" w:id="0">
    <w:p w14:paraId="0F7C6119" w14:textId="77777777" w:rsidR="00C5775B" w:rsidRDefault="00C5775B" w:rsidP="00AD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79C5" w14:textId="77777777" w:rsidR="00D67E0E" w:rsidRDefault="00D67E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AEA3B" w14:textId="0EB1D1ED" w:rsidR="008D4542" w:rsidRPr="00AD24C3" w:rsidRDefault="00AD24C3" w:rsidP="00AD24C3">
    <w:pPr>
      <w:pStyle w:val="Footer"/>
      <w:jc w:val="right"/>
      <w:rPr>
        <w:sz w:val="20"/>
      </w:rPr>
    </w:pPr>
    <w:r w:rsidRPr="00AD24C3">
      <w:rPr>
        <w:sz w:val="20"/>
      </w:rPr>
      <w:fldChar w:fldCharType="begin"/>
    </w:r>
    <w:r w:rsidRPr="00AD24C3">
      <w:rPr>
        <w:sz w:val="20"/>
      </w:rPr>
      <w:instrText xml:space="preserve"> PAGE   \* MERGEFORMAT </w:instrText>
    </w:r>
    <w:r w:rsidRPr="00AD24C3">
      <w:rPr>
        <w:sz w:val="20"/>
      </w:rPr>
      <w:fldChar w:fldCharType="separate"/>
    </w:r>
    <w:r w:rsidR="00467E51">
      <w:rPr>
        <w:noProof/>
        <w:sz w:val="20"/>
      </w:rPr>
      <w:t>1</w:t>
    </w:r>
    <w:r w:rsidRPr="00AD24C3">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CBDD5" w14:textId="77777777" w:rsidR="00D67E0E" w:rsidRDefault="00D67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4A661" w14:textId="77777777" w:rsidR="00C5775B" w:rsidRDefault="00C5775B" w:rsidP="00AD24C3">
      <w:r>
        <w:separator/>
      </w:r>
    </w:p>
  </w:footnote>
  <w:footnote w:type="continuationSeparator" w:id="0">
    <w:p w14:paraId="0A90081A" w14:textId="77777777" w:rsidR="00C5775B" w:rsidRDefault="00C5775B" w:rsidP="00AD24C3">
      <w:r>
        <w:continuationSeparator/>
      </w:r>
    </w:p>
  </w:footnote>
  <w:footnote w:id="1">
    <w:p w14:paraId="6F0A0A06" w14:textId="70B2CE78" w:rsidR="00836615" w:rsidRPr="00313765" w:rsidRDefault="00836615" w:rsidP="00836615">
      <w:pPr>
        <w:pStyle w:val="FootnoteText"/>
        <w:ind w:left="284" w:hanging="284"/>
        <w:rPr>
          <w:sz w:val="18"/>
          <w:lang w:val="en-NZ"/>
        </w:rPr>
      </w:pPr>
      <w:r w:rsidRPr="00313765">
        <w:rPr>
          <w:rStyle w:val="FootnoteReference"/>
          <w:sz w:val="18"/>
        </w:rPr>
        <w:footnoteRef/>
      </w:r>
      <w:r w:rsidRPr="00313765">
        <w:rPr>
          <w:sz w:val="18"/>
        </w:rPr>
        <w:t xml:space="preserve"> </w:t>
      </w:r>
      <w:r>
        <w:rPr>
          <w:sz w:val="18"/>
        </w:rPr>
        <w:tab/>
      </w:r>
      <w:r w:rsidRPr="00313765">
        <w:rPr>
          <w:sz w:val="18"/>
          <w:lang w:val="en-NZ"/>
        </w:rPr>
        <w:t>The Treasury recommends th</w:t>
      </w:r>
      <w:r>
        <w:rPr>
          <w:sz w:val="18"/>
          <w:lang w:val="en-NZ"/>
        </w:rPr>
        <w:t>e following caveats be noted when interpreting this analysis</w:t>
      </w:r>
      <w:r w:rsidRPr="00313765">
        <w:rPr>
          <w:sz w:val="18"/>
          <w:lang w:val="en-NZ"/>
        </w:rPr>
        <w:t>.  To ensure the sample is representative of the New Zealand population</w:t>
      </w:r>
      <w:r>
        <w:rPr>
          <w:sz w:val="18"/>
          <w:lang w:val="en-NZ"/>
        </w:rPr>
        <w:t>,</w:t>
      </w:r>
      <w:r w:rsidRPr="00313765">
        <w:rPr>
          <w:sz w:val="18"/>
          <w:lang w:val="en-NZ"/>
        </w:rPr>
        <w:t xml:space="preserve"> sample weights have been modified to match the administrative characteristics of the A</w:t>
      </w:r>
      <w:r>
        <w:rPr>
          <w:sz w:val="18"/>
          <w:lang w:val="en-NZ"/>
        </w:rPr>
        <w:t xml:space="preserve">ccommodation </w:t>
      </w:r>
      <w:r w:rsidRPr="00313765">
        <w:rPr>
          <w:sz w:val="18"/>
          <w:lang w:val="en-NZ"/>
        </w:rPr>
        <w:t>S</w:t>
      </w:r>
      <w:r>
        <w:rPr>
          <w:sz w:val="18"/>
          <w:lang w:val="en-NZ"/>
        </w:rPr>
        <w:t>upplement</w:t>
      </w:r>
      <w:r w:rsidRPr="00313765">
        <w:rPr>
          <w:sz w:val="18"/>
          <w:lang w:val="en-NZ"/>
        </w:rPr>
        <w:t xml:space="preserve"> recipients.  This has been done as an aggregate level adjustment.  </w:t>
      </w:r>
      <w:r>
        <w:rPr>
          <w:sz w:val="18"/>
          <w:lang w:val="en-NZ"/>
        </w:rPr>
        <w:t xml:space="preserve">The impact of </w:t>
      </w:r>
      <w:r w:rsidRPr="00313765">
        <w:rPr>
          <w:sz w:val="18"/>
          <w:lang w:val="en-NZ"/>
        </w:rPr>
        <w:t xml:space="preserve">Temporary Additional Support is excluded from </w:t>
      </w:r>
      <w:r>
        <w:rPr>
          <w:sz w:val="18"/>
          <w:lang w:val="en-NZ"/>
        </w:rPr>
        <w:t>Table 1</w:t>
      </w:r>
      <w:r w:rsidRPr="00313765">
        <w:rPr>
          <w:sz w:val="18"/>
          <w:lang w:val="en-NZ"/>
        </w:rPr>
        <w:t>.  A</w:t>
      </w:r>
      <w:r>
        <w:rPr>
          <w:sz w:val="18"/>
          <w:lang w:val="en-NZ"/>
        </w:rPr>
        <w:t xml:space="preserve">ccommodation </w:t>
      </w:r>
      <w:r w:rsidRPr="00313765">
        <w:rPr>
          <w:sz w:val="18"/>
          <w:lang w:val="en-NZ"/>
        </w:rPr>
        <w:t>S</w:t>
      </w:r>
      <w:r>
        <w:rPr>
          <w:sz w:val="18"/>
          <w:lang w:val="en-NZ"/>
        </w:rPr>
        <w:t>upplement</w:t>
      </w:r>
      <w:r w:rsidRPr="00313765">
        <w:rPr>
          <w:sz w:val="18"/>
          <w:lang w:val="en-NZ"/>
        </w:rPr>
        <w:t xml:space="preserve"> area changes have been included at the Urban Area (2001) level, however, subsequent changes have been made at the Area Unit level.  Area Unit data is not available in Treasury’s microsimulation model, so these changes have not been included.</w:t>
      </w:r>
      <w:r w:rsidR="00C36DA3">
        <w:rPr>
          <w:sz w:val="18"/>
          <w:lang w:val="en-NZ"/>
        </w:rPr>
        <w:t xml:space="preserve"> Table 1</w:t>
      </w:r>
      <w:r w:rsidR="00C36DA3" w:rsidRPr="00C36DA3">
        <w:rPr>
          <w:sz w:val="18"/>
          <w:lang w:val="en-NZ"/>
        </w:rPr>
        <w:t xml:space="preserve"> excludes New Zealand Superannuation recipients and independent students.</w:t>
      </w:r>
      <w:r w:rsidRPr="00313765">
        <w:rPr>
          <w:sz w:val="18"/>
          <w:lang w:val="en-NZ"/>
        </w:rPr>
        <w:t xml:space="preserve">  </w:t>
      </w:r>
    </w:p>
  </w:footnote>
  <w:footnote w:id="2">
    <w:p w14:paraId="6DDD917D" w14:textId="77777777" w:rsidR="00CB5946" w:rsidRPr="003349CD" w:rsidRDefault="00CB5946" w:rsidP="00CB5946">
      <w:pPr>
        <w:pStyle w:val="FootnoteText"/>
        <w:ind w:left="284" w:hanging="284"/>
        <w:rPr>
          <w:lang w:val="en-NZ"/>
        </w:rPr>
      </w:pPr>
      <w:r w:rsidRPr="00313765">
        <w:rPr>
          <w:rStyle w:val="FootnoteReference"/>
          <w:sz w:val="18"/>
        </w:rPr>
        <w:footnoteRef/>
      </w:r>
      <w:r w:rsidRPr="00313765">
        <w:rPr>
          <w:sz w:val="18"/>
        </w:rPr>
        <w:t xml:space="preserve"> </w:t>
      </w:r>
      <w:r>
        <w:rPr>
          <w:sz w:val="18"/>
        </w:rPr>
        <w:tab/>
      </w:r>
      <w:r w:rsidRPr="00313765">
        <w:rPr>
          <w:sz w:val="18"/>
          <w:lang w:val="en-NZ"/>
        </w:rPr>
        <w:t xml:space="preserve">Some interactions between the tax and transfer system are not presented. Therefore the Tax, IETC, WFF and AS columns are not intended </w:t>
      </w:r>
      <w:r>
        <w:rPr>
          <w:sz w:val="18"/>
          <w:lang w:val="en-NZ"/>
        </w:rPr>
        <w:t xml:space="preserve">to </w:t>
      </w:r>
      <w:r w:rsidRPr="00313765">
        <w:rPr>
          <w:sz w:val="18"/>
          <w:lang w:val="en-NZ"/>
        </w:rPr>
        <w:t xml:space="preserve">sum to the average gain from all elements column. </w:t>
      </w:r>
    </w:p>
  </w:footnote>
  <w:footnote w:id="3">
    <w:p w14:paraId="509FF764" w14:textId="315057BD" w:rsidR="006F02E6" w:rsidRPr="00D90F82" w:rsidRDefault="006F02E6" w:rsidP="00313765">
      <w:pPr>
        <w:pStyle w:val="FootnoteText"/>
        <w:tabs>
          <w:tab w:val="clear" w:pos="227"/>
        </w:tabs>
        <w:ind w:left="284" w:hanging="284"/>
        <w:rPr>
          <w:lang w:val="en-NZ"/>
        </w:rPr>
      </w:pPr>
      <w:r w:rsidRPr="00313765">
        <w:rPr>
          <w:rStyle w:val="FootnoteReference"/>
          <w:sz w:val="18"/>
        </w:rPr>
        <w:footnoteRef/>
      </w:r>
      <w:r w:rsidRPr="00313765">
        <w:rPr>
          <w:sz w:val="18"/>
        </w:rPr>
        <w:t xml:space="preserve"> </w:t>
      </w:r>
      <w:r w:rsidRPr="00313765">
        <w:rPr>
          <w:sz w:val="18"/>
        </w:rPr>
        <w:tab/>
      </w:r>
      <w:r w:rsidR="00EE393D" w:rsidRPr="00EE393D">
        <w:rPr>
          <w:sz w:val="18"/>
        </w:rPr>
        <w:t>Consequential impacts include</w:t>
      </w:r>
      <w:r w:rsidR="00535C19">
        <w:rPr>
          <w:sz w:val="18"/>
        </w:rPr>
        <w:t xml:space="preserve">, for example, </w:t>
      </w:r>
      <w:r w:rsidR="00EE393D" w:rsidRPr="00EE393D">
        <w:rPr>
          <w:sz w:val="18"/>
        </w:rPr>
        <w:t xml:space="preserve">increased GST revenue as people spend their additional </w:t>
      </w:r>
      <w:r w:rsidR="00535C19">
        <w:rPr>
          <w:sz w:val="18"/>
        </w:rPr>
        <w:t>after</w:t>
      </w:r>
      <w:r w:rsidR="00EE393D" w:rsidRPr="00EE393D">
        <w:rPr>
          <w:sz w:val="18"/>
        </w:rPr>
        <w:t xml:space="preserve">-tax income, a reduction in gross benefit expenditure (as the net payments to benefit recipients are unchanged), partially offset by increases in New Zealand Superannuation payments due to an increase in the </w:t>
      </w:r>
      <w:r w:rsidR="00535C19">
        <w:rPr>
          <w:sz w:val="18"/>
        </w:rPr>
        <w:t>after</w:t>
      </w:r>
      <w:r w:rsidR="00EE393D" w:rsidRPr="00EE393D">
        <w:rPr>
          <w:sz w:val="18"/>
        </w:rPr>
        <w:t>-tax average wage (to which it is linked).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609D3" w14:textId="77777777" w:rsidR="00D67E0E" w:rsidRDefault="00D67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8A07" w14:textId="77777777" w:rsidR="00D67E0E" w:rsidRDefault="00D67E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05958" w14:textId="77777777" w:rsidR="00D67E0E" w:rsidRDefault="00D67E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338B"/>
    <w:multiLevelType w:val="hybridMultilevel"/>
    <w:tmpl w:val="49521C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74F5454"/>
    <w:multiLevelType w:val="hybridMultilevel"/>
    <w:tmpl w:val="B68E04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0BB66B9"/>
    <w:multiLevelType w:val="multilevel"/>
    <w:tmpl w:val="D286D936"/>
    <w:lvl w:ilvl="0">
      <w:start w:val="2"/>
      <w:numFmt w:val="decimal"/>
      <w:pStyle w:val="CabStandard"/>
      <w:lvlText w:val="%1"/>
      <w:lvlJc w:val="left"/>
      <w:pPr>
        <w:tabs>
          <w:tab w:val="num" w:pos="720"/>
        </w:tabs>
        <w:ind w:left="720" w:hanging="720"/>
      </w:pPr>
      <w:rPr>
        <w:rFonts w:ascii="Arial" w:hAnsi="Arial" w:cs="Arial" w:hint="default"/>
        <w:b w:val="0"/>
        <w:i w:val="0"/>
        <w:sz w:val="22"/>
        <w:szCs w:val="22"/>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nsid w:val="51637E94"/>
    <w:multiLevelType w:val="hybridMultilevel"/>
    <w:tmpl w:val="6E8082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nsid w:val="66680082"/>
    <w:multiLevelType w:val="hybridMultilevel"/>
    <w:tmpl w:val="384AB9AC"/>
    <w:lvl w:ilvl="0" w:tplc="B38A25F2">
      <w:start w:val="1"/>
      <w:numFmt w:val="bullet"/>
      <w:pStyle w:val="BulletLis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EC"/>
    <w:rsid w:val="00012963"/>
    <w:rsid w:val="000213BC"/>
    <w:rsid w:val="00021E7F"/>
    <w:rsid w:val="00022327"/>
    <w:rsid w:val="000328EC"/>
    <w:rsid w:val="000447B5"/>
    <w:rsid w:val="00051E2B"/>
    <w:rsid w:val="0006491E"/>
    <w:rsid w:val="000651EC"/>
    <w:rsid w:val="0009131A"/>
    <w:rsid w:val="000935C7"/>
    <w:rsid w:val="000C16A4"/>
    <w:rsid w:val="000C3826"/>
    <w:rsid w:val="000C38A0"/>
    <w:rsid w:val="000D17F0"/>
    <w:rsid w:val="000D2BEE"/>
    <w:rsid w:val="000D4C67"/>
    <w:rsid w:val="0015126C"/>
    <w:rsid w:val="00155E15"/>
    <w:rsid w:val="00175E4A"/>
    <w:rsid w:val="00194BC7"/>
    <w:rsid w:val="001A1E28"/>
    <w:rsid w:val="001A3028"/>
    <w:rsid w:val="001C5548"/>
    <w:rsid w:val="001E23EA"/>
    <w:rsid w:val="00255253"/>
    <w:rsid w:val="0026125D"/>
    <w:rsid w:val="002928C2"/>
    <w:rsid w:val="002A6BFE"/>
    <w:rsid w:val="002C49DA"/>
    <w:rsid w:val="002D3D75"/>
    <w:rsid w:val="002E769F"/>
    <w:rsid w:val="00313765"/>
    <w:rsid w:val="00314EB4"/>
    <w:rsid w:val="003349CD"/>
    <w:rsid w:val="0034185E"/>
    <w:rsid w:val="00351FF8"/>
    <w:rsid w:val="00355D83"/>
    <w:rsid w:val="003746BF"/>
    <w:rsid w:val="003863F6"/>
    <w:rsid w:val="00391CEC"/>
    <w:rsid w:val="003D4694"/>
    <w:rsid w:val="003D7B1B"/>
    <w:rsid w:val="003E5594"/>
    <w:rsid w:val="003F29DB"/>
    <w:rsid w:val="003F5047"/>
    <w:rsid w:val="00413F24"/>
    <w:rsid w:val="00436014"/>
    <w:rsid w:val="00452D91"/>
    <w:rsid w:val="004550F4"/>
    <w:rsid w:val="00465474"/>
    <w:rsid w:val="00465FC5"/>
    <w:rsid w:val="00467E51"/>
    <w:rsid w:val="0047209C"/>
    <w:rsid w:val="00481ECF"/>
    <w:rsid w:val="00491B5F"/>
    <w:rsid w:val="004A1FFE"/>
    <w:rsid w:val="004C3E65"/>
    <w:rsid w:val="004D02B5"/>
    <w:rsid w:val="004E380F"/>
    <w:rsid w:val="004F6327"/>
    <w:rsid w:val="0050791C"/>
    <w:rsid w:val="00510D9E"/>
    <w:rsid w:val="00520C91"/>
    <w:rsid w:val="00526D4E"/>
    <w:rsid w:val="00535C19"/>
    <w:rsid w:val="005404D5"/>
    <w:rsid w:val="00553BEC"/>
    <w:rsid w:val="005547EC"/>
    <w:rsid w:val="00555DE3"/>
    <w:rsid w:val="00557C1E"/>
    <w:rsid w:val="00564710"/>
    <w:rsid w:val="00572659"/>
    <w:rsid w:val="005852F0"/>
    <w:rsid w:val="00594FD7"/>
    <w:rsid w:val="005A7938"/>
    <w:rsid w:val="005B0915"/>
    <w:rsid w:val="005C2880"/>
    <w:rsid w:val="005C2F0D"/>
    <w:rsid w:val="005F5170"/>
    <w:rsid w:val="005F7D37"/>
    <w:rsid w:val="006065ED"/>
    <w:rsid w:val="00620D25"/>
    <w:rsid w:val="00621562"/>
    <w:rsid w:val="006240F8"/>
    <w:rsid w:val="00633ABB"/>
    <w:rsid w:val="00650CBD"/>
    <w:rsid w:val="00675E8B"/>
    <w:rsid w:val="00677908"/>
    <w:rsid w:val="00685A94"/>
    <w:rsid w:val="00692B77"/>
    <w:rsid w:val="006C26A9"/>
    <w:rsid w:val="006C66F8"/>
    <w:rsid w:val="006E0B86"/>
    <w:rsid w:val="006F02E6"/>
    <w:rsid w:val="00702A33"/>
    <w:rsid w:val="007167B4"/>
    <w:rsid w:val="00730F81"/>
    <w:rsid w:val="007458C6"/>
    <w:rsid w:val="007523CC"/>
    <w:rsid w:val="00773BDD"/>
    <w:rsid w:val="00777A67"/>
    <w:rsid w:val="007861F1"/>
    <w:rsid w:val="00797CF1"/>
    <w:rsid w:val="007C07B4"/>
    <w:rsid w:val="007D6152"/>
    <w:rsid w:val="007F18B9"/>
    <w:rsid w:val="007F39A5"/>
    <w:rsid w:val="007F5C5E"/>
    <w:rsid w:val="00805913"/>
    <w:rsid w:val="00834075"/>
    <w:rsid w:val="00836615"/>
    <w:rsid w:val="00837DCF"/>
    <w:rsid w:val="008609A3"/>
    <w:rsid w:val="00861A92"/>
    <w:rsid w:val="00865206"/>
    <w:rsid w:val="008A574E"/>
    <w:rsid w:val="008A5F5F"/>
    <w:rsid w:val="008B30D7"/>
    <w:rsid w:val="008B3230"/>
    <w:rsid w:val="008C06F5"/>
    <w:rsid w:val="008C102A"/>
    <w:rsid w:val="008C4F26"/>
    <w:rsid w:val="008D4542"/>
    <w:rsid w:val="008D6D17"/>
    <w:rsid w:val="008E5E98"/>
    <w:rsid w:val="008F10D4"/>
    <w:rsid w:val="00927799"/>
    <w:rsid w:val="00933388"/>
    <w:rsid w:val="00940AC1"/>
    <w:rsid w:val="00943823"/>
    <w:rsid w:val="009760C1"/>
    <w:rsid w:val="00976F0F"/>
    <w:rsid w:val="00994C65"/>
    <w:rsid w:val="009B5E55"/>
    <w:rsid w:val="009C0103"/>
    <w:rsid w:val="009C235F"/>
    <w:rsid w:val="009C3092"/>
    <w:rsid w:val="009D2ED5"/>
    <w:rsid w:val="009F1593"/>
    <w:rsid w:val="009F533A"/>
    <w:rsid w:val="00A01436"/>
    <w:rsid w:val="00A03910"/>
    <w:rsid w:val="00A04726"/>
    <w:rsid w:val="00A167BE"/>
    <w:rsid w:val="00A411E8"/>
    <w:rsid w:val="00A42EED"/>
    <w:rsid w:val="00A53A8A"/>
    <w:rsid w:val="00A53D12"/>
    <w:rsid w:val="00A56577"/>
    <w:rsid w:val="00A65A56"/>
    <w:rsid w:val="00A719EE"/>
    <w:rsid w:val="00AA642D"/>
    <w:rsid w:val="00AC078A"/>
    <w:rsid w:val="00AD24C3"/>
    <w:rsid w:val="00AD38B0"/>
    <w:rsid w:val="00AD50DE"/>
    <w:rsid w:val="00AF05AE"/>
    <w:rsid w:val="00AF63EA"/>
    <w:rsid w:val="00AF6468"/>
    <w:rsid w:val="00B029D9"/>
    <w:rsid w:val="00B03A95"/>
    <w:rsid w:val="00B042E8"/>
    <w:rsid w:val="00B14A6D"/>
    <w:rsid w:val="00B22CF2"/>
    <w:rsid w:val="00B303D3"/>
    <w:rsid w:val="00B407C4"/>
    <w:rsid w:val="00B41E0A"/>
    <w:rsid w:val="00B4277A"/>
    <w:rsid w:val="00B73C9C"/>
    <w:rsid w:val="00B86BCB"/>
    <w:rsid w:val="00BA1AAC"/>
    <w:rsid w:val="00BA331E"/>
    <w:rsid w:val="00BB775B"/>
    <w:rsid w:val="00BE6FFD"/>
    <w:rsid w:val="00BF6409"/>
    <w:rsid w:val="00C00E57"/>
    <w:rsid w:val="00C027D2"/>
    <w:rsid w:val="00C0493B"/>
    <w:rsid w:val="00C1327E"/>
    <w:rsid w:val="00C30198"/>
    <w:rsid w:val="00C36DA3"/>
    <w:rsid w:val="00C37BDD"/>
    <w:rsid w:val="00C44DA6"/>
    <w:rsid w:val="00C45FAD"/>
    <w:rsid w:val="00C5775B"/>
    <w:rsid w:val="00C7752E"/>
    <w:rsid w:val="00C83120"/>
    <w:rsid w:val="00CA2CFD"/>
    <w:rsid w:val="00CA7ACA"/>
    <w:rsid w:val="00CB5946"/>
    <w:rsid w:val="00CB5C54"/>
    <w:rsid w:val="00CB6898"/>
    <w:rsid w:val="00CD4A58"/>
    <w:rsid w:val="00CD4E56"/>
    <w:rsid w:val="00CD566A"/>
    <w:rsid w:val="00CD7C20"/>
    <w:rsid w:val="00CE4CA9"/>
    <w:rsid w:val="00CE5191"/>
    <w:rsid w:val="00CF4C44"/>
    <w:rsid w:val="00D04D05"/>
    <w:rsid w:val="00D100BC"/>
    <w:rsid w:val="00D14994"/>
    <w:rsid w:val="00D16237"/>
    <w:rsid w:val="00D170E0"/>
    <w:rsid w:val="00D34A9D"/>
    <w:rsid w:val="00D36050"/>
    <w:rsid w:val="00D517F8"/>
    <w:rsid w:val="00D52F13"/>
    <w:rsid w:val="00D67E0E"/>
    <w:rsid w:val="00D77EBC"/>
    <w:rsid w:val="00D90F82"/>
    <w:rsid w:val="00DA24B8"/>
    <w:rsid w:val="00DA594B"/>
    <w:rsid w:val="00DB50A4"/>
    <w:rsid w:val="00DB58E9"/>
    <w:rsid w:val="00DD6751"/>
    <w:rsid w:val="00DE0D7C"/>
    <w:rsid w:val="00DE2B40"/>
    <w:rsid w:val="00DE4CBA"/>
    <w:rsid w:val="00DF1529"/>
    <w:rsid w:val="00E11392"/>
    <w:rsid w:val="00E332E6"/>
    <w:rsid w:val="00E34F95"/>
    <w:rsid w:val="00E4446F"/>
    <w:rsid w:val="00E81FCB"/>
    <w:rsid w:val="00E85545"/>
    <w:rsid w:val="00EB1B21"/>
    <w:rsid w:val="00EE393D"/>
    <w:rsid w:val="00EF005A"/>
    <w:rsid w:val="00EF34D7"/>
    <w:rsid w:val="00EF5DBE"/>
    <w:rsid w:val="00F034E8"/>
    <w:rsid w:val="00F3427C"/>
    <w:rsid w:val="00F346F9"/>
    <w:rsid w:val="00F42E6A"/>
    <w:rsid w:val="00F47F43"/>
    <w:rsid w:val="00F67E1A"/>
    <w:rsid w:val="00F70EC4"/>
    <w:rsid w:val="00F84704"/>
    <w:rsid w:val="00FB2078"/>
    <w:rsid w:val="00FB7928"/>
    <w:rsid w:val="00FC18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24C3"/>
    <w:pPr>
      <w:spacing w:line="280" w:lineRule="atLeast"/>
    </w:pPr>
    <w:rPr>
      <w:rFonts w:ascii="Arial" w:hAnsi="Arial" w:cs="Arial"/>
      <w:sz w:val="24"/>
    </w:rPr>
  </w:style>
  <w:style w:type="paragraph" w:styleId="Heading1">
    <w:name w:val="heading 1"/>
    <w:next w:val="Normal"/>
    <w:link w:val="Heading1Char"/>
    <w:qFormat/>
    <w:rsid w:val="00AD24C3"/>
    <w:pPr>
      <w:keepNext/>
      <w:spacing w:after="240" w:line="300" w:lineRule="atLeast"/>
      <w:outlineLvl w:val="0"/>
    </w:pPr>
    <w:rPr>
      <w:rFonts w:ascii="Arial Bold" w:hAnsi="Arial Bold" w:cs="Times New Roman"/>
      <w:b/>
      <w:sz w:val="36"/>
      <w:szCs w:val="36"/>
      <w:lang w:val="en-AU"/>
    </w:rPr>
  </w:style>
  <w:style w:type="paragraph" w:styleId="Heading2">
    <w:name w:val="heading 2"/>
    <w:basedOn w:val="Normal"/>
    <w:next w:val="Normal"/>
    <w:link w:val="Heading2Char"/>
    <w:qFormat/>
    <w:rsid w:val="00AD24C3"/>
    <w:pPr>
      <w:keepNext/>
      <w:spacing w:before="360" w:after="240"/>
      <w:outlineLvl w:val="1"/>
    </w:pPr>
    <w:rPr>
      <w:b/>
      <w:i/>
      <w:sz w:val="28"/>
      <w:szCs w:val="28"/>
    </w:rPr>
  </w:style>
  <w:style w:type="paragraph" w:styleId="Heading3">
    <w:name w:val="heading 3"/>
    <w:basedOn w:val="Normal"/>
    <w:next w:val="Normal"/>
    <w:link w:val="Heading3Char"/>
    <w:qFormat/>
    <w:rsid w:val="00313765"/>
    <w:pPr>
      <w:keepNext/>
      <w:outlineLvl w:val="2"/>
    </w:pPr>
    <w:rPr>
      <w:b/>
    </w:rPr>
  </w:style>
  <w:style w:type="paragraph" w:styleId="Heading4">
    <w:name w:val="heading 4"/>
    <w:next w:val="Normal"/>
    <w:link w:val="Heading4Char"/>
    <w:rsid w:val="00865206"/>
    <w:pPr>
      <w:keepNext/>
      <w:spacing w:before="60" w:after="120" w:line="280" w:lineRule="atLeast"/>
      <w:outlineLvl w:val="3"/>
    </w:pPr>
    <w:rPr>
      <w:rFonts w:ascii="Arial" w:hAnsi="Arial" w:cs="Times New Roman"/>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65206"/>
    <w:pPr>
      <w:tabs>
        <w:tab w:val="center" w:pos="4153"/>
        <w:tab w:val="right" w:pos="8306"/>
      </w:tabs>
    </w:pPr>
  </w:style>
  <w:style w:type="character" w:customStyle="1" w:styleId="FooterChar">
    <w:name w:val="Footer Char"/>
    <w:basedOn w:val="DefaultParagraphFont"/>
    <w:link w:val="Footer"/>
    <w:rsid w:val="00DA24B8"/>
    <w:rPr>
      <w:rFonts w:ascii="Arial" w:hAnsi="Arial" w:cs="Arial"/>
    </w:rPr>
  </w:style>
  <w:style w:type="paragraph" w:styleId="Header">
    <w:name w:val="header"/>
    <w:basedOn w:val="Normal"/>
    <w:link w:val="HeaderChar"/>
    <w:rsid w:val="00865206"/>
    <w:pPr>
      <w:tabs>
        <w:tab w:val="center" w:pos="4153"/>
        <w:tab w:val="right" w:pos="8306"/>
      </w:tabs>
    </w:pPr>
  </w:style>
  <w:style w:type="character" w:customStyle="1" w:styleId="HeaderChar">
    <w:name w:val="Header Char"/>
    <w:basedOn w:val="DefaultParagraphFont"/>
    <w:link w:val="Header"/>
    <w:rsid w:val="00DA24B8"/>
    <w:rPr>
      <w:rFonts w:ascii="Arial" w:hAnsi="Arial" w:cs="Arial"/>
    </w:rPr>
  </w:style>
  <w:style w:type="character" w:customStyle="1" w:styleId="Heading1Char">
    <w:name w:val="Heading 1 Char"/>
    <w:basedOn w:val="DefaultParagraphFont"/>
    <w:link w:val="Heading1"/>
    <w:rsid w:val="00AD24C3"/>
    <w:rPr>
      <w:rFonts w:ascii="Arial Bold" w:hAnsi="Arial Bold" w:cs="Times New Roman"/>
      <w:b/>
      <w:sz w:val="36"/>
      <w:szCs w:val="36"/>
      <w:lang w:val="en-AU"/>
    </w:rPr>
  </w:style>
  <w:style w:type="character" w:customStyle="1" w:styleId="Heading2Char">
    <w:name w:val="Heading 2 Char"/>
    <w:basedOn w:val="DefaultParagraphFont"/>
    <w:link w:val="Heading2"/>
    <w:rsid w:val="00AD24C3"/>
    <w:rPr>
      <w:rFonts w:ascii="Arial" w:hAnsi="Arial" w:cs="Arial"/>
      <w:b/>
      <w:i/>
      <w:sz w:val="28"/>
      <w:szCs w:val="28"/>
    </w:rPr>
  </w:style>
  <w:style w:type="character" w:customStyle="1" w:styleId="Heading3Char">
    <w:name w:val="Heading 3 Char"/>
    <w:basedOn w:val="DefaultParagraphFont"/>
    <w:link w:val="Heading3"/>
    <w:rsid w:val="00313765"/>
    <w:rPr>
      <w:rFonts w:ascii="Arial" w:hAnsi="Arial" w:cs="Arial"/>
      <w:b/>
      <w:sz w:val="24"/>
    </w:rPr>
  </w:style>
  <w:style w:type="character" w:customStyle="1" w:styleId="Heading4Char">
    <w:name w:val="Heading 4 Char"/>
    <w:basedOn w:val="DefaultParagraphFont"/>
    <w:link w:val="Heading4"/>
    <w:rsid w:val="00DA24B8"/>
    <w:rPr>
      <w:rFonts w:ascii="Arial" w:hAnsi="Arial" w:cs="Times New Roman"/>
      <w:i/>
      <w:szCs w:val="20"/>
      <w:lang w:val="en-AU"/>
    </w:rPr>
  </w:style>
  <w:style w:type="paragraph" w:styleId="ListParagraph">
    <w:name w:val="List Paragraph"/>
    <w:basedOn w:val="Normal"/>
    <w:uiPriority w:val="34"/>
    <w:rsid w:val="00DA24B8"/>
    <w:pPr>
      <w:ind w:left="720"/>
      <w:contextualSpacing/>
    </w:pPr>
  </w:style>
  <w:style w:type="paragraph" w:styleId="EnvelopeAddress">
    <w:name w:val="envelope address"/>
    <w:basedOn w:val="Normal"/>
    <w:uiPriority w:val="99"/>
    <w:unhideWhenUsed/>
    <w:rsid w:val="00CB5C5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unhideWhenUsed/>
    <w:rsid w:val="00CB5C54"/>
    <w:rPr>
      <w:rFonts w:asciiTheme="majorHAnsi" w:eastAsiaTheme="majorEastAsia" w:hAnsiTheme="majorHAnsi" w:cstheme="majorBidi"/>
      <w:sz w:val="20"/>
    </w:rPr>
  </w:style>
  <w:style w:type="paragraph" w:customStyle="1" w:styleId="BulletList">
    <w:name w:val="Bullet List"/>
    <w:uiPriority w:val="1"/>
    <w:qFormat/>
    <w:rsid w:val="00AD24C3"/>
    <w:pPr>
      <w:numPr>
        <w:numId w:val="1"/>
      </w:numPr>
      <w:spacing w:line="280" w:lineRule="atLeast"/>
      <w:ind w:left="284" w:hanging="284"/>
    </w:pPr>
    <w:rPr>
      <w:rFonts w:ascii="Arial" w:hAnsi="Arial" w:cs="Times New Roman"/>
      <w:sz w:val="24"/>
      <w:szCs w:val="20"/>
      <w:lang w:val="en-AU"/>
    </w:rPr>
  </w:style>
  <w:style w:type="paragraph" w:customStyle="1" w:styleId="FootnoteSeparator">
    <w:name w:val="Footnote Separator"/>
    <w:basedOn w:val="Normal"/>
    <w:semiHidden/>
    <w:qFormat/>
    <w:rsid w:val="00865206"/>
    <w:rPr>
      <w:color w:val="404040"/>
    </w:rPr>
  </w:style>
  <w:style w:type="paragraph" w:styleId="FootnoteText">
    <w:name w:val="footnote text"/>
    <w:link w:val="FootnoteTextChar"/>
    <w:uiPriority w:val="3"/>
    <w:rsid w:val="00865206"/>
    <w:pPr>
      <w:tabs>
        <w:tab w:val="left" w:pos="227"/>
      </w:tabs>
      <w:spacing w:after="60" w:line="240" w:lineRule="atLeast"/>
      <w:ind w:left="227" w:hanging="227"/>
    </w:pPr>
    <w:rPr>
      <w:rFonts w:ascii="Arial" w:hAnsi="Arial" w:cs="Times New Roman"/>
      <w:sz w:val="16"/>
      <w:szCs w:val="20"/>
      <w:lang w:val="en-AU"/>
    </w:rPr>
  </w:style>
  <w:style w:type="character" w:customStyle="1" w:styleId="FootnoteTextChar">
    <w:name w:val="Footnote Text Char"/>
    <w:basedOn w:val="DefaultParagraphFont"/>
    <w:link w:val="FootnoteText"/>
    <w:uiPriority w:val="3"/>
    <w:rsid w:val="00865206"/>
    <w:rPr>
      <w:rFonts w:ascii="Arial" w:hAnsi="Arial" w:cs="Times New Roman"/>
      <w:sz w:val="16"/>
      <w:szCs w:val="20"/>
      <w:lang w:val="en-AU"/>
    </w:rPr>
  </w:style>
  <w:style w:type="paragraph" w:customStyle="1" w:styleId="TableHeading1">
    <w:name w:val="Table Heading 1"/>
    <w:next w:val="Normal"/>
    <w:uiPriority w:val="2"/>
    <w:rsid w:val="00865206"/>
    <w:pPr>
      <w:spacing w:before="60" w:after="60" w:line="240" w:lineRule="atLeast"/>
    </w:pPr>
    <w:rPr>
      <w:rFonts w:ascii="Arial" w:hAnsi="Arial" w:cs="Arial"/>
      <w:b/>
      <w:bCs/>
      <w:sz w:val="18"/>
      <w:szCs w:val="14"/>
      <w:lang w:val="en-GB" w:eastAsia="en-GB"/>
    </w:rPr>
  </w:style>
  <w:style w:type="paragraph" w:customStyle="1" w:styleId="TableHeading2">
    <w:name w:val="Table Heading 2"/>
    <w:uiPriority w:val="2"/>
    <w:rsid w:val="00865206"/>
    <w:pPr>
      <w:widowControl w:val="0"/>
      <w:spacing w:before="60" w:after="60" w:line="240" w:lineRule="atLeast"/>
    </w:pPr>
    <w:rPr>
      <w:rFonts w:ascii="Arial" w:hAnsi="Arial" w:cs="Arial"/>
      <w:bCs/>
      <w:i/>
      <w:sz w:val="18"/>
      <w:szCs w:val="14"/>
    </w:rPr>
  </w:style>
  <w:style w:type="paragraph" w:customStyle="1" w:styleId="TableText">
    <w:name w:val="Table Text"/>
    <w:uiPriority w:val="1"/>
    <w:rsid w:val="00865206"/>
    <w:pPr>
      <w:autoSpaceDE w:val="0"/>
      <w:autoSpaceDN w:val="0"/>
      <w:adjustRightInd w:val="0"/>
      <w:spacing w:before="60" w:after="60" w:line="240" w:lineRule="atLeast"/>
    </w:pPr>
    <w:rPr>
      <w:rFonts w:ascii="Arial" w:hAnsi="Arial" w:cs="GillSans"/>
      <w:sz w:val="18"/>
      <w:szCs w:val="18"/>
      <w:lang w:val="en-GB" w:eastAsia="en-AU"/>
    </w:rPr>
  </w:style>
  <w:style w:type="paragraph" w:styleId="Title">
    <w:name w:val="Title"/>
    <w:basedOn w:val="Heading1"/>
    <w:next w:val="Normal"/>
    <w:link w:val="TitleChar"/>
    <w:uiPriority w:val="10"/>
    <w:unhideWhenUsed/>
    <w:rsid w:val="00865206"/>
    <w:rPr>
      <w:sz w:val="56"/>
      <w:szCs w:val="56"/>
      <w:lang w:val="en-NZ"/>
    </w:rPr>
  </w:style>
  <w:style w:type="character" w:customStyle="1" w:styleId="TitleChar">
    <w:name w:val="Title Char"/>
    <w:basedOn w:val="DefaultParagraphFont"/>
    <w:link w:val="Title"/>
    <w:uiPriority w:val="10"/>
    <w:rsid w:val="00865206"/>
    <w:rPr>
      <w:rFonts w:ascii="Arial Bold" w:hAnsi="Arial Bold" w:cs="Times New Roman"/>
      <w:b/>
      <w:sz w:val="56"/>
      <w:szCs w:val="56"/>
    </w:rPr>
  </w:style>
  <w:style w:type="character" w:styleId="CommentReference">
    <w:name w:val="annotation reference"/>
    <w:basedOn w:val="DefaultParagraphFont"/>
    <w:uiPriority w:val="99"/>
    <w:semiHidden/>
    <w:unhideWhenUsed/>
    <w:rsid w:val="00976F0F"/>
    <w:rPr>
      <w:sz w:val="16"/>
      <w:szCs w:val="16"/>
    </w:rPr>
  </w:style>
  <w:style w:type="paragraph" w:styleId="CommentText">
    <w:name w:val="annotation text"/>
    <w:basedOn w:val="Normal"/>
    <w:link w:val="CommentTextChar"/>
    <w:uiPriority w:val="99"/>
    <w:semiHidden/>
    <w:unhideWhenUsed/>
    <w:rsid w:val="00976F0F"/>
    <w:pPr>
      <w:spacing w:line="240" w:lineRule="auto"/>
    </w:pPr>
    <w:rPr>
      <w:sz w:val="20"/>
      <w:szCs w:val="20"/>
    </w:rPr>
  </w:style>
  <w:style w:type="character" w:customStyle="1" w:styleId="CommentTextChar">
    <w:name w:val="Comment Text Char"/>
    <w:basedOn w:val="DefaultParagraphFont"/>
    <w:link w:val="CommentText"/>
    <w:uiPriority w:val="99"/>
    <w:semiHidden/>
    <w:rsid w:val="00976F0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76F0F"/>
    <w:rPr>
      <w:b/>
      <w:bCs/>
    </w:rPr>
  </w:style>
  <w:style w:type="character" w:customStyle="1" w:styleId="CommentSubjectChar">
    <w:name w:val="Comment Subject Char"/>
    <w:basedOn w:val="CommentTextChar"/>
    <w:link w:val="CommentSubject"/>
    <w:uiPriority w:val="99"/>
    <w:semiHidden/>
    <w:rsid w:val="00976F0F"/>
    <w:rPr>
      <w:rFonts w:ascii="Arial" w:hAnsi="Arial" w:cs="Arial"/>
      <w:b/>
      <w:bCs/>
      <w:sz w:val="20"/>
      <w:szCs w:val="20"/>
    </w:rPr>
  </w:style>
  <w:style w:type="paragraph" w:styleId="BalloonText">
    <w:name w:val="Balloon Text"/>
    <w:basedOn w:val="Normal"/>
    <w:link w:val="BalloonTextChar"/>
    <w:uiPriority w:val="99"/>
    <w:semiHidden/>
    <w:unhideWhenUsed/>
    <w:rsid w:val="00976F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F0F"/>
    <w:rPr>
      <w:rFonts w:ascii="Segoe UI" w:hAnsi="Segoe UI" w:cs="Segoe UI"/>
      <w:sz w:val="18"/>
      <w:szCs w:val="18"/>
    </w:rPr>
  </w:style>
  <w:style w:type="paragraph" w:customStyle="1" w:styleId="CabStandard">
    <w:name w:val="CabStandard"/>
    <w:basedOn w:val="Normal"/>
    <w:uiPriority w:val="99"/>
    <w:rsid w:val="00AF05AE"/>
    <w:pPr>
      <w:numPr>
        <w:numId w:val="5"/>
      </w:numPr>
      <w:spacing w:after="240" w:line="240" w:lineRule="auto"/>
    </w:pPr>
    <w:rPr>
      <w:rFonts w:ascii="Times New Roman" w:hAnsi="Times New Roman" w:cs="Times New Roman"/>
      <w:szCs w:val="20"/>
      <w:lang w:val="en-GB" w:eastAsia="ja-JP"/>
    </w:rPr>
  </w:style>
  <w:style w:type="character" w:styleId="FootnoteReference">
    <w:name w:val="footnote reference"/>
    <w:basedOn w:val="DefaultParagraphFont"/>
    <w:uiPriority w:val="99"/>
    <w:semiHidden/>
    <w:unhideWhenUsed/>
    <w:rsid w:val="00AF05AE"/>
    <w:rPr>
      <w:vertAlign w:val="superscript"/>
    </w:rPr>
  </w:style>
  <w:style w:type="table" w:styleId="TableGrid">
    <w:name w:val="Table Grid"/>
    <w:basedOn w:val="TableNormal"/>
    <w:uiPriority w:val="59"/>
    <w:rsid w:val="00C02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50CBD"/>
    <w:pPr>
      <w:spacing w:after="0" w:line="240" w:lineRule="auto"/>
    </w:pPr>
    <w:rPr>
      <w:rFonts w:ascii="Arial" w:hAnsi="Arial" w:cs="Arial"/>
    </w:rPr>
  </w:style>
  <w:style w:type="paragraph" w:styleId="NoSpacing">
    <w:name w:val="No Spacing"/>
    <w:uiPriority w:val="1"/>
    <w:qFormat/>
    <w:rsid w:val="00AD24C3"/>
    <w:pPr>
      <w:spacing w:after="0" w:line="240" w:lineRule="auto"/>
    </w:pPr>
    <w:rPr>
      <w:rFonts w:ascii="Arial" w:hAnsi="Arial" w:cs="Arial"/>
      <w:sz w:val="24"/>
    </w:rPr>
  </w:style>
  <w:style w:type="character" w:styleId="Hyperlink">
    <w:name w:val="Hyperlink"/>
    <w:basedOn w:val="DefaultParagraphFont"/>
    <w:uiPriority w:val="99"/>
    <w:unhideWhenUsed/>
    <w:rsid w:val="00E81FCB"/>
    <w:rPr>
      <w:color w:val="0563C1"/>
      <w:u w:val="single"/>
    </w:rPr>
  </w:style>
  <w:style w:type="character" w:styleId="FollowedHyperlink">
    <w:name w:val="FollowedHyperlink"/>
    <w:basedOn w:val="DefaultParagraphFont"/>
    <w:uiPriority w:val="99"/>
    <w:semiHidden/>
    <w:unhideWhenUsed/>
    <w:rsid w:val="004A1F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24C3"/>
    <w:pPr>
      <w:spacing w:line="280" w:lineRule="atLeast"/>
    </w:pPr>
    <w:rPr>
      <w:rFonts w:ascii="Arial" w:hAnsi="Arial" w:cs="Arial"/>
      <w:sz w:val="24"/>
    </w:rPr>
  </w:style>
  <w:style w:type="paragraph" w:styleId="Heading1">
    <w:name w:val="heading 1"/>
    <w:next w:val="Normal"/>
    <w:link w:val="Heading1Char"/>
    <w:qFormat/>
    <w:rsid w:val="00AD24C3"/>
    <w:pPr>
      <w:keepNext/>
      <w:spacing w:after="240" w:line="300" w:lineRule="atLeast"/>
      <w:outlineLvl w:val="0"/>
    </w:pPr>
    <w:rPr>
      <w:rFonts w:ascii="Arial Bold" w:hAnsi="Arial Bold" w:cs="Times New Roman"/>
      <w:b/>
      <w:sz w:val="36"/>
      <w:szCs w:val="36"/>
      <w:lang w:val="en-AU"/>
    </w:rPr>
  </w:style>
  <w:style w:type="paragraph" w:styleId="Heading2">
    <w:name w:val="heading 2"/>
    <w:basedOn w:val="Normal"/>
    <w:next w:val="Normal"/>
    <w:link w:val="Heading2Char"/>
    <w:qFormat/>
    <w:rsid w:val="00AD24C3"/>
    <w:pPr>
      <w:keepNext/>
      <w:spacing w:before="360" w:after="240"/>
      <w:outlineLvl w:val="1"/>
    </w:pPr>
    <w:rPr>
      <w:b/>
      <w:i/>
      <w:sz w:val="28"/>
      <w:szCs w:val="28"/>
    </w:rPr>
  </w:style>
  <w:style w:type="paragraph" w:styleId="Heading3">
    <w:name w:val="heading 3"/>
    <w:basedOn w:val="Normal"/>
    <w:next w:val="Normal"/>
    <w:link w:val="Heading3Char"/>
    <w:qFormat/>
    <w:rsid w:val="00313765"/>
    <w:pPr>
      <w:keepNext/>
      <w:outlineLvl w:val="2"/>
    </w:pPr>
    <w:rPr>
      <w:b/>
    </w:rPr>
  </w:style>
  <w:style w:type="paragraph" w:styleId="Heading4">
    <w:name w:val="heading 4"/>
    <w:next w:val="Normal"/>
    <w:link w:val="Heading4Char"/>
    <w:rsid w:val="00865206"/>
    <w:pPr>
      <w:keepNext/>
      <w:spacing w:before="60" w:after="120" w:line="280" w:lineRule="atLeast"/>
      <w:outlineLvl w:val="3"/>
    </w:pPr>
    <w:rPr>
      <w:rFonts w:ascii="Arial" w:hAnsi="Arial" w:cs="Times New Roman"/>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65206"/>
    <w:pPr>
      <w:tabs>
        <w:tab w:val="center" w:pos="4153"/>
        <w:tab w:val="right" w:pos="8306"/>
      </w:tabs>
    </w:pPr>
  </w:style>
  <w:style w:type="character" w:customStyle="1" w:styleId="FooterChar">
    <w:name w:val="Footer Char"/>
    <w:basedOn w:val="DefaultParagraphFont"/>
    <w:link w:val="Footer"/>
    <w:rsid w:val="00DA24B8"/>
    <w:rPr>
      <w:rFonts w:ascii="Arial" w:hAnsi="Arial" w:cs="Arial"/>
    </w:rPr>
  </w:style>
  <w:style w:type="paragraph" w:styleId="Header">
    <w:name w:val="header"/>
    <w:basedOn w:val="Normal"/>
    <w:link w:val="HeaderChar"/>
    <w:rsid w:val="00865206"/>
    <w:pPr>
      <w:tabs>
        <w:tab w:val="center" w:pos="4153"/>
        <w:tab w:val="right" w:pos="8306"/>
      </w:tabs>
    </w:pPr>
  </w:style>
  <w:style w:type="character" w:customStyle="1" w:styleId="HeaderChar">
    <w:name w:val="Header Char"/>
    <w:basedOn w:val="DefaultParagraphFont"/>
    <w:link w:val="Header"/>
    <w:rsid w:val="00DA24B8"/>
    <w:rPr>
      <w:rFonts w:ascii="Arial" w:hAnsi="Arial" w:cs="Arial"/>
    </w:rPr>
  </w:style>
  <w:style w:type="character" w:customStyle="1" w:styleId="Heading1Char">
    <w:name w:val="Heading 1 Char"/>
    <w:basedOn w:val="DefaultParagraphFont"/>
    <w:link w:val="Heading1"/>
    <w:rsid w:val="00AD24C3"/>
    <w:rPr>
      <w:rFonts w:ascii="Arial Bold" w:hAnsi="Arial Bold" w:cs="Times New Roman"/>
      <w:b/>
      <w:sz w:val="36"/>
      <w:szCs w:val="36"/>
      <w:lang w:val="en-AU"/>
    </w:rPr>
  </w:style>
  <w:style w:type="character" w:customStyle="1" w:styleId="Heading2Char">
    <w:name w:val="Heading 2 Char"/>
    <w:basedOn w:val="DefaultParagraphFont"/>
    <w:link w:val="Heading2"/>
    <w:rsid w:val="00AD24C3"/>
    <w:rPr>
      <w:rFonts w:ascii="Arial" w:hAnsi="Arial" w:cs="Arial"/>
      <w:b/>
      <w:i/>
      <w:sz w:val="28"/>
      <w:szCs w:val="28"/>
    </w:rPr>
  </w:style>
  <w:style w:type="character" w:customStyle="1" w:styleId="Heading3Char">
    <w:name w:val="Heading 3 Char"/>
    <w:basedOn w:val="DefaultParagraphFont"/>
    <w:link w:val="Heading3"/>
    <w:rsid w:val="00313765"/>
    <w:rPr>
      <w:rFonts w:ascii="Arial" w:hAnsi="Arial" w:cs="Arial"/>
      <w:b/>
      <w:sz w:val="24"/>
    </w:rPr>
  </w:style>
  <w:style w:type="character" w:customStyle="1" w:styleId="Heading4Char">
    <w:name w:val="Heading 4 Char"/>
    <w:basedOn w:val="DefaultParagraphFont"/>
    <w:link w:val="Heading4"/>
    <w:rsid w:val="00DA24B8"/>
    <w:rPr>
      <w:rFonts w:ascii="Arial" w:hAnsi="Arial" w:cs="Times New Roman"/>
      <w:i/>
      <w:szCs w:val="20"/>
      <w:lang w:val="en-AU"/>
    </w:rPr>
  </w:style>
  <w:style w:type="paragraph" w:styleId="ListParagraph">
    <w:name w:val="List Paragraph"/>
    <w:basedOn w:val="Normal"/>
    <w:uiPriority w:val="34"/>
    <w:rsid w:val="00DA24B8"/>
    <w:pPr>
      <w:ind w:left="720"/>
      <w:contextualSpacing/>
    </w:pPr>
  </w:style>
  <w:style w:type="paragraph" w:styleId="EnvelopeAddress">
    <w:name w:val="envelope address"/>
    <w:basedOn w:val="Normal"/>
    <w:uiPriority w:val="99"/>
    <w:unhideWhenUsed/>
    <w:rsid w:val="00CB5C5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unhideWhenUsed/>
    <w:rsid w:val="00CB5C54"/>
    <w:rPr>
      <w:rFonts w:asciiTheme="majorHAnsi" w:eastAsiaTheme="majorEastAsia" w:hAnsiTheme="majorHAnsi" w:cstheme="majorBidi"/>
      <w:sz w:val="20"/>
    </w:rPr>
  </w:style>
  <w:style w:type="paragraph" w:customStyle="1" w:styleId="BulletList">
    <w:name w:val="Bullet List"/>
    <w:uiPriority w:val="1"/>
    <w:qFormat/>
    <w:rsid w:val="00AD24C3"/>
    <w:pPr>
      <w:numPr>
        <w:numId w:val="1"/>
      </w:numPr>
      <w:spacing w:line="280" w:lineRule="atLeast"/>
      <w:ind w:left="284" w:hanging="284"/>
    </w:pPr>
    <w:rPr>
      <w:rFonts w:ascii="Arial" w:hAnsi="Arial" w:cs="Times New Roman"/>
      <w:sz w:val="24"/>
      <w:szCs w:val="20"/>
      <w:lang w:val="en-AU"/>
    </w:rPr>
  </w:style>
  <w:style w:type="paragraph" w:customStyle="1" w:styleId="FootnoteSeparator">
    <w:name w:val="Footnote Separator"/>
    <w:basedOn w:val="Normal"/>
    <w:semiHidden/>
    <w:qFormat/>
    <w:rsid w:val="00865206"/>
    <w:rPr>
      <w:color w:val="404040"/>
    </w:rPr>
  </w:style>
  <w:style w:type="paragraph" w:styleId="FootnoteText">
    <w:name w:val="footnote text"/>
    <w:link w:val="FootnoteTextChar"/>
    <w:uiPriority w:val="3"/>
    <w:rsid w:val="00865206"/>
    <w:pPr>
      <w:tabs>
        <w:tab w:val="left" w:pos="227"/>
      </w:tabs>
      <w:spacing w:after="60" w:line="240" w:lineRule="atLeast"/>
      <w:ind w:left="227" w:hanging="227"/>
    </w:pPr>
    <w:rPr>
      <w:rFonts w:ascii="Arial" w:hAnsi="Arial" w:cs="Times New Roman"/>
      <w:sz w:val="16"/>
      <w:szCs w:val="20"/>
      <w:lang w:val="en-AU"/>
    </w:rPr>
  </w:style>
  <w:style w:type="character" w:customStyle="1" w:styleId="FootnoteTextChar">
    <w:name w:val="Footnote Text Char"/>
    <w:basedOn w:val="DefaultParagraphFont"/>
    <w:link w:val="FootnoteText"/>
    <w:uiPriority w:val="3"/>
    <w:rsid w:val="00865206"/>
    <w:rPr>
      <w:rFonts w:ascii="Arial" w:hAnsi="Arial" w:cs="Times New Roman"/>
      <w:sz w:val="16"/>
      <w:szCs w:val="20"/>
      <w:lang w:val="en-AU"/>
    </w:rPr>
  </w:style>
  <w:style w:type="paragraph" w:customStyle="1" w:styleId="TableHeading1">
    <w:name w:val="Table Heading 1"/>
    <w:next w:val="Normal"/>
    <w:uiPriority w:val="2"/>
    <w:rsid w:val="00865206"/>
    <w:pPr>
      <w:spacing w:before="60" w:after="60" w:line="240" w:lineRule="atLeast"/>
    </w:pPr>
    <w:rPr>
      <w:rFonts w:ascii="Arial" w:hAnsi="Arial" w:cs="Arial"/>
      <w:b/>
      <w:bCs/>
      <w:sz w:val="18"/>
      <w:szCs w:val="14"/>
      <w:lang w:val="en-GB" w:eastAsia="en-GB"/>
    </w:rPr>
  </w:style>
  <w:style w:type="paragraph" w:customStyle="1" w:styleId="TableHeading2">
    <w:name w:val="Table Heading 2"/>
    <w:uiPriority w:val="2"/>
    <w:rsid w:val="00865206"/>
    <w:pPr>
      <w:widowControl w:val="0"/>
      <w:spacing w:before="60" w:after="60" w:line="240" w:lineRule="atLeast"/>
    </w:pPr>
    <w:rPr>
      <w:rFonts w:ascii="Arial" w:hAnsi="Arial" w:cs="Arial"/>
      <w:bCs/>
      <w:i/>
      <w:sz w:val="18"/>
      <w:szCs w:val="14"/>
    </w:rPr>
  </w:style>
  <w:style w:type="paragraph" w:customStyle="1" w:styleId="TableText">
    <w:name w:val="Table Text"/>
    <w:uiPriority w:val="1"/>
    <w:rsid w:val="00865206"/>
    <w:pPr>
      <w:autoSpaceDE w:val="0"/>
      <w:autoSpaceDN w:val="0"/>
      <w:adjustRightInd w:val="0"/>
      <w:spacing w:before="60" w:after="60" w:line="240" w:lineRule="atLeast"/>
    </w:pPr>
    <w:rPr>
      <w:rFonts w:ascii="Arial" w:hAnsi="Arial" w:cs="GillSans"/>
      <w:sz w:val="18"/>
      <w:szCs w:val="18"/>
      <w:lang w:val="en-GB" w:eastAsia="en-AU"/>
    </w:rPr>
  </w:style>
  <w:style w:type="paragraph" w:styleId="Title">
    <w:name w:val="Title"/>
    <w:basedOn w:val="Heading1"/>
    <w:next w:val="Normal"/>
    <w:link w:val="TitleChar"/>
    <w:uiPriority w:val="10"/>
    <w:unhideWhenUsed/>
    <w:rsid w:val="00865206"/>
    <w:rPr>
      <w:sz w:val="56"/>
      <w:szCs w:val="56"/>
      <w:lang w:val="en-NZ"/>
    </w:rPr>
  </w:style>
  <w:style w:type="character" w:customStyle="1" w:styleId="TitleChar">
    <w:name w:val="Title Char"/>
    <w:basedOn w:val="DefaultParagraphFont"/>
    <w:link w:val="Title"/>
    <w:uiPriority w:val="10"/>
    <w:rsid w:val="00865206"/>
    <w:rPr>
      <w:rFonts w:ascii="Arial Bold" w:hAnsi="Arial Bold" w:cs="Times New Roman"/>
      <w:b/>
      <w:sz w:val="56"/>
      <w:szCs w:val="56"/>
    </w:rPr>
  </w:style>
  <w:style w:type="character" w:styleId="CommentReference">
    <w:name w:val="annotation reference"/>
    <w:basedOn w:val="DefaultParagraphFont"/>
    <w:uiPriority w:val="99"/>
    <w:semiHidden/>
    <w:unhideWhenUsed/>
    <w:rsid w:val="00976F0F"/>
    <w:rPr>
      <w:sz w:val="16"/>
      <w:szCs w:val="16"/>
    </w:rPr>
  </w:style>
  <w:style w:type="paragraph" w:styleId="CommentText">
    <w:name w:val="annotation text"/>
    <w:basedOn w:val="Normal"/>
    <w:link w:val="CommentTextChar"/>
    <w:uiPriority w:val="99"/>
    <w:semiHidden/>
    <w:unhideWhenUsed/>
    <w:rsid w:val="00976F0F"/>
    <w:pPr>
      <w:spacing w:line="240" w:lineRule="auto"/>
    </w:pPr>
    <w:rPr>
      <w:sz w:val="20"/>
      <w:szCs w:val="20"/>
    </w:rPr>
  </w:style>
  <w:style w:type="character" w:customStyle="1" w:styleId="CommentTextChar">
    <w:name w:val="Comment Text Char"/>
    <w:basedOn w:val="DefaultParagraphFont"/>
    <w:link w:val="CommentText"/>
    <w:uiPriority w:val="99"/>
    <w:semiHidden/>
    <w:rsid w:val="00976F0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76F0F"/>
    <w:rPr>
      <w:b/>
      <w:bCs/>
    </w:rPr>
  </w:style>
  <w:style w:type="character" w:customStyle="1" w:styleId="CommentSubjectChar">
    <w:name w:val="Comment Subject Char"/>
    <w:basedOn w:val="CommentTextChar"/>
    <w:link w:val="CommentSubject"/>
    <w:uiPriority w:val="99"/>
    <w:semiHidden/>
    <w:rsid w:val="00976F0F"/>
    <w:rPr>
      <w:rFonts w:ascii="Arial" w:hAnsi="Arial" w:cs="Arial"/>
      <w:b/>
      <w:bCs/>
      <w:sz w:val="20"/>
      <w:szCs w:val="20"/>
    </w:rPr>
  </w:style>
  <w:style w:type="paragraph" w:styleId="BalloonText">
    <w:name w:val="Balloon Text"/>
    <w:basedOn w:val="Normal"/>
    <w:link w:val="BalloonTextChar"/>
    <w:uiPriority w:val="99"/>
    <w:semiHidden/>
    <w:unhideWhenUsed/>
    <w:rsid w:val="00976F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F0F"/>
    <w:rPr>
      <w:rFonts w:ascii="Segoe UI" w:hAnsi="Segoe UI" w:cs="Segoe UI"/>
      <w:sz w:val="18"/>
      <w:szCs w:val="18"/>
    </w:rPr>
  </w:style>
  <w:style w:type="paragraph" w:customStyle="1" w:styleId="CabStandard">
    <w:name w:val="CabStandard"/>
    <w:basedOn w:val="Normal"/>
    <w:uiPriority w:val="99"/>
    <w:rsid w:val="00AF05AE"/>
    <w:pPr>
      <w:numPr>
        <w:numId w:val="5"/>
      </w:numPr>
      <w:spacing w:after="240" w:line="240" w:lineRule="auto"/>
    </w:pPr>
    <w:rPr>
      <w:rFonts w:ascii="Times New Roman" w:hAnsi="Times New Roman" w:cs="Times New Roman"/>
      <w:szCs w:val="20"/>
      <w:lang w:val="en-GB" w:eastAsia="ja-JP"/>
    </w:rPr>
  </w:style>
  <w:style w:type="character" w:styleId="FootnoteReference">
    <w:name w:val="footnote reference"/>
    <w:basedOn w:val="DefaultParagraphFont"/>
    <w:uiPriority w:val="99"/>
    <w:semiHidden/>
    <w:unhideWhenUsed/>
    <w:rsid w:val="00AF05AE"/>
    <w:rPr>
      <w:vertAlign w:val="superscript"/>
    </w:rPr>
  </w:style>
  <w:style w:type="table" w:styleId="TableGrid">
    <w:name w:val="Table Grid"/>
    <w:basedOn w:val="TableNormal"/>
    <w:uiPriority w:val="59"/>
    <w:rsid w:val="00C02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50CBD"/>
    <w:pPr>
      <w:spacing w:after="0" w:line="240" w:lineRule="auto"/>
    </w:pPr>
    <w:rPr>
      <w:rFonts w:ascii="Arial" w:hAnsi="Arial" w:cs="Arial"/>
    </w:rPr>
  </w:style>
  <w:style w:type="paragraph" w:styleId="NoSpacing">
    <w:name w:val="No Spacing"/>
    <w:uiPriority w:val="1"/>
    <w:qFormat/>
    <w:rsid w:val="00AD24C3"/>
    <w:pPr>
      <w:spacing w:after="0" w:line="240" w:lineRule="auto"/>
    </w:pPr>
    <w:rPr>
      <w:rFonts w:ascii="Arial" w:hAnsi="Arial" w:cs="Arial"/>
      <w:sz w:val="24"/>
    </w:rPr>
  </w:style>
  <w:style w:type="character" w:styleId="Hyperlink">
    <w:name w:val="Hyperlink"/>
    <w:basedOn w:val="DefaultParagraphFont"/>
    <w:uiPriority w:val="99"/>
    <w:unhideWhenUsed/>
    <w:rsid w:val="00E81FCB"/>
    <w:rPr>
      <w:color w:val="0563C1"/>
      <w:u w:val="single"/>
    </w:rPr>
  </w:style>
  <w:style w:type="character" w:styleId="FollowedHyperlink">
    <w:name w:val="FollowedHyperlink"/>
    <w:basedOn w:val="DefaultParagraphFont"/>
    <w:uiPriority w:val="99"/>
    <w:semiHidden/>
    <w:unhideWhenUsed/>
    <w:rsid w:val="004A1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4326">
      <w:bodyDiv w:val="1"/>
      <w:marLeft w:val="0"/>
      <w:marRight w:val="0"/>
      <w:marTop w:val="0"/>
      <w:marBottom w:val="0"/>
      <w:divBdr>
        <w:top w:val="none" w:sz="0" w:space="0" w:color="auto"/>
        <w:left w:val="none" w:sz="0" w:space="0" w:color="auto"/>
        <w:bottom w:val="none" w:sz="0" w:space="0" w:color="auto"/>
        <w:right w:val="none" w:sz="0" w:space="0" w:color="auto"/>
      </w:divBdr>
    </w:div>
    <w:div w:id="172305075">
      <w:bodyDiv w:val="1"/>
      <w:marLeft w:val="0"/>
      <w:marRight w:val="0"/>
      <w:marTop w:val="0"/>
      <w:marBottom w:val="0"/>
      <w:divBdr>
        <w:top w:val="none" w:sz="0" w:space="0" w:color="auto"/>
        <w:left w:val="none" w:sz="0" w:space="0" w:color="auto"/>
        <w:bottom w:val="none" w:sz="0" w:space="0" w:color="auto"/>
        <w:right w:val="none" w:sz="0" w:space="0" w:color="auto"/>
      </w:divBdr>
    </w:div>
    <w:div w:id="224611356">
      <w:bodyDiv w:val="1"/>
      <w:marLeft w:val="0"/>
      <w:marRight w:val="0"/>
      <w:marTop w:val="0"/>
      <w:marBottom w:val="0"/>
      <w:divBdr>
        <w:top w:val="none" w:sz="0" w:space="0" w:color="auto"/>
        <w:left w:val="none" w:sz="0" w:space="0" w:color="auto"/>
        <w:bottom w:val="none" w:sz="0" w:space="0" w:color="auto"/>
        <w:right w:val="none" w:sz="0" w:space="0" w:color="auto"/>
      </w:divBdr>
    </w:div>
    <w:div w:id="869950544">
      <w:bodyDiv w:val="1"/>
      <w:marLeft w:val="0"/>
      <w:marRight w:val="0"/>
      <w:marTop w:val="0"/>
      <w:marBottom w:val="0"/>
      <w:divBdr>
        <w:top w:val="none" w:sz="0" w:space="0" w:color="auto"/>
        <w:left w:val="none" w:sz="0" w:space="0" w:color="auto"/>
        <w:bottom w:val="none" w:sz="0" w:space="0" w:color="auto"/>
        <w:right w:val="none" w:sz="0" w:space="0" w:color="auto"/>
      </w:divBdr>
    </w:div>
    <w:div w:id="1072385203">
      <w:bodyDiv w:val="1"/>
      <w:marLeft w:val="0"/>
      <w:marRight w:val="0"/>
      <w:marTop w:val="0"/>
      <w:marBottom w:val="0"/>
      <w:divBdr>
        <w:top w:val="none" w:sz="0" w:space="0" w:color="auto"/>
        <w:left w:val="none" w:sz="0" w:space="0" w:color="auto"/>
        <w:bottom w:val="none" w:sz="0" w:space="0" w:color="auto"/>
        <w:right w:val="none" w:sz="0" w:space="0" w:color="auto"/>
      </w:divBdr>
    </w:div>
    <w:div w:id="1143699442">
      <w:bodyDiv w:val="1"/>
      <w:marLeft w:val="0"/>
      <w:marRight w:val="0"/>
      <w:marTop w:val="0"/>
      <w:marBottom w:val="0"/>
      <w:divBdr>
        <w:top w:val="none" w:sz="0" w:space="0" w:color="auto"/>
        <w:left w:val="none" w:sz="0" w:space="0" w:color="auto"/>
        <w:bottom w:val="none" w:sz="0" w:space="0" w:color="auto"/>
        <w:right w:val="none" w:sz="0" w:space="0" w:color="auto"/>
      </w:divBdr>
    </w:div>
    <w:div w:id="1151676833">
      <w:bodyDiv w:val="1"/>
      <w:marLeft w:val="0"/>
      <w:marRight w:val="0"/>
      <w:marTop w:val="0"/>
      <w:marBottom w:val="0"/>
      <w:divBdr>
        <w:top w:val="none" w:sz="0" w:space="0" w:color="auto"/>
        <w:left w:val="none" w:sz="0" w:space="0" w:color="auto"/>
        <w:bottom w:val="none" w:sz="0" w:space="0" w:color="auto"/>
        <w:right w:val="none" w:sz="0" w:space="0" w:color="auto"/>
      </w:divBdr>
    </w:div>
    <w:div w:id="1593854372">
      <w:bodyDiv w:val="1"/>
      <w:marLeft w:val="0"/>
      <w:marRight w:val="0"/>
      <w:marTop w:val="0"/>
      <w:marBottom w:val="0"/>
      <w:divBdr>
        <w:top w:val="none" w:sz="0" w:space="0" w:color="auto"/>
        <w:left w:val="none" w:sz="0" w:space="0" w:color="auto"/>
        <w:bottom w:val="none" w:sz="0" w:space="0" w:color="auto"/>
        <w:right w:val="none" w:sz="0" w:space="0" w:color="auto"/>
      </w:divBdr>
    </w:div>
    <w:div w:id="18120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t.nz"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udget.govt.nz/budget/2017/family-incomes-calculator" TargetMode="External"/><Relationship Id="rId4" Type="http://schemas.openxmlformats.org/officeDocument/2006/relationships/settings" Target="settings.xml"/><Relationship Id="rId9" Type="http://schemas.openxmlformats.org/officeDocument/2006/relationships/hyperlink" Target="http://www.msd.govt.nz/about-msd-and-our-work/newsroom/2017/budget-2017.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6086</Characters>
  <Application>Microsoft Office Word</Application>
  <DocSecurity>0</DocSecurity>
  <Lines>225</Lines>
  <Paragraphs>175</Paragraphs>
  <ScaleCrop>false</ScaleCrop>
  <HeadingPairs>
    <vt:vector size="2" baseType="variant">
      <vt:variant>
        <vt:lpstr>Title</vt:lpstr>
      </vt:variant>
      <vt:variant>
        <vt:i4>1</vt:i4>
      </vt:variant>
    </vt:vector>
  </HeadingPairs>
  <TitlesOfParts>
    <vt:vector size="1" baseType="lpstr">
      <vt:lpstr>Budget 2017 - Fact Sheet – Family Incomes Package (25 May 2017)</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2017 - Fact Sheet – Family Incomes Package (25 May 2017)</dc:title>
  <dc:creator/>
  <cp:lastModifiedBy>Wendy Watkin</cp:lastModifiedBy>
  <cp:revision>2</cp:revision>
  <dcterms:created xsi:type="dcterms:W3CDTF">2017-05-25T00:07:00Z</dcterms:created>
  <dcterms:modified xsi:type="dcterms:W3CDTF">2017-05-25T00:08:00Z</dcterms:modified>
</cp:coreProperties>
</file>