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5B7" w:rsidRPr="00F7663E" w:rsidRDefault="001005B7" w:rsidP="001005B7">
      <w:pPr>
        <w:jc w:val="center"/>
        <w:rPr>
          <w:b/>
          <w:lang w:val="en-NZ"/>
        </w:rPr>
      </w:pPr>
    </w:p>
    <w:p w:rsidR="001005B7" w:rsidRPr="00F7663E" w:rsidRDefault="001005B7" w:rsidP="001005B7">
      <w:pPr>
        <w:jc w:val="center"/>
        <w:rPr>
          <w:b/>
          <w:lang w:val="en-NZ"/>
        </w:rPr>
      </w:pPr>
    </w:p>
    <w:p w:rsidR="001005B7" w:rsidRPr="00F7663E" w:rsidRDefault="001005B7" w:rsidP="001005B7">
      <w:pPr>
        <w:jc w:val="center"/>
        <w:rPr>
          <w:b/>
          <w:lang w:val="en-NZ"/>
        </w:rPr>
      </w:pPr>
    </w:p>
    <w:p w:rsidR="001005B7" w:rsidRDefault="006A397B" w:rsidP="002048AD">
      <w:pPr>
        <w:jc w:val="center"/>
        <w:rPr>
          <w:sz w:val="68"/>
          <w:szCs w:val="68"/>
          <w:lang w:val="en-NZ"/>
        </w:rPr>
      </w:pPr>
      <w:r>
        <w:rPr>
          <w:sz w:val="68"/>
          <w:szCs w:val="68"/>
          <w:lang w:val="en-NZ"/>
        </w:rPr>
        <w:t>The Government’s tax policy work programme</w:t>
      </w:r>
    </w:p>
    <w:p w:rsidR="006A397B" w:rsidRDefault="006A397B" w:rsidP="002048AD">
      <w:pPr>
        <w:jc w:val="center"/>
        <w:rPr>
          <w:sz w:val="68"/>
          <w:szCs w:val="68"/>
          <w:lang w:val="en-NZ"/>
        </w:rPr>
      </w:pPr>
    </w:p>
    <w:p w:rsidR="006A397B" w:rsidRPr="00F7663E" w:rsidRDefault="006A397B" w:rsidP="002048AD">
      <w:pPr>
        <w:jc w:val="center"/>
        <w:rPr>
          <w:sz w:val="68"/>
          <w:szCs w:val="68"/>
          <w:lang w:val="en-NZ"/>
        </w:rPr>
      </w:pPr>
      <w:r>
        <w:rPr>
          <w:sz w:val="68"/>
          <w:szCs w:val="68"/>
          <w:lang w:val="en-NZ"/>
        </w:rPr>
        <w:t>2016–17</w:t>
      </w:r>
    </w:p>
    <w:p w:rsidR="001005B7" w:rsidRPr="00F7663E" w:rsidRDefault="001005B7" w:rsidP="002048AD">
      <w:pPr>
        <w:pBdr>
          <w:bottom w:val="single" w:sz="4" w:space="1" w:color="auto"/>
        </w:pBdr>
        <w:jc w:val="center"/>
        <w:rPr>
          <w:b/>
          <w:sz w:val="40"/>
          <w:szCs w:val="40"/>
          <w:lang w:val="en-NZ"/>
        </w:rPr>
      </w:pPr>
    </w:p>
    <w:p w:rsidR="001005B7" w:rsidRPr="00F7663E" w:rsidRDefault="001005B7" w:rsidP="000936CF">
      <w:pPr>
        <w:jc w:val="left"/>
        <w:rPr>
          <w:szCs w:val="24"/>
          <w:lang w:val="en-NZ"/>
        </w:rPr>
      </w:pPr>
    </w:p>
    <w:p w:rsidR="000936CF" w:rsidRPr="00F7663E" w:rsidRDefault="000936CF" w:rsidP="000936CF">
      <w:pPr>
        <w:jc w:val="left"/>
        <w:rPr>
          <w:szCs w:val="24"/>
          <w:lang w:val="en-NZ"/>
        </w:rPr>
      </w:pPr>
    </w:p>
    <w:p w:rsidR="001005B7" w:rsidRPr="00F7663E" w:rsidRDefault="001005B7" w:rsidP="000936CF">
      <w:pPr>
        <w:jc w:val="left"/>
        <w:rPr>
          <w:lang w:val="en-NZ"/>
        </w:rPr>
      </w:pPr>
    </w:p>
    <w:p w:rsidR="001005B7" w:rsidRPr="00F7663E" w:rsidRDefault="001005B7" w:rsidP="000936CF">
      <w:pPr>
        <w:jc w:val="left"/>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1005B7" w:rsidRPr="00F7663E" w:rsidRDefault="001005B7" w:rsidP="001005B7">
      <w:pPr>
        <w:rPr>
          <w:lang w:val="en-NZ"/>
        </w:rPr>
      </w:pPr>
    </w:p>
    <w:p w:rsidR="008F12F0" w:rsidRPr="00F7663E" w:rsidRDefault="008F12F0" w:rsidP="001005B7">
      <w:pPr>
        <w:rPr>
          <w:lang w:val="en-NZ"/>
        </w:rPr>
      </w:pPr>
    </w:p>
    <w:p w:rsidR="008F12F0" w:rsidRPr="00F7663E" w:rsidRDefault="008F12F0" w:rsidP="001005B7">
      <w:pPr>
        <w:rPr>
          <w:lang w:val="en-NZ"/>
        </w:rPr>
      </w:pPr>
    </w:p>
    <w:p w:rsidR="008F12F0" w:rsidRPr="00F7663E" w:rsidRDefault="008F12F0" w:rsidP="001005B7">
      <w:pPr>
        <w:rPr>
          <w:lang w:val="en-NZ"/>
        </w:rPr>
      </w:pPr>
    </w:p>
    <w:p w:rsidR="004D6900" w:rsidRPr="00F7663E" w:rsidRDefault="004D6900" w:rsidP="001005B7">
      <w:pPr>
        <w:rPr>
          <w:lang w:val="en-NZ"/>
        </w:rPr>
      </w:pPr>
    </w:p>
    <w:p w:rsidR="002048AD" w:rsidRPr="00F7663E" w:rsidRDefault="002048AD" w:rsidP="001005B7">
      <w:pPr>
        <w:rPr>
          <w:lang w:val="en-NZ"/>
        </w:rPr>
      </w:pPr>
    </w:p>
    <w:p w:rsidR="004D6900" w:rsidRPr="00F7663E" w:rsidRDefault="004D6900" w:rsidP="001005B7">
      <w:pPr>
        <w:rPr>
          <w:lang w:val="en-NZ"/>
        </w:rPr>
      </w:pPr>
    </w:p>
    <w:p w:rsidR="004D6900" w:rsidRPr="00F7663E" w:rsidRDefault="004D6900" w:rsidP="001005B7">
      <w:pPr>
        <w:rPr>
          <w:lang w:val="en-NZ"/>
        </w:rPr>
      </w:pPr>
    </w:p>
    <w:p w:rsidR="004D6900" w:rsidRPr="00F7663E" w:rsidRDefault="004D6900" w:rsidP="001005B7">
      <w:pPr>
        <w:rPr>
          <w:lang w:val="en-NZ"/>
        </w:rPr>
      </w:pPr>
    </w:p>
    <w:p w:rsidR="001005B7" w:rsidRPr="00F7663E" w:rsidRDefault="001005B7" w:rsidP="001005B7">
      <w:pPr>
        <w:rPr>
          <w:lang w:val="en-NZ"/>
        </w:rPr>
      </w:pPr>
    </w:p>
    <w:p w:rsidR="001005B7" w:rsidRPr="00F7663E" w:rsidRDefault="006A397B" w:rsidP="001005B7">
      <w:pPr>
        <w:tabs>
          <w:tab w:val="left" w:pos="6237"/>
        </w:tabs>
        <w:rPr>
          <w:sz w:val="28"/>
          <w:szCs w:val="28"/>
          <w:lang w:val="en-NZ"/>
        </w:rPr>
      </w:pPr>
      <w:r>
        <w:rPr>
          <w:sz w:val="28"/>
          <w:szCs w:val="28"/>
          <w:lang w:val="en-NZ"/>
        </w:rPr>
        <w:t xml:space="preserve">Update released </w:t>
      </w:r>
      <w:r w:rsidR="00016E7B">
        <w:rPr>
          <w:sz w:val="28"/>
          <w:szCs w:val="28"/>
          <w:lang w:val="en-NZ"/>
        </w:rPr>
        <w:t>in</w:t>
      </w:r>
      <w:r>
        <w:rPr>
          <w:sz w:val="28"/>
          <w:szCs w:val="28"/>
          <w:lang w:val="en-NZ"/>
        </w:rPr>
        <w:t xml:space="preserve"> </w:t>
      </w:r>
      <w:r w:rsidR="004D6900" w:rsidRPr="00F7663E">
        <w:rPr>
          <w:sz w:val="28"/>
          <w:szCs w:val="28"/>
          <w:lang w:val="en-NZ"/>
        </w:rPr>
        <w:t>November 2016</w:t>
      </w:r>
    </w:p>
    <w:p w:rsidR="001005B7" w:rsidRPr="00F7663E" w:rsidRDefault="001005B7" w:rsidP="008F12F0">
      <w:pPr>
        <w:rPr>
          <w:lang w:val="en-NZ"/>
        </w:rPr>
      </w:pPr>
    </w:p>
    <w:p w:rsidR="001005B7" w:rsidRPr="00F7663E" w:rsidRDefault="001005B7" w:rsidP="008F12F0">
      <w:pPr>
        <w:rPr>
          <w:lang w:val="en-NZ"/>
        </w:rPr>
      </w:pPr>
    </w:p>
    <w:p w:rsidR="0033150F" w:rsidRPr="00F7663E" w:rsidRDefault="0033150F" w:rsidP="001005B7">
      <w:pPr>
        <w:tabs>
          <w:tab w:val="left" w:pos="6237"/>
        </w:tabs>
        <w:rPr>
          <w:i/>
          <w:lang w:val="en-NZ"/>
        </w:rPr>
      </w:pPr>
      <w:r w:rsidRPr="00F7663E">
        <w:rPr>
          <w:i/>
          <w:lang w:val="en-NZ"/>
        </w:rPr>
        <w:t>Prepared by Policy and Strategy, Inland Revenue</w:t>
      </w:r>
    </w:p>
    <w:p w:rsidR="006A397B" w:rsidRDefault="006A397B">
      <w:pPr>
        <w:jc w:val="left"/>
        <w:rPr>
          <w:lang w:val="en-NZ"/>
        </w:rPr>
        <w:sectPr w:rsidR="006A397B" w:rsidSect="003457C0">
          <w:footerReference w:type="even" r:id="rId9"/>
          <w:footerReference w:type="default" r:id="rId10"/>
          <w:type w:val="oddPage"/>
          <w:pgSz w:w="11906" w:h="16838" w:code="9"/>
          <w:pgMar w:top="1134" w:right="1797" w:bottom="1134" w:left="1797" w:header="709" w:footer="425" w:gutter="0"/>
          <w:pgNumType w:start="1"/>
          <w:cols w:space="708"/>
          <w:titlePg/>
          <w:docGrid w:linePitch="360"/>
        </w:sectPr>
      </w:pPr>
    </w:p>
    <w:p w:rsidR="00F7663E" w:rsidRDefault="00EE0FEF" w:rsidP="00F7663E">
      <w:pPr>
        <w:pStyle w:val="Heading1"/>
      </w:pPr>
      <w:bookmarkStart w:id="0" w:name="_Toc466290887"/>
      <w:r>
        <w:lastRenderedPageBreak/>
        <w:t>Tax p</w:t>
      </w:r>
      <w:r w:rsidR="00F7663E" w:rsidRPr="00F7663E">
        <w:t xml:space="preserve">olicy </w:t>
      </w:r>
      <w:r>
        <w:t>w</w:t>
      </w:r>
      <w:r w:rsidR="00F7663E" w:rsidRPr="00F7663E">
        <w:t xml:space="preserve">ork </w:t>
      </w:r>
      <w:r>
        <w:t>p</w:t>
      </w:r>
      <w:r w:rsidR="00F7663E" w:rsidRPr="00F7663E">
        <w:t xml:space="preserve">rogramme </w:t>
      </w:r>
      <w:r>
        <w:t xml:space="preserve">projects for </w:t>
      </w:r>
      <w:r w:rsidR="00F7663E" w:rsidRPr="00F7663E">
        <w:t>2016–17</w:t>
      </w:r>
      <w:bookmarkEnd w:id="0"/>
    </w:p>
    <w:p w:rsidR="00F7663E" w:rsidRDefault="00F7663E" w:rsidP="00F7663E">
      <w:pPr>
        <w:rPr>
          <w:lang w:val="en-NZ"/>
        </w:rPr>
      </w:pPr>
    </w:p>
    <w:p w:rsidR="00F7663E" w:rsidRPr="00F7663E" w:rsidRDefault="00F7663E" w:rsidP="00F7663E">
      <w:pPr>
        <w:rPr>
          <w:lang w:val="en-NZ"/>
        </w:rPr>
      </w:pPr>
    </w:p>
    <w:p w:rsidR="00F7663E" w:rsidRDefault="00F7663E" w:rsidP="009E6D86">
      <w:pPr>
        <w:pStyle w:val="Heading2"/>
        <w:rPr>
          <w:lang w:val="en-NZ"/>
        </w:rPr>
      </w:pPr>
      <w:bookmarkStart w:id="1" w:name="_Toc466284800"/>
      <w:bookmarkStart w:id="2" w:name="_Toc466285539"/>
      <w:bookmarkStart w:id="3" w:name="_Toc466288954"/>
      <w:bookmarkStart w:id="4" w:name="_Toc466289427"/>
      <w:bookmarkStart w:id="5" w:name="_Toc466290175"/>
      <w:bookmarkStart w:id="6" w:name="_Toc466290888"/>
      <w:r w:rsidRPr="00F7663E">
        <w:rPr>
          <w:lang w:val="en-NZ"/>
        </w:rPr>
        <w:t>Enhanc</w:t>
      </w:r>
      <w:r w:rsidR="00D4685C">
        <w:rPr>
          <w:lang w:val="en-NZ"/>
        </w:rPr>
        <w:t>ements to</w:t>
      </w:r>
      <w:r w:rsidRPr="00F7663E">
        <w:rPr>
          <w:lang w:val="en-NZ"/>
        </w:rPr>
        <w:t xml:space="preserve"> tax policy within broad-base, low-rate (BBLR) tax settings</w:t>
      </w:r>
      <w:bookmarkEnd w:id="1"/>
      <w:bookmarkEnd w:id="2"/>
      <w:bookmarkEnd w:id="3"/>
      <w:bookmarkEnd w:id="4"/>
      <w:bookmarkEnd w:id="5"/>
      <w:bookmarkEnd w:id="6"/>
    </w:p>
    <w:p w:rsidR="009E6D86" w:rsidRPr="00F7663E" w:rsidRDefault="009E6D86" w:rsidP="00F7663E">
      <w:pPr>
        <w:rPr>
          <w:lang w:val="en-NZ"/>
        </w:rPr>
      </w:pPr>
    </w:p>
    <w:tbl>
      <w:tblPr>
        <w:tblStyle w:val="TableGrid"/>
        <w:tblW w:w="0" w:type="auto"/>
        <w:tblLook w:val="04A0" w:firstRow="1" w:lastRow="0" w:firstColumn="1" w:lastColumn="0" w:noHBand="0" w:noVBand="1"/>
      </w:tblPr>
      <w:tblGrid>
        <w:gridCol w:w="2660"/>
        <w:gridCol w:w="5868"/>
      </w:tblGrid>
      <w:tr w:rsidR="009E6D86" w:rsidRPr="003457C0" w:rsidTr="009E6D86">
        <w:trPr>
          <w:tblHeader/>
        </w:trPr>
        <w:tc>
          <w:tcPr>
            <w:tcW w:w="2660" w:type="dxa"/>
            <w:shd w:val="clear" w:color="auto" w:fill="F2F2F2" w:themeFill="background1" w:themeFillShade="F2"/>
          </w:tcPr>
          <w:p w:rsidR="009E6D86" w:rsidRPr="003457C0" w:rsidRDefault="009E6D86" w:rsidP="009E6D86">
            <w:pPr>
              <w:spacing w:before="120" w:after="120"/>
              <w:jc w:val="left"/>
              <w:rPr>
                <w:b/>
                <w:sz w:val="22"/>
                <w:szCs w:val="22"/>
                <w:lang w:val="en-NZ"/>
              </w:rPr>
            </w:pPr>
            <w:r w:rsidRPr="003457C0">
              <w:rPr>
                <w:b/>
                <w:sz w:val="22"/>
                <w:szCs w:val="22"/>
                <w:lang w:val="en-NZ"/>
              </w:rPr>
              <w:t>Project</w:t>
            </w:r>
          </w:p>
        </w:tc>
        <w:tc>
          <w:tcPr>
            <w:tcW w:w="5868" w:type="dxa"/>
            <w:shd w:val="clear" w:color="auto" w:fill="F2F2F2" w:themeFill="background1" w:themeFillShade="F2"/>
          </w:tcPr>
          <w:p w:rsidR="009E6D86" w:rsidRPr="003457C0" w:rsidRDefault="009E6D86" w:rsidP="009E6D86">
            <w:pPr>
              <w:spacing w:before="120" w:after="120"/>
              <w:jc w:val="left"/>
              <w:rPr>
                <w:b/>
                <w:sz w:val="22"/>
                <w:szCs w:val="22"/>
                <w:lang w:val="en-NZ"/>
              </w:rPr>
            </w:pPr>
            <w:r w:rsidRPr="003457C0">
              <w:rPr>
                <w:b/>
                <w:sz w:val="22"/>
                <w:szCs w:val="22"/>
                <w:lang w:val="en-NZ"/>
              </w:rPr>
              <w:t>Description</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Review of the tax framework for employee share schemes</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Reforming the tax treatment of employee share schemes to ensure appropriate and balanced outcomes.</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Income protection insurance: a review</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The Financial Services Council is seeking a review of the income tax treatment of income protection insurance.  There is a lack of clarity about the tax treatment of this form of insurance and inconsistencies across products offering similar benefits.</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Deductibility of holding costs for revenue account property</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Considering the deductibility of holding costs for property.</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Abusive tax position penalty</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Examining the application of the abusive tax position penalty in cases of tax avoidance, and whether any changes are needed to the penalty.</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Demergers</w:t>
            </w:r>
            <w:r w:rsidR="00277FFB">
              <w:rPr>
                <w:sz w:val="22"/>
                <w:szCs w:val="22"/>
                <w:lang w:val="en-NZ"/>
              </w:rPr>
              <w:t xml:space="preserve"> (</w:t>
            </w:r>
            <w:r w:rsidR="00277FFB" w:rsidRPr="00277FFB">
              <w:rPr>
                <w:b/>
                <w:sz w:val="22"/>
                <w:szCs w:val="22"/>
                <w:lang w:val="en-NZ"/>
              </w:rPr>
              <w:t>new</w:t>
            </w:r>
            <w:r w:rsidR="00277FFB">
              <w:rPr>
                <w:sz w:val="22"/>
                <w:szCs w:val="22"/>
                <w:lang w:val="en-NZ"/>
              </w:rPr>
              <w: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Considering an exclusion from dividend taxation for corporate demergers.</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Petroleum mining decommissioning expenditure</w:t>
            </w:r>
            <w:r w:rsidR="00D863D2">
              <w:rPr>
                <w:sz w:val="22"/>
                <w:szCs w:val="22"/>
                <w:lang w:val="en-NZ"/>
              </w:rPr>
              <w:t xml:space="preserve"> (</w:t>
            </w:r>
            <w:r w:rsidR="00D863D2" w:rsidRPr="00277FFB">
              <w:rPr>
                <w:b/>
                <w:sz w:val="22"/>
                <w:szCs w:val="22"/>
                <w:lang w:val="en-NZ"/>
              </w:rPr>
              <w:t>new</w:t>
            </w:r>
            <w:r w:rsidR="00D863D2">
              <w:rPr>
                <w:sz w:val="22"/>
                <w:szCs w:val="22"/>
                <w:lang w:val="en-NZ"/>
              </w:rPr>
              <w: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Replacing the existing ability to spread back petroleum mining decommissioning expenditure to earlier tax years with a refundable tax credit in the current year.</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Review of bank account requirement for offshore persons’ IRD numbers</w:t>
            </w:r>
            <w:r w:rsidR="00D863D2">
              <w:rPr>
                <w:sz w:val="22"/>
                <w:szCs w:val="22"/>
                <w:lang w:val="en-NZ"/>
              </w:rPr>
              <w:t xml:space="preserve"> (</w:t>
            </w:r>
            <w:r w:rsidR="00D863D2" w:rsidRPr="00277FFB">
              <w:rPr>
                <w:b/>
                <w:sz w:val="22"/>
                <w:szCs w:val="22"/>
                <w:lang w:val="en-NZ"/>
              </w:rPr>
              <w:t>new</w:t>
            </w:r>
            <w:r w:rsidR="00D863D2">
              <w:rPr>
                <w:sz w:val="22"/>
                <w:szCs w:val="22"/>
                <w:lang w:val="en-NZ"/>
              </w:rPr>
              <w: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The bank account requirement for an offshore person to obtain an IRD number continues to cause issues in practice.  In particular, it is an obstacle in a number of cases to people being able to comply with their tax obligations.</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Trust beneficiaries as settlors</w:t>
            </w:r>
            <w:r w:rsidR="00D863D2">
              <w:rPr>
                <w:sz w:val="22"/>
                <w:szCs w:val="22"/>
                <w:lang w:val="en-NZ"/>
              </w:rPr>
              <w:t xml:space="preserve"> (</w:t>
            </w:r>
            <w:r w:rsidR="00D863D2" w:rsidRPr="00277FFB">
              <w:rPr>
                <w:b/>
                <w:sz w:val="22"/>
                <w:szCs w:val="22"/>
                <w:lang w:val="en-NZ"/>
              </w:rPr>
              <w:t>new</w:t>
            </w:r>
            <w:r w:rsidR="00D863D2">
              <w:rPr>
                <w:sz w:val="22"/>
                <w:szCs w:val="22"/>
                <w:lang w:val="en-NZ"/>
              </w:rPr>
              <w: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There are instances when beneficiaries of trusts who leave their beneficiary income in the current accounts with the trust become inadvertent settlors.  This is not in accordance with the policy intent.</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Financial arrangement issues</w:t>
            </w:r>
            <w:r w:rsidR="00D863D2">
              <w:rPr>
                <w:sz w:val="22"/>
                <w:szCs w:val="22"/>
                <w:lang w:val="en-NZ"/>
              </w:rPr>
              <w:t xml:space="preserve"> (</w:t>
            </w:r>
            <w:r w:rsidR="00D863D2" w:rsidRPr="00277FFB">
              <w:rPr>
                <w:b/>
                <w:sz w:val="22"/>
                <w:szCs w:val="22"/>
                <w:lang w:val="en-NZ"/>
              </w:rPr>
              <w:t>new</w:t>
            </w:r>
            <w:r w:rsidR="00D863D2">
              <w:rPr>
                <w:sz w:val="22"/>
                <w:szCs w:val="22"/>
                <w:lang w:val="en-NZ"/>
              </w:rPr>
              <w: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There are a variety of financial arrangement taxation issues ranging from remedial to policy enhancements to ensure these rules work as intended.</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Taxation of non-bank securitisation vehicles</w:t>
            </w:r>
            <w:r w:rsidR="00D863D2">
              <w:rPr>
                <w:sz w:val="22"/>
                <w:szCs w:val="22"/>
                <w:lang w:val="en-NZ"/>
              </w:rPr>
              <w:t xml:space="preserve"> (</w:t>
            </w:r>
            <w:r w:rsidR="00D863D2" w:rsidRPr="00277FFB">
              <w:rPr>
                <w:b/>
                <w:sz w:val="22"/>
                <w:szCs w:val="22"/>
                <w:lang w:val="en-NZ"/>
              </w:rPr>
              <w:t>new</w:t>
            </w:r>
            <w:r w:rsidR="00D863D2">
              <w:rPr>
                <w:sz w:val="22"/>
                <w:szCs w:val="22"/>
                <w:lang w:val="en-NZ"/>
              </w:rPr>
              <w: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Extending the current securitisation regime to beyond banks.</w:t>
            </w:r>
          </w:p>
        </w:tc>
      </w:tr>
      <w:tr w:rsidR="009E6D86" w:rsidRPr="003457C0" w:rsidTr="009E6D86">
        <w:tc>
          <w:tcPr>
            <w:tcW w:w="2660" w:type="dxa"/>
          </w:tcPr>
          <w:p w:rsidR="009E6D86" w:rsidRPr="003457C0" w:rsidRDefault="00D863D2" w:rsidP="009E6D86">
            <w:pPr>
              <w:spacing w:before="40" w:after="40"/>
              <w:jc w:val="left"/>
              <w:rPr>
                <w:sz w:val="22"/>
                <w:szCs w:val="22"/>
                <w:lang w:val="en-NZ"/>
              </w:rPr>
            </w:pPr>
            <w:r>
              <w:rPr>
                <w:sz w:val="22"/>
                <w:szCs w:val="22"/>
                <w:lang w:val="en-NZ"/>
              </w:rPr>
              <w:t>I</w:t>
            </w:r>
            <w:r w:rsidR="009E6D86" w:rsidRPr="003457C0">
              <w:rPr>
                <w:sz w:val="22"/>
                <w:szCs w:val="22"/>
                <w:lang w:val="en-NZ"/>
              </w:rPr>
              <w:t>mpact of case law on the ”voting interest” test for corporate trustees</w:t>
            </w:r>
            <w:r>
              <w:rPr>
                <w:sz w:val="22"/>
                <w:szCs w:val="22"/>
                <w:lang w:val="en-NZ"/>
              </w:rPr>
              <w:t xml:space="preserve"> (</w:t>
            </w:r>
            <w:r w:rsidRPr="00277FFB">
              <w:rPr>
                <w:b/>
                <w:sz w:val="22"/>
                <w:szCs w:val="22"/>
                <w:lang w:val="en-NZ"/>
              </w:rPr>
              <w:t>new</w:t>
            </w:r>
            <w:r>
              <w:rPr>
                <w:sz w:val="22"/>
                <w:szCs w:val="22"/>
                <w:lang w:val="en-NZ"/>
              </w:rPr>
              <w: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Considering the impact of recent case law on the application of the voting interest test in the Income Tax Act 2007 and the Goods and Services Tax Act 1985 to corporate trustees.</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Repeal adverse events income equalisation deposit regime</w:t>
            </w:r>
            <w:r w:rsidR="00D863D2">
              <w:rPr>
                <w:sz w:val="22"/>
                <w:szCs w:val="22"/>
                <w:lang w:val="en-NZ"/>
              </w:rPr>
              <w:t xml:space="preserve"> (</w:t>
            </w:r>
            <w:r w:rsidR="00D863D2" w:rsidRPr="00277FFB">
              <w:rPr>
                <w:b/>
                <w:sz w:val="22"/>
                <w:szCs w:val="22"/>
                <w:lang w:val="en-NZ"/>
              </w:rPr>
              <w:t>new</w:t>
            </w:r>
            <w:r w:rsidR="00D863D2">
              <w:rPr>
                <w:sz w:val="22"/>
                <w:szCs w:val="22"/>
                <w:lang w:val="en-NZ"/>
              </w:rPr>
              <w: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This regime is, in practice, little used, because the main scheme offers more flexibility.  However, its existence can cause some confusion.</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Revi</w:t>
            </w:r>
            <w:r w:rsidR="00847D8B" w:rsidRPr="003457C0">
              <w:rPr>
                <w:sz w:val="22"/>
                <w:szCs w:val="22"/>
                <w:lang w:val="en-NZ"/>
              </w:rPr>
              <w:t>ew of donee status applications</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Dealing with applications by organisations for donee status under schedule 32.</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Treaty of Waitangi settlements</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Tax implications of Treaty settlements are addressed as required.</w:t>
            </w:r>
          </w:p>
        </w:tc>
      </w:tr>
    </w:tbl>
    <w:p w:rsidR="00DA093F" w:rsidRDefault="00DA093F">
      <w:pPr>
        <w:jc w:val="left"/>
        <w:rPr>
          <w:b/>
          <w:lang w:val="en-NZ"/>
        </w:rPr>
      </w:pPr>
      <w:r>
        <w:rPr>
          <w:lang w:val="en-NZ"/>
        </w:rPr>
        <w:br w:type="page"/>
      </w:r>
    </w:p>
    <w:p w:rsidR="00F7663E" w:rsidRPr="00F7663E" w:rsidRDefault="00F7663E" w:rsidP="009E6D86">
      <w:pPr>
        <w:pStyle w:val="Heading2"/>
        <w:rPr>
          <w:lang w:val="en-NZ"/>
        </w:rPr>
      </w:pPr>
      <w:bookmarkStart w:id="7" w:name="_Toc466284801"/>
      <w:bookmarkStart w:id="8" w:name="_Toc466285540"/>
      <w:bookmarkStart w:id="9" w:name="_Toc466288955"/>
      <w:bookmarkStart w:id="10" w:name="_Toc466289428"/>
      <w:bookmarkStart w:id="11" w:name="_Toc466290176"/>
      <w:bookmarkStart w:id="12" w:name="_Toc466290889"/>
      <w:r w:rsidRPr="00F7663E">
        <w:rPr>
          <w:lang w:val="en-NZ"/>
        </w:rPr>
        <w:lastRenderedPageBreak/>
        <w:t xml:space="preserve">International </w:t>
      </w:r>
      <w:r w:rsidR="00D4685C">
        <w:rPr>
          <w:lang w:val="en-NZ"/>
        </w:rPr>
        <w:t xml:space="preserve">tax </w:t>
      </w:r>
      <w:r w:rsidRPr="00F7663E">
        <w:rPr>
          <w:lang w:val="en-NZ"/>
        </w:rPr>
        <w:t>and base erosion and profit shifting (BEPS)</w:t>
      </w:r>
      <w:bookmarkEnd w:id="7"/>
      <w:bookmarkEnd w:id="8"/>
      <w:bookmarkEnd w:id="9"/>
      <w:bookmarkEnd w:id="10"/>
      <w:bookmarkEnd w:id="11"/>
      <w:bookmarkEnd w:id="12"/>
    </w:p>
    <w:p w:rsidR="00F7663E" w:rsidRPr="00F7663E" w:rsidRDefault="00F7663E" w:rsidP="00F7663E">
      <w:pPr>
        <w:rPr>
          <w:lang w:val="en-NZ"/>
        </w:rPr>
      </w:pPr>
    </w:p>
    <w:tbl>
      <w:tblPr>
        <w:tblStyle w:val="TableGrid"/>
        <w:tblW w:w="0" w:type="auto"/>
        <w:tblLook w:val="04A0" w:firstRow="1" w:lastRow="0" w:firstColumn="1" w:lastColumn="0" w:noHBand="0" w:noVBand="1"/>
      </w:tblPr>
      <w:tblGrid>
        <w:gridCol w:w="2660"/>
        <w:gridCol w:w="5868"/>
      </w:tblGrid>
      <w:tr w:rsidR="009E6D86" w:rsidRPr="003457C0" w:rsidTr="003457C0">
        <w:trPr>
          <w:tblHeader/>
        </w:trPr>
        <w:tc>
          <w:tcPr>
            <w:tcW w:w="2660" w:type="dxa"/>
            <w:shd w:val="clear" w:color="auto" w:fill="F2F2F2" w:themeFill="background1" w:themeFillShade="F2"/>
          </w:tcPr>
          <w:p w:rsidR="009E6D86" w:rsidRPr="003457C0" w:rsidRDefault="009E6D86" w:rsidP="009E6D86">
            <w:pPr>
              <w:spacing w:before="120" w:after="120"/>
              <w:jc w:val="left"/>
              <w:rPr>
                <w:b/>
                <w:sz w:val="22"/>
                <w:szCs w:val="22"/>
                <w:lang w:val="en-NZ"/>
              </w:rPr>
            </w:pPr>
            <w:r w:rsidRPr="003457C0">
              <w:rPr>
                <w:b/>
                <w:sz w:val="22"/>
                <w:szCs w:val="22"/>
                <w:lang w:val="en-NZ"/>
              </w:rPr>
              <w:t>Project</w:t>
            </w:r>
          </w:p>
        </w:tc>
        <w:tc>
          <w:tcPr>
            <w:tcW w:w="5868" w:type="dxa"/>
            <w:shd w:val="clear" w:color="auto" w:fill="F2F2F2" w:themeFill="background1" w:themeFillShade="F2"/>
          </w:tcPr>
          <w:p w:rsidR="009E6D86" w:rsidRPr="003457C0" w:rsidRDefault="009E6D86" w:rsidP="009E6D86">
            <w:pPr>
              <w:spacing w:before="120" w:after="120"/>
              <w:jc w:val="left"/>
              <w:rPr>
                <w:b/>
                <w:sz w:val="22"/>
                <w:szCs w:val="22"/>
                <w:lang w:val="en-NZ"/>
              </w:rPr>
            </w:pPr>
            <w:r w:rsidRPr="003457C0">
              <w:rPr>
                <w:b/>
                <w:sz w:val="22"/>
                <w:szCs w:val="22"/>
                <w:lang w:val="en-NZ"/>
              </w:rPr>
              <w:t>Description</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Hybrid instruments and entities</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Consideration of foreign hybrid instruments and entities in the context of BEPS.</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Double tax agreement (DTA) work programme</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New Zealand is seeking to establish new and updated double tax agreements with a number of countries, including Norway, China, Korea, Slovak Republic, Portugal and Fiji.</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Automatic exchange of information</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Domestic implementation of a new global standard on the automatic exchange of financial bank account information with treaty partners.</w:t>
            </w:r>
          </w:p>
        </w:tc>
      </w:tr>
      <w:tr w:rsidR="009E6D86" w:rsidRPr="003457C0" w:rsidTr="009E6D86">
        <w:tc>
          <w:tcPr>
            <w:tcW w:w="2660" w:type="dxa"/>
          </w:tcPr>
          <w:p w:rsidR="009E6D86" w:rsidRPr="003457C0" w:rsidRDefault="00847D8B" w:rsidP="009E6D86">
            <w:pPr>
              <w:spacing w:before="40" w:after="40"/>
              <w:jc w:val="left"/>
              <w:rPr>
                <w:sz w:val="22"/>
                <w:szCs w:val="22"/>
                <w:lang w:val="en-NZ"/>
              </w:rPr>
            </w:pPr>
            <w:r w:rsidRPr="003457C0">
              <w:rPr>
                <w:sz w:val="22"/>
                <w:szCs w:val="22"/>
                <w:lang w:val="en-NZ"/>
              </w:rPr>
              <w:t>Interest limitation rules</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Consideration of New Zealand’s interest limitation rules in light of OECD recommendations.  Part of the BEPS Action Plan.</w:t>
            </w:r>
          </w:p>
        </w:tc>
      </w:tr>
      <w:tr w:rsidR="009E6D86" w:rsidRPr="003457C0" w:rsidTr="009E6D86">
        <w:tc>
          <w:tcPr>
            <w:tcW w:w="2660" w:type="dxa"/>
          </w:tcPr>
          <w:p w:rsidR="009E6D86" w:rsidRPr="003457C0" w:rsidRDefault="00016E7B" w:rsidP="009E6D86">
            <w:pPr>
              <w:spacing w:before="40" w:after="40"/>
              <w:jc w:val="left"/>
              <w:rPr>
                <w:sz w:val="22"/>
                <w:szCs w:val="22"/>
                <w:lang w:val="en-NZ"/>
              </w:rPr>
            </w:pPr>
            <w:r>
              <w:rPr>
                <w:sz w:val="22"/>
                <w:szCs w:val="22"/>
                <w:lang w:val="en-NZ"/>
              </w:rPr>
              <w:t>Multilateral instrument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As part of the BEPS work, the OECD has proposed countries sign a multilateral instrument that will simultaneously amend the double tax agreements of participating countries.  The amendments to DTAs will address certain aspects of the BEPS project that have a treaty dimension e.g. treaty shopping or permanent establishment avoidance.</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Foreign trust disclosures</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Policy recommendations arising from the Government Inquiry into foreign trust disclosure requirements.</w:t>
            </w:r>
          </w:p>
        </w:tc>
      </w:tr>
      <w:tr w:rsidR="009E6D86" w:rsidRPr="003457C0" w:rsidTr="009E6D86">
        <w:tc>
          <w:tcPr>
            <w:tcW w:w="2660" w:type="dxa"/>
          </w:tcPr>
          <w:p w:rsidR="009E6D86" w:rsidRPr="003457C0" w:rsidRDefault="009E6D86" w:rsidP="00B84587">
            <w:pPr>
              <w:spacing w:before="40" w:after="40"/>
              <w:jc w:val="left"/>
              <w:rPr>
                <w:sz w:val="22"/>
                <w:szCs w:val="22"/>
                <w:lang w:val="en-NZ"/>
              </w:rPr>
            </w:pPr>
            <w:r w:rsidRPr="003457C0">
              <w:rPr>
                <w:sz w:val="22"/>
                <w:szCs w:val="22"/>
                <w:lang w:val="en-NZ"/>
              </w:rPr>
              <w:t xml:space="preserve">Inbound </w:t>
            </w:r>
            <w:r w:rsidR="00B84587" w:rsidRPr="003457C0">
              <w:rPr>
                <w:sz w:val="22"/>
                <w:szCs w:val="22"/>
                <w:lang w:val="en-NZ"/>
              </w:rPr>
              <w:t>i</w:t>
            </w:r>
            <w:r w:rsidRPr="003457C0">
              <w:rPr>
                <w:sz w:val="22"/>
                <w:szCs w:val="22"/>
                <w:lang w:val="en-NZ"/>
              </w:rPr>
              <w:t xml:space="preserve">nvestment </w:t>
            </w:r>
            <w:r w:rsidR="00B84587" w:rsidRPr="003457C0">
              <w:rPr>
                <w:sz w:val="22"/>
                <w:szCs w:val="22"/>
                <w:lang w:val="en-NZ"/>
              </w:rPr>
              <w:t>f</w:t>
            </w:r>
            <w:r w:rsidRPr="003457C0">
              <w:rPr>
                <w:sz w:val="22"/>
                <w:szCs w:val="22"/>
                <w:lang w:val="en-NZ"/>
              </w:rPr>
              <w:t>ramework</w:t>
            </w:r>
          </w:p>
        </w:tc>
        <w:tc>
          <w:tcPr>
            <w:tcW w:w="5868" w:type="dxa"/>
          </w:tcPr>
          <w:p w:rsidR="009E6D86" w:rsidRPr="003457C0" w:rsidRDefault="009E6D86" w:rsidP="00B84587">
            <w:pPr>
              <w:spacing w:before="40" w:after="40"/>
              <w:jc w:val="left"/>
              <w:rPr>
                <w:sz w:val="22"/>
                <w:szCs w:val="22"/>
                <w:lang w:val="en-NZ"/>
              </w:rPr>
            </w:pPr>
            <w:r w:rsidRPr="003457C0">
              <w:rPr>
                <w:sz w:val="22"/>
                <w:szCs w:val="22"/>
                <w:lang w:val="en-NZ"/>
              </w:rPr>
              <w:t>An officials’ paper outlining New Zealand’s approach to taxing foreign investment income has been prepared.</w:t>
            </w:r>
            <w:r w:rsidR="00023673" w:rsidRPr="003457C0">
              <w:rPr>
                <w:sz w:val="22"/>
                <w:szCs w:val="22"/>
                <w:lang w:val="en-NZ"/>
              </w:rPr>
              <w:t xml:space="preserve"> </w:t>
            </w:r>
            <w:r w:rsidRPr="003457C0">
              <w:rPr>
                <w:sz w:val="22"/>
                <w:szCs w:val="22"/>
                <w:lang w:val="en-NZ"/>
              </w:rPr>
              <w:t xml:space="preserve"> It has been used as the basis for targeted consultation with private sector representatives, and </w:t>
            </w:r>
            <w:r w:rsidR="00B84587" w:rsidRPr="003457C0">
              <w:rPr>
                <w:sz w:val="22"/>
                <w:szCs w:val="22"/>
                <w:lang w:val="en-NZ"/>
              </w:rPr>
              <w:t>has also been published on the t</w:t>
            </w:r>
            <w:r w:rsidRPr="003457C0">
              <w:rPr>
                <w:sz w:val="22"/>
                <w:szCs w:val="22"/>
                <w:lang w:val="en-NZ"/>
              </w:rPr>
              <w:t xml:space="preserve">ax </w:t>
            </w:r>
            <w:r w:rsidR="00B84587" w:rsidRPr="003457C0">
              <w:rPr>
                <w:sz w:val="22"/>
                <w:szCs w:val="22"/>
                <w:lang w:val="en-NZ"/>
              </w:rPr>
              <w:t>p</w:t>
            </w:r>
            <w:r w:rsidRPr="003457C0">
              <w:rPr>
                <w:sz w:val="22"/>
                <w:szCs w:val="22"/>
                <w:lang w:val="en-NZ"/>
              </w:rPr>
              <w:t>olicy website to facilitate a wide understanding of the trade-offs the Government faces in responding to BEPS.</w:t>
            </w:r>
          </w:p>
        </w:tc>
      </w:tr>
    </w:tbl>
    <w:p w:rsidR="00F7663E" w:rsidRDefault="00F7663E" w:rsidP="00F7663E">
      <w:pPr>
        <w:rPr>
          <w:lang w:val="en-NZ"/>
        </w:rPr>
      </w:pPr>
    </w:p>
    <w:p w:rsidR="009E6D86" w:rsidRPr="00F7663E" w:rsidRDefault="009E6D86" w:rsidP="00F7663E">
      <w:pPr>
        <w:rPr>
          <w:lang w:val="en-NZ"/>
        </w:rPr>
      </w:pPr>
    </w:p>
    <w:p w:rsidR="00F7663E" w:rsidRPr="00F7663E" w:rsidRDefault="00F7663E" w:rsidP="009E6D86">
      <w:pPr>
        <w:pStyle w:val="Heading2"/>
        <w:rPr>
          <w:lang w:val="en-NZ"/>
        </w:rPr>
      </w:pPr>
      <w:bookmarkStart w:id="13" w:name="_Toc466284802"/>
      <w:bookmarkStart w:id="14" w:name="_Toc466285541"/>
      <w:bookmarkStart w:id="15" w:name="_Toc466288956"/>
      <w:bookmarkStart w:id="16" w:name="_Toc466289429"/>
      <w:bookmarkStart w:id="17" w:name="_Toc466290177"/>
      <w:bookmarkStart w:id="18" w:name="_Toc466290890"/>
      <w:r w:rsidRPr="00F7663E">
        <w:rPr>
          <w:lang w:val="en-NZ"/>
        </w:rPr>
        <w:t xml:space="preserve">Business transformation and </w:t>
      </w:r>
      <w:r w:rsidR="00B84587">
        <w:rPr>
          <w:lang w:val="en-NZ"/>
        </w:rPr>
        <w:t>B</w:t>
      </w:r>
      <w:r w:rsidRPr="00F7663E">
        <w:rPr>
          <w:lang w:val="en-NZ"/>
        </w:rPr>
        <w:t xml:space="preserve">etter </w:t>
      </w:r>
      <w:r w:rsidR="00B84587">
        <w:rPr>
          <w:lang w:val="en-NZ"/>
        </w:rPr>
        <w:t>P</w:t>
      </w:r>
      <w:r w:rsidRPr="00F7663E">
        <w:rPr>
          <w:lang w:val="en-NZ"/>
        </w:rPr>
        <w:t xml:space="preserve">ublic </w:t>
      </w:r>
      <w:r w:rsidR="00B84587">
        <w:rPr>
          <w:lang w:val="en-NZ"/>
        </w:rPr>
        <w:t>S</w:t>
      </w:r>
      <w:r w:rsidRPr="00F7663E">
        <w:rPr>
          <w:lang w:val="en-NZ"/>
        </w:rPr>
        <w:t>ervices</w:t>
      </w:r>
      <w:bookmarkEnd w:id="13"/>
      <w:bookmarkEnd w:id="14"/>
      <w:bookmarkEnd w:id="15"/>
      <w:bookmarkEnd w:id="16"/>
      <w:bookmarkEnd w:id="17"/>
      <w:bookmarkEnd w:id="18"/>
    </w:p>
    <w:p w:rsidR="00F7663E" w:rsidRPr="00F7663E" w:rsidRDefault="00F7663E" w:rsidP="00F7663E">
      <w:pPr>
        <w:rPr>
          <w:lang w:val="en-NZ"/>
        </w:rPr>
      </w:pPr>
    </w:p>
    <w:p w:rsidR="00F7663E" w:rsidRPr="00F7663E" w:rsidRDefault="009E6D86" w:rsidP="009E6D86">
      <w:pPr>
        <w:pStyle w:val="Heading3"/>
        <w:rPr>
          <w:lang w:val="en-NZ"/>
        </w:rPr>
      </w:pPr>
      <w:bookmarkStart w:id="19" w:name="_Toc466284803"/>
      <w:bookmarkStart w:id="20" w:name="_Toc466285542"/>
      <w:bookmarkStart w:id="21" w:name="_Toc466288957"/>
      <w:bookmarkStart w:id="22" w:name="_Toc466289430"/>
      <w:bookmarkStart w:id="23" w:name="_Toc466290178"/>
      <w:bookmarkStart w:id="24" w:name="_Toc466290891"/>
      <w:r>
        <w:rPr>
          <w:lang w:val="en-NZ"/>
        </w:rPr>
        <w:t>Business transformation</w:t>
      </w:r>
      <w:bookmarkEnd w:id="19"/>
      <w:bookmarkEnd w:id="20"/>
      <w:bookmarkEnd w:id="21"/>
      <w:bookmarkEnd w:id="22"/>
      <w:bookmarkEnd w:id="23"/>
      <w:bookmarkEnd w:id="24"/>
    </w:p>
    <w:p w:rsidR="00F7663E" w:rsidRPr="00F7663E" w:rsidRDefault="00F7663E" w:rsidP="00F7663E">
      <w:pPr>
        <w:rPr>
          <w:lang w:val="en-NZ"/>
        </w:rPr>
      </w:pPr>
    </w:p>
    <w:tbl>
      <w:tblPr>
        <w:tblStyle w:val="TableGrid"/>
        <w:tblW w:w="0" w:type="auto"/>
        <w:tblLook w:val="04A0" w:firstRow="1" w:lastRow="0" w:firstColumn="1" w:lastColumn="0" w:noHBand="0" w:noVBand="1"/>
      </w:tblPr>
      <w:tblGrid>
        <w:gridCol w:w="2660"/>
        <w:gridCol w:w="5868"/>
      </w:tblGrid>
      <w:tr w:rsidR="009E6D86" w:rsidRPr="003457C0" w:rsidTr="003457C0">
        <w:trPr>
          <w:cantSplit/>
          <w:tblHeader/>
        </w:trPr>
        <w:tc>
          <w:tcPr>
            <w:tcW w:w="2660" w:type="dxa"/>
            <w:shd w:val="clear" w:color="auto" w:fill="F2F2F2" w:themeFill="background1" w:themeFillShade="F2"/>
          </w:tcPr>
          <w:p w:rsidR="009E6D86" w:rsidRPr="003457C0" w:rsidRDefault="009E6D86" w:rsidP="009E6D86">
            <w:pPr>
              <w:spacing w:before="120" w:after="120"/>
              <w:jc w:val="left"/>
              <w:rPr>
                <w:b/>
                <w:sz w:val="22"/>
                <w:szCs w:val="22"/>
                <w:lang w:val="en-NZ"/>
              </w:rPr>
            </w:pPr>
            <w:r w:rsidRPr="003457C0">
              <w:rPr>
                <w:b/>
                <w:sz w:val="22"/>
                <w:szCs w:val="22"/>
                <w:lang w:val="en-NZ"/>
              </w:rPr>
              <w:t>Project</w:t>
            </w:r>
          </w:p>
        </w:tc>
        <w:tc>
          <w:tcPr>
            <w:tcW w:w="5868" w:type="dxa"/>
            <w:shd w:val="clear" w:color="auto" w:fill="F2F2F2" w:themeFill="background1" w:themeFillShade="F2"/>
          </w:tcPr>
          <w:p w:rsidR="009E6D86" w:rsidRPr="003457C0" w:rsidRDefault="009E6D86" w:rsidP="009E6D86">
            <w:pPr>
              <w:spacing w:before="120" w:after="120"/>
              <w:jc w:val="left"/>
              <w:rPr>
                <w:b/>
                <w:sz w:val="22"/>
                <w:szCs w:val="22"/>
                <w:lang w:val="en-NZ"/>
              </w:rPr>
            </w:pPr>
            <w:r w:rsidRPr="003457C0">
              <w:rPr>
                <w:b/>
                <w:sz w:val="22"/>
                <w:szCs w:val="22"/>
                <w:lang w:val="en-NZ"/>
              </w:rPr>
              <w:t>Description</w:t>
            </w:r>
          </w:p>
        </w:tc>
      </w:tr>
      <w:tr w:rsidR="009E6D86" w:rsidRPr="003457C0" w:rsidTr="00DA093F">
        <w:trPr>
          <w:cantSplit/>
        </w:trPr>
        <w:tc>
          <w:tcPr>
            <w:tcW w:w="2660" w:type="dxa"/>
          </w:tcPr>
          <w:p w:rsidR="009E6D86" w:rsidRPr="003457C0" w:rsidRDefault="009E6D86" w:rsidP="008A1C4C">
            <w:pPr>
              <w:spacing w:before="40" w:after="40"/>
              <w:jc w:val="left"/>
              <w:rPr>
                <w:sz w:val="22"/>
                <w:szCs w:val="22"/>
                <w:lang w:val="en-NZ"/>
              </w:rPr>
            </w:pPr>
            <w:r w:rsidRPr="003457C0">
              <w:rPr>
                <w:sz w:val="22"/>
                <w:szCs w:val="22"/>
                <w:lang w:val="en-NZ"/>
              </w:rPr>
              <w:t xml:space="preserve">Better administration of GST </w:t>
            </w:r>
            <w:r w:rsidR="008A1C4C" w:rsidRPr="003457C0">
              <w:rPr>
                <w:sz w:val="22"/>
                <w:szCs w:val="22"/>
                <w:lang w:val="en-NZ"/>
              </w:rPr>
              <w:t>and</w:t>
            </w:r>
            <w:r w:rsidRPr="003457C0">
              <w:rPr>
                <w:sz w:val="22"/>
                <w:szCs w:val="22"/>
                <w:lang w:val="en-NZ"/>
              </w:rPr>
              <w:t xml:space="preserve"> PAYE</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Policy options to reduce compliance and administrative costs consistent with longer term business transformation thinking.</w:t>
            </w:r>
          </w:p>
        </w:tc>
      </w:tr>
      <w:tr w:rsidR="009E6D86" w:rsidRPr="003457C0" w:rsidTr="00DA093F">
        <w:trPr>
          <w:cantSplit/>
        </w:trPr>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Review of the Tax Administration Act</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Developing a framework for tax administration with an emphasis on the key roles of the Commissioner, taxpayers and tax agents, as well as the rules around information collection and tax secrecy which underpin their interactions.</w:t>
            </w:r>
          </w:p>
        </w:tc>
      </w:tr>
      <w:tr w:rsidR="009E6D86" w:rsidRPr="003457C0" w:rsidTr="00DA093F">
        <w:trPr>
          <w:cantSplit/>
        </w:trPr>
        <w:tc>
          <w:tcPr>
            <w:tcW w:w="2660" w:type="dxa"/>
          </w:tcPr>
          <w:p w:rsidR="009E6D86" w:rsidRPr="003457C0" w:rsidRDefault="00847D8B" w:rsidP="009E6D86">
            <w:pPr>
              <w:spacing w:before="40" w:after="40"/>
              <w:jc w:val="left"/>
              <w:rPr>
                <w:sz w:val="22"/>
                <w:szCs w:val="22"/>
                <w:lang w:val="en-NZ"/>
              </w:rPr>
            </w:pPr>
            <w:r w:rsidRPr="003457C0">
              <w:rPr>
                <w:sz w:val="22"/>
                <w:szCs w:val="22"/>
                <w:lang w:val="en-NZ"/>
              </w:rPr>
              <w:t>Individuals’ taxation</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Improving the tax system for individuals, including comprehensive pre-population of income information, collection of information, more efficient debt collection processes and the degree of interaction with the tax system.</w:t>
            </w:r>
          </w:p>
        </w:tc>
      </w:tr>
      <w:tr w:rsidR="009E6D86" w:rsidRPr="003457C0" w:rsidTr="00DA093F">
        <w:trPr>
          <w:cantSplit/>
        </w:trPr>
        <w:tc>
          <w:tcPr>
            <w:tcW w:w="2660" w:type="dxa"/>
          </w:tcPr>
          <w:p w:rsidR="009E6D86" w:rsidRPr="003457C0" w:rsidRDefault="00847D8B" w:rsidP="009E6D86">
            <w:pPr>
              <w:spacing w:before="40" w:after="40"/>
              <w:jc w:val="left"/>
              <w:rPr>
                <w:sz w:val="22"/>
                <w:szCs w:val="22"/>
                <w:lang w:val="en-NZ"/>
              </w:rPr>
            </w:pPr>
            <w:r w:rsidRPr="003457C0">
              <w:rPr>
                <w:sz w:val="22"/>
                <w:szCs w:val="22"/>
                <w:lang w:val="en-NZ"/>
              </w:rPr>
              <w:t>Business taxation</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Improving the tax system for business, including the calculation of provisional tax, the collection of information and reviewing the penalties and interest rules.</w:t>
            </w:r>
            <w:r w:rsidR="00023673" w:rsidRPr="003457C0">
              <w:rPr>
                <w:sz w:val="22"/>
                <w:szCs w:val="22"/>
                <w:lang w:val="en-NZ"/>
              </w:rPr>
              <w:t xml:space="preserve"> </w:t>
            </w:r>
            <w:r w:rsidRPr="003457C0">
              <w:rPr>
                <w:sz w:val="22"/>
                <w:szCs w:val="22"/>
                <w:lang w:val="en-NZ"/>
              </w:rPr>
              <w:t xml:space="preserve"> Includes researching additional measures that have potential to deliver further benefits to businesses, reduce compliance costs and make the tax system simpler.</w:t>
            </w:r>
          </w:p>
        </w:tc>
      </w:tr>
      <w:tr w:rsidR="009E6D86" w:rsidRPr="003457C0" w:rsidTr="00DA093F">
        <w:trPr>
          <w:cantSplit/>
        </w:trPr>
        <w:tc>
          <w:tcPr>
            <w:tcW w:w="2660" w:type="dxa"/>
          </w:tcPr>
          <w:p w:rsidR="009E6D86" w:rsidRPr="003457C0" w:rsidRDefault="00847D8B" w:rsidP="009E6D86">
            <w:pPr>
              <w:spacing w:before="40" w:after="40"/>
              <w:jc w:val="left"/>
              <w:rPr>
                <w:sz w:val="22"/>
                <w:szCs w:val="22"/>
                <w:lang w:val="en-NZ"/>
              </w:rPr>
            </w:pPr>
            <w:r w:rsidRPr="003457C0">
              <w:rPr>
                <w:sz w:val="22"/>
                <w:szCs w:val="22"/>
                <w:lang w:val="en-NZ"/>
              </w:rPr>
              <w:t>Investment income information</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Streamlining the collection of information about investment income such as interest, dividends, PIE income and Māori authority distributions.</w:t>
            </w:r>
          </w:p>
        </w:tc>
      </w:tr>
      <w:tr w:rsidR="009E6D86" w:rsidRPr="003457C0" w:rsidTr="00DA093F">
        <w:trPr>
          <w:cantSplit/>
        </w:trPr>
        <w:tc>
          <w:tcPr>
            <w:tcW w:w="2660" w:type="dxa"/>
          </w:tcPr>
          <w:p w:rsidR="009E6D86" w:rsidRPr="003457C0" w:rsidRDefault="00DA093F" w:rsidP="009E6D86">
            <w:pPr>
              <w:spacing w:before="40" w:after="40"/>
              <w:jc w:val="left"/>
              <w:rPr>
                <w:sz w:val="22"/>
                <w:szCs w:val="22"/>
                <w:lang w:val="en-NZ"/>
              </w:rPr>
            </w:pPr>
            <w:r w:rsidRPr="003457C0">
              <w:rPr>
                <w:sz w:val="22"/>
                <w:szCs w:val="22"/>
                <w:lang w:val="en-NZ"/>
              </w:rPr>
              <w:t>BT social policy</w:t>
            </w:r>
          </w:p>
        </w:tc>
        <w:tc>
          <w:tcPr>
            <w:tcW w:w="5868" w:type="dxa"/>
          </w:tcPr>
          <w:p w:rsidR="009E6D86" w:rsidRPr="003457C0" w:rsidRDefault="009E6D86" w:rsidP="00807628">
            <w:pPr>
              <w:spacing w:before="40" w:after="40"/>
              <w:jc w:val="left"/>
              <w:rPr>
                <w:sz w:val="22"/>
                <w:szCs w:val="22"/>
                <w:lang w:val="en-NZ"/>
              </w:rPr>
            </w:pPr>
            <w:r w:rsidRPr="003457C0">
              <w:rPr>
                <w:sz w:val="22"/>
                <w:szCs w:val="22"/>
                <w:lang w:val="en-NZ"/>
              </w:rPr>
              <w:t>Improving the social policy system for individuals and families, including alignment of definitions, reviewing assessment periods to improve accuracy and timeliness of payments, more efficient debt collection and prevention processes, and improving outcomes for customers with special or exceptional circumstances.</w:t>
            </w:r>
          </w:p>
        </w:tc>
      </w:tr>
    </w:tbl>
    <w:p w:rsidR="00F7663E" w:rsidRPr="00F7663E" w:rsidRDefault="00F7663E" w:rsidP="00F7663E">
      <w:pPr>
        <w:rPr>
          <w:lang w:val="en-NZ"/>
        </w:rPr>
      </w:pPr>
    </w:p>
    <w:p w:rsidR="00F7663E" w:rsidRPr="00F7663E" w:rsidRDefault="00F7663E" w:rsidP="009E6D86">
      <w:pPr>
        <w:pStyle w:val="Heading3"/>
        <w:rPr>
          <w:lang w:val="en-NZ"/>
        </w:rPr>
      </w:pPr>
      <w:bookmarkStart w:id="25" w:name="_Toc466284804"/>
      <w:bookmarkStart w:id="26" w:name="_Toc466285543"/>
      <w:bookmarkStart w:id="27" w:name="_Toc466288958"/>
      <w:bookmarkStart w:id="28" w:name="_Toc466289431"/>
      <w:bookmarkStart w:id="29" w:name="_Toc466290179"/>
      <w:bookmarkStart w:id="30" w:name="_Toc466290892"/>
      <w:r w:rsidRPr="00F7663E">
        <w:rPr>
          <w:lang w:val="en-NZ"/>
        </w:rPr>
        <w:t>Better Public Services</w:t>
      </w:r>
      <w:bookmarkEnd w:id="25"/>
      <w:bookmarkEnd w:id="26"/>
      <w:bookmarkEnd w:id="27"/>
      <w:bookmarkEnd w:id="28"/>
      <w:bookmarkEnd w:id="29"/>
      <w:bookmarkEnd w:id="30"/>
    </w:p>
    <w:p w:rsidR="009E6D86" w:rsidRDefault="009E6D86" w:rsidP="00F7663E">
      <w:pPr>
        <w:rPr>
          <w:lang w:val="en-NZ"/>
        </w:rPr>
      </w:pPr>
    </w:p>
    <w:tbl>
      <w:tblPr>
        <w:tblStyle w:val="TableGrid"/>
        <w:tblW w:w="0" w:type="auto"/>
        <w:tblLook w:val="04A0" w:firstRow="1" w:lastRow="0" w:firstColumn="1" w:lastColumn="0" w:noHBand="0" w:noVBand="1"/>
      </w:tblPr>
      <w:tblGrid>
        <w:gridCol w:w="2660"/>
        <w:gridCol w:w="5868"/>
      </w:tblGrid>
      <w:tr w:rsidR="009E6D86" w:rsidRPr="003457C0" w:rsidTr="003457C0">
        <w:trPr>
          <w:tblHeader/>
        </w:trPr>
        <w:tc>
          <w:tcPr>
            <w:tcW w:w="2660" w:type="dxa"/>
            <w:shd w:val="clear" w:color="auto" w:fill="F2F2F2" w:themeFill="background1" w:themeFillShade="F2"/>
          </w:tcPr>
          <w:p w:rsidR="009E6D86" w:rsidRPr="003457C0" w:rsidRDefault="009E6D86" w:rsidP="009E6D86">
            <w:pPr>
              <w:spacing w:before="120" w:after="120"/>
              <w:jc w:val="left"/>
              <w:rPr>
                <w:b/>
                <w:sz w:val="22"/>
                <w:szCs w:val="22"/>
                <w:lang w:val="en-NZ"/>
              </w:rPr>
            </w:pPr>
            <w:r w:rsidRPr="003457C0">
              <w:rPr>
                <w:b/>
                <w:sz w:val="22"/>
                <w:szCs w:val="22"/>
                <w:lang w:val="en-NZ"/>
              </w:rPr>
              <w:t>Project</w:t>
            </w:r>
          </w:p>
        </w:tc>
        <w:tc>
          <w:tcPr>
            <w:tcW w:w="5868" w:type="dxa"/>
            <w:shd w:val="clear" w:color="auto" w:fill="F2F2F2" w:themeFill="background1" w:themeFillShade="F2"/>
          </w:tcPr>
          <w:p w:rsidR="009E6D86" w:rsidRPr="003457C0" w:rsidRDefault="009E6D86" w:rsidP="009E6D86">
            <w:pPr>
              <w:spacing w:before="120" w:after="120"/>
              <w:jc w:val="left"/>
              <w:rPr>
                <w:b/>
                <w:sz w:val="22"/>
                <w:szCs w:val="22"/>
                <w:lang w:val="en-NZ"/>
              </w:rPr>
            </w:pPr>
            <w:r w:rsidRPr="003457C0">
              <w:rPr>
                <w:b/>
                <w:sz w:val="22"/>
                <w:szCs w:val="22"/>
                <w:lang w:val="en-NZ"/>
              </w:rPr>
              <w:t>Description</w:t>
            </w:r>
          </w:p>
        </w:tc>
      </w:tr>
      <w:tr w:rsidR="009E6D86" w:rsidRPr="003457C0" w:rsidTr="009E6D86">
        <w:tc>
          <w:tcPr>
            <w:tcW w:w="2660" w:type="dxa"/>
          </w:tcPr>
          <w:p w:rsidR="009E6D86" w:rsidRPr="003457C0" w:rsidRDefault="009E6D86" w:rsidP="009E6D86">
            <w:pPr>
              <w:spacing w:before="40" w:after="40"/>
              <w:jc w:val="left"/>
              <w:rPr>
                <w:sz w:val="22"/>
                <w:szCs w:val="22"/>
                <w:lang w:val="en-NZ"/>
              </w:rPr>
            </w:pPr>
            <w:r w:rsidRPr="003457C0">
              <w:rPr>
                <w:sz w:val="22"/>
                <w:szCs w:val="22"/>
                <w:lang w:val="en-NZ"/>
              </w:rPr>
              <w:t>Information sharing agreement between Ministry of Social Development and Inland Revenue</w:t>
            </w:r>
          </w:p>
        </w:tc>
        <w:tc>
          <w:tcPr>
            <w:tcW w:w="5868" w:type="dxa"/>
          </w:tcPr>
          <w:p w:rsidR="009E6D86" w:rsidRPr="003457C0" w:rsidRDefault="009E6D86" w:rsidP="009E6D86">
            <w:pPr>
              <w:spacing w:before="40" w:after="40"/>
              <w:jc w:val="left"/>
              <w:rPr>
                <w:sz w:val="22"/>
                <w:szCs w:val="22"/>
                <w:lang w:val="en-NZ"/>
              </w:rPr>
            </w:pPr>
            <w:r w:rsidRPr="003457C0">
              <w:rPr>
                <w:sz w:val="22"/>
                <w:szCs w:val="22"/>
                <w:lang w:val="en-NZ"/>
              </w:rPr>
              <w:t>Information sharing with Ministry of Social Development to assist in determining entitlements to benefits, social assistance and other services.</w:t>
            </w:r>
          </w:p>
        </w:tc>
      </w:tr>
    </w:tbl>
    <w:p w:rsidR="00F7663E" w:rsidRPr="00F7663E" w:rsidRDefault="00F7663E" w:rsidP="00F7663E">
      <w:pPr>
        <w:rPr>
          <w:lang w:val="en-NZ"/>
        </w:rPr>
      </w:pPr>
    </w:p>
    <w:p w:rsidR="00F7663E" w:rsidRPr="00F7663E" w:rsidRDefault="00F7663E" w:rsidP="00F7663E">
      <w:pPr>
        <w:rPr>
          <w:lang w:val="en-NZ"/>
        </w:rPr>
      </w:pPr>
    </w:p>
    <w:p w:rsidR="00F7663E" w:rsidRPr="00F7663E" w:rsidRDefault="00F7663E" w:rsidP="00F7663E">
      <w:pPr>
        <w:rPr>
          <w:lang w:val="en-NZ"/>
        </w:rPr>
      </w:pPr>
      <w:r w:rsidRPr="00F7663E">
        <w:rPr>
          <w:lang w:val="en-NZ"/>
        </w:rPr>
        <w:t>Note: This list does not include remedial items.</w:t>
      </w:r>
    </w:p>
    <w:p w:rsidR="00016E7B" w:rsidRDefault="00016E7B" w:rsidP="00F7663E">
      <w:pPr>
        <w:rPr>
          <w:lang w:val="en-NZ"/>
        </w:rPr>
        <w:sectPr w:rsidR="00016E7B" w:rsidSect="00C40711">
          <w:type w:val="oddPage"/>
          <w:pgSz w:w="11906" w:h="16838" w:code="9"/>
          <w:pgMar w:top="1134" w:right="1797" w:bottom="1134" w:left="1797" w:header="709" w:footer="425" w:gutter="0"/>
          <w:pgNumType w:start="1"/>
          <w:cols w:space="708"/>
          <w:docGrid w:linePitch="360"/>
        </w:sectPr>
      </w:pPr>
    </w:p>
    <w:p w:rsidR="00F7663E" w:rsidRPr="00F7663E" w:rsidRDefault="00016E7B" w:rsidP="00016E7B">
      <w:pPr>
        <w:jc w:val="center"/>
        <w:rPr>
          <w:lang w:val="en-NZ"/>
        </w:rPr>
      </w:pPr>
      <w:bookmarkStart w:id="31" w:name="_GoBack"/>
      <w:r>
        <w:rPr>
          <w:noProof/>
          <w:lang w:val="en-NZ" w:eastAsia="en-NZ"/>
        </w:rPr>
        <w:drawing>
          <wp:inline distT="0" distB="0" distL="0" distR="0" wp14:anchorId="051114F9">
            <wp:extent cx="8379862" cy="6486525"/>
            <wp:effectExtent l="0" t="0" r="2540" b="0"/>
            <wp:docPr id="2" name="Picture 2" descr="Chart showing indicative timetable for tax policy work programme consultation and events" title="WOrk programme consultation and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1490" cy="6487785"/>
                    </a:xfrm>
                    <a:prstGeom prst="rect">
                      <a:avLst/>
                    </a:prstGeom>
                    <a:noFill/>
                  </pic:spPr>
                </pic:pic>
              </a:graphicData>
            </a:graphic>
          </wp:inline>
        </w:drawing>
      </w:r>
      <w:bookmarkEnd w:id="31"/>
    </w:p>
    <w:sectPr w:rsidR="00F7663E" w:rsidRPr="00F7663E" w:rsidSect="00016E7B">
      <w:pgSz w:w="16838" w:h="11906" w:orient="landscape" w:code="9"/>
      <w:pgMar w:top="720" w:right="720" w:bottom="720" w:left="720"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D86" w:rsidRDefault="009E6D86">
      <w:r>
        <w:separator/>
      </w:r>
    </w:p>
  </w:endnote>
  <w:endnote w:type="continuationSeparator" w:id="0">
    <w:p w:rsidR="009E6D86" w:rsidRDefault="009E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D86" w:rsidRDefault="009E6D86" w:rsidP="009E6D86">
    <w:pPr>
      <w:pStyle w:val="Footer"/>
      <w:tabs>
        <w:tab w:val="clear" w:pos="4153"/>
      </w:tabs>
      <w:ind w:right="32"/>
      <w:jc w:val="center"/>
    </w:pPr>
    <w:r>
      <w:rPr>
        <w:rStyle w:val="PageNumber"/>
      </w:rPr>
      <w:fldChar w:fldCharType="begin"/>
    </w:r>
    <w:r>
      <w:rPr>
        <w:rStyle w:val="PageNumber"/>
      </w:rPr>
      <w:instrText xml:space="preserve"> PAGE </w:instrText>
    </w:r>
    <w:r>
      <w:rPr>
        <w:rStyle w:val="PageNumber"/>
      </w:rPr>
      <w:fldChar w:fldCharType="separate"/>
    </w:r>
    <w:r w:rsidR="00E5618A">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D86" w:rsidRDefault="009E6D86" w:rsidP="009E6D86">
    <w:pPr>
      <w:pStyle w:val="Footer"/>
      <w:jc w:val="center"/>
    </w:pPr>
    <w:r>
      <w:rPr>
        <w:rStyle w:val="PageNumber"/>
      </w:rPr>
      <w:fldChar w:fldCharType="begin"/>
    </w:r>
    <w:r>
      <w:rPr>
        <w:rStyle w:val="PageNumber"/>
      </w:rPr>
      <w:instrText xml:space="preserve"> PAGE </w:instrText>
    </w:r>
    <w:r>
      <w:rPr>
        <w:rStyle w:val="PageNumber"/>
      </w:rPr>
      <w:fldChar w:fldCharType="separate"/>
    </w:r>
    <w:r w:rsidR="00E5618A">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D86" w:rsidRDefault="009E6D86">
      <w:r>
        <w:separator/>
      </w:r>
    </w:p>
  </w:footnote>
  <w:footnote w:type="continuationSeparator" w:id="0">
    <w:p w:rsidR="009E6D86" w:rsidRDefault="009E6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134C"/>
    <w:multiLevelType w:val="singleLevel"/>
    <w:tmpl w:val="7428A606"/>
    <w:lvl w:ilvl="0">
      <w:start w:val="1"/>
      <w:numFmt w:val="decimal"/>
      <w:pStyle w:val="Chapter5"/>
      <w:lvlText w:val="5.%1"/>
      <w:lvlJc w:val="left"/>
      <w:pPr>
        <w:tabs>
          <w:tab w:val="num" w:pos="851"/>
        </w:tabs>
        <w:ind w:left="851" w:hanging="851"/>
      </w:pPr>
      <w:rPr>
        <w:rFonts w:hint="default"/>
        <w:b w:val="0"/>
        <w:i w:val="0"/>
      </w:rPr>
    </w:lvl>
  </w:abstractNum>
  <w:abstractNum w:abstractNumId="1">
    <w:nsid w:val="15936E75"/>
    <w:multiLevelType w:val="hybridMultilevel"/>
    <w:tmpl w:val="60A86A16"/>
    <w:lvl w:ilvl="0" w:tplc="389AC7F0">
      <w:start w:val="1"/>
      <w:numFmt w:val="decimal"/>
      <w:pStyle w:val="Chapter6"/>
      <w:lvlText w:val="6.%1"/>
      <w:lvlJc w:val="left"/>
      <w:pPr>
        <w:tabs>
          <w:tab w:val="num" w:pos="851"/>
        </w:tabs>
        <w:ind w:left="851" w:hanging="851"/>
      </w:pPr>
      <w:rPr>
        <w:rFonts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DC37972"/>
    <w:multiLevelType w:val="singleLevel"/>
    <w:tmpl w:val="CE343910"/>
    <w:lvl w:ilvl="0">
      <w:start w:val="1"/>
      <w:numFmt w:val="decimal"/>
      <w:pStyle w:val="Chapter2"/>
      <w:lvlText w:val="2.%1"/>
      <w:lvlJc w:val="left"/>
      <w:pPr>
        <w:tabs>
          <w:tab w:val="num" w:pos="851"/>
        </w:tabs>
        <w:ind w:left="851" w:hanging="851"/>
      </w:pPr>
      <w:rPr>
        <w:rFonts w:hint="default"/>
      </w:rPr>
    </w:lvl>
  </w:abstractNum>
  <w:abstractNum w:abstractNumId="3">
    <w:nsid w:val="1DF45200"/>
    <w:multiLevelType w:val="hybridMultilevel"/>
    <w:tmpl w:val="5F78FE4A"/>
    <w:lvl w:ilvl="0" w:tplc="FFB09102">
      <w:start w:val="1"/>
      <w:numFmt w:val="decimal"/>
      <w:pStyle w:val="Chapter10"/>
      <w:lvlText w:val="10.%1"/>
      <w:lvlJc w:val="left"/>
      <w:pPr>
        <w:tabs>
          <w:tab w:val="num" w:pos="851"/>
        </w:tabs>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2AEC4F50"/>
    <w:multiLevelType w:val="hybridMultilevel"/>
    <w:tmpl w:val="88B4F23A"/>
    <w:lvl w:ilvl="0" w:tplc="EAE03988">
      <w:start w:val="1"/>
      <w:numFmt w:val="decimal"/>
      <w:lvlText w:val="6.%1"/>
      <w:lvlJc w:val="left"/>
      <w:pPr>
        <w:tabs>
          <w:tab w:val="num" w:pos="0"/>
        </w:tabs>
        <w:ind w:left="0" w:firstLine="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319D0312"/>
    <w:multiLevelType w:val="multilevel"/>
    <w:tmpl w:val="56ECEE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1CB034F"/>
    <w:multiLevelType w:val="hybridMultilevel"/>
    <w:tmpl w:val="7C70641C"/>
    <w:lvl w:ilvl="0" w:tplc="DA883CCA">
      <w:start w:val="5"/>
      <w:numFmt w:val="bullet"/>
      <w:pStyle w:val="Bullets2"/>
      <w:lvlText w:val="–"/>
      <w:lvlJc w:val="left"/>
      <w:pPr>
        <w:ind w:left="1778" w:hanging="360"/>
      </w:pPr>
      <w:rPr>
        <w:rFonts w:ascii="Times New Roman" w:eastAsia="Times New Roman" w:hAnsi="Times New Roman" w:cs="Times New Roman" w:hint="default"/>
      </w:rPr>
    </w:lvl>
    <w:lvl w:ilvl="1" w:tplc="14090003" w:tentative="1">
      <w:start w:val="1"/>
      <w:numFmt w:val="bullet"/>
      <w:lvlText w:val="o"/>
      <w:lvlJc w:val="left"/>
      <w:pPr>
        <w:ind w:left="2498" w:hanging="360"/>
      </w:pPr>
      <w:rPr>
        <w:rFonts w:ascii="Courier New" w:hAnsi="Courier New" w:cs="Courier New" w:hint="default"/>
      </w:rPr>
    </w:lvl>
    <w:lvl w:ilvl="2" w:tplc="14090005" w:tentative="1">
      <w:start w:val="1"/>
      <w:numFmt w:val="bullet"/>
      <w:lvlText w:val=""/>
      <w:lvlJc w:val="left"/>
      <w:pPr>
        <w:ind w:left="3218" w:hanging="360"/>
      </w:pPr>
      <w:rPr>
        <w:rFonts w:ascii="Wingdings" w:hAnsi="Wingdings" w:hint="default"/>
      </w:rPr>
    </w:lvl>
    <w:lvl w:ilvl="3" w:tplc="14090001" w:tentative="1">
      <w:start w:val="1"/>
      <w:numFmt w:val="bullet"/>
      <w:lvlText w:val=""/>
      <w:lvlJc w:val="left"/>
      <w:pPr>
        <w:ind w:left="3938" w:hanging="360"/>
      </w:pPr>
      <w:rPr>
        <w:rFonts w:ascii="Symbol" w:hAnsi="Symbol" w:hint="default"/>
      </w:rPr>
    </w:lvl>
    <w:lvl w:ilvl="4" w:tplc="14090003" w:tentative="1">
      <w:start w:val="1"/>
      <w:numFmt w:val="bullet"/>
      <w:lvlText w:val="o"/>
      <w:lvlJc w:val="left"/>
      <w:pPr>
        <w:ind w:left="4658" w:hanging="360"/>
      </w:pPr>
      <w:rPr>
        <w:rFonts w:ascii="Courier New" w:hAnsi="Courier New" w:cs="Courier New" w:hint="default"/>
      </w:rPr>
    </w:lvl>
    <w:lvl w:ilvl="5" w:tplc="14090005" w:tentative="1">
      <w:start w:val="1"/>
      <w:numFmt w:val="bullet"/>
      <w:lvlText w:val=""/>
      <w:lvlJc w:val="left"/>
      <w:pPr>
        <w:ind w:left="5378" w:hanging="360"/>
      </w:pPr>
      <w:rPr>
        <w:rFonts w:ascii="Wingdings" w:hAnsi="Wingdings" w:hint="default"/>
      </w:rPr>
    </w:lvl>
    <w:lvl w:ilvl="6" w:tplc="14090001" w:tentative="1">
      <w:start w:val="1"/>
      <w:numFmt w:val="bullet"/>
      <w:lvlText w:val=""/>
      <w:lvlJc w:val="left"/>
      <w:pPr>
        <w:ind w:left="6098" w:hanging="360"/>
      </w:pPr>
      <w:rPr>
        <w:rFonts w:ascii="Symbol" w:hAnsi="Symbol" w:hint="default"/>
      </w:rPr>
    </w:lvl>
    <w:lvl w:ilvl="7" w:tplc="14090003" w:tentative="1">
      <w:start w:val="1"/>
      <w:numFmt w:val="bullet"/>
      <w:lvlText w:val="o"/>
      <w:lvlJc w:val="left"/>
      <w:pPr>
        <w:ind w:left="6818" w:hanging="360"/>
      </w:pPr>
      <w:rPr>
        <w:rFonts w:ascii="Courier New" w:hAnsi="Courier New" w:cs="Courier New" w:hint="default"/>
      </w:rPr>
    </w:lvl>
    <w:lvl w:ilvl="8" w:tplc="14090005" w:tentative="1">
      <w:start w:val="1"/>
      <w:numFmt w:val="bullet"/>
      <w:lvlText w:val=""/>
      <w:lvlJc w:val="left"/>
      <w:pPr>
        <w:ind w:left="7538" w:hanging="360"/>
      </w:pPr>
      <w:rPr>
        <w:rFonts w:ascii="Wingdings" w:hAnsi="Wingdings" w:hint="default"/>
      </w:rPr>
    </w:lvl>
  </w:abstractNum>
  <w:abstractNum w:abstractNumId="7">
    <w:nsid w:val="360938EC"/>
    <w:multiLevelType w:val="hybridMultilevel"/>
    <w:tmpl w:val="810ABB94"/>
    <w:lvl w:ilvl="0" w:tplc="A1FA7328">
      <w:start w:val="1"/>
      <w:numFmt w:val="decimal"/>
      <w:pStyle w:val="Chapter4"/>
      <w:lvlText w:val="4.%1"/>
      <w:lvlJc w:val="left"/>
      <w:pPr>
        <w:tabs>
          <w:tab w:val="num" w:pos="851"/>
        </w:tabs>
        <w:ind w:left="851" w:hanging="851"/>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37172E99"/>
    <w:multiLevelType w:val="hybridMultilevel"/>
    <w:tmpl w:val="A80092D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3B5D1A14"/>
    <w:multiLevelType w:val="multilevel"/>
    <w:tmpl w:val="00540552"/>
    <w:styleLink w:val="StyleBulletedWingdingssymbol"/>
    <w:lvl w:ilvl="0">
      <w:start w:val="1"/>
      <w:numFmt w:val="bullet"/>
      <w:lvlText w:val=""/>
      <w:lvlJc w:val="left"/>
      <w:pPr>
        <w:tabs>
          <w:tab w:val="num" w:pos="720"/>
        </w:tabs>
        <w:ind w:left="720" w:hanging="360"/>
      </w:pPr>
      <w:rPr>
        <w:rFonts w:ascii="Times New Roman" w:hAnsi="Times New Roman"/>
        <w:sz w:val="24"/>
        <w:szCs w:val="24"/>
      </w:rPr>
    </w:lvl>
    <w:lvl w:ilvl="1">
      <w:start w:val="1"/>
      <w:numFmt w:val="decimal"/>
      <w:lvlText w:val="4.%2"/>
      <w:lvlJc w:val="left"/>
      <w:pPr>
        <w:tabs>
          <w:tab w:val="num" w:pos="284"/>
        </w:tabs>
        <w:ind w:left="0" w:firstLine="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6864BCC"/>
    <w:multiLevelType w:val="hybridMultilevel"/>
    <w:tmpl w:val="A9548F28"/>
    <w:lvl w:ilvl="0" w:tplc="12AE0262">
      <w:start w:val="1"/>
      <w:numFmt w:val="bullet"/>
      <w:pStyle w:val="Bullets"/>
      <w:lvlText w:val=""/>
      <w:lvlJc w:val="left"/>
      <w:pPr>
        <w:tabs>
          <w:tab w:val="num" w:pos="567"/>
        </w:tabs>
        <w:ind w:left="1418" w:hanging="567"/>
      </w:pPr>
      <w:rPr>
        <w:rFonts w:ascii="Symbol" w:hAnsi="Symbol" w:hint="default"/>
        <w:b w:val="0"/>
        <w:i w:val="0"/>
        <w:sz w:val="24"/>
        <w:szCs w:val="24"/>
      </w:rPr>
    </w:lvl>
    <w:lvl w:ilvl="1" w:tplc="058C2656" w:tentative="1">
      <w:start w:val="1"/>
      <w:numFmt w:val="bullet"/>
      <w:lvlText w:val="o"/>
      <w:lvlJc w:val="left"/>
      <w:pPr>
        <w:tabs>
          <w:tab w:val="num" w:pos="1440"/>
        </w:tabs>
        <w:ind w:left="1440" w:hanging="360"/>
      </w:pPr>
      <w:rPr>
        <w:rFonts w:ascii="Courier New" w:hAnsi="Courier New" w:cs="Courier New" w:hint="default"/>
      </w:rPr>
    </w:lvl>
    <w:lvl w:ilvl="2" w:tplc="1409001B">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cs="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cs="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1">
    <w:nsid w:val="4E56784C"/>
    <w:multiLevelType w:val="hybridMultilevel"/>
    <w:tmpl w:val="A80092D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514F7994"/>
    <w:multiLevelType w:val="hybridMultilevel"/>
    <w:tmpl w:val="8C1A3F62"/>
    <w:lvl w:ilvl="0" w:tplc="08090005">
      <w:start w:val="1"/>
      <w:numFmt w:val="decimal"/>
      <w:pStyle w:val="Chapter1"/>
      <w:lvlText w:val="1.%1"/>
      <w:lvlJc w:val="left"/>
      <w:pPr>
        <w:tabs>
          <w:tab w:val="num" w:pos="851"/>
        </w:tabs>
        <w:ind w:left="851" w:hanging="851"/>
      </w:pPr>
      <w:rPr>
        <w:rFonts w:hint="default"/>
      </w:rPr>
    </w:lvl>
    <w:lvl w:ilvl="1" w:tplc="6FB61F34"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3">
    <w:nsid w:val="553A5693"/>
    <w:multiLevelType w:val="hybridMultilevel"/>
    <w:tmpl w:val="28FCB24C"/>
    <w:lvl w:ilvl="0" w:tplc="08090005">
      <w:start w:val="1"/>
      <w:numFmt w:val="decimal"/>
      <w:pStyle w:val="Chapter9"/>
      <w:lvlText w:val="9.%1"/>
      <w:lvlJc w:val="left"/>
      <w:pPr>
        <w:tabs>
          <w:tab w:val="num" w:pos="567"/>
        </w:tabs>
        <w:ind w:left="0" w:firstLine="0"/>
      </w:pPr>
      <w:rPr>
        <w:rFonts w:hint="default"/>
      </w:rPr>
    </w:lvl>
    <w:lvl w:ilvl="1" w:tplc="FE56B4D8"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4">
    <w:nsid w:val="5BA171F8"/>
    <w:multiLevelType w:val="hybridMultilevel"/>
    <w:tmpl w:val="289EA060"/>
    <w:lvl w:ilvl="0" w:tplc="0C090019">
      <w:start w:val="1"/>
      <w:numFmt w:val="bullet"/>
      <w:lvlText w:val=""/>
      <w:lvlJc w:val="left"/>
      <w:pPr>
        <w:tabs>
          <w:tab w:val="num" w:pos="1350"/>
        </w:tabs>
        <w:ind w:left="1350" w:hanging="360"/>
      </w:pPr>
      <w:rPr>
        <w:rFonts w:ascii="Symbol" w:hAnsi="Symbol" w:hint="default"/>
      </w:rPr>
    </w:lvl>
    <w:lvl w:ilvl="1" w:tplc="0C090003" w:tentative="1">
      <w:start w:val="1"/>
      <w:numFmt w:val="lowerLetter"/>
      <w:lvlText w:val="%2."/>
      <w:lvlJc w:val="left"/>
      <w:pPr>
        <w:tabs>
          <w:tab w:val="num" w:pos="2007"/>
        </w:tabs>
        <w:ind w:left="2007" w:hanging="360"/>
      </w:pPr>
    </w:lvl>
    <w:lvl w:ilvl="2" w:tplc="0C090005" w:tentative="1">
      <w:start w:val="1"/>
      <w:numFmt w:val="lowerRoman"/>
      <w:lvlText w:val="%3."/>
      <w:lvlJc w:val="right"/>
      <w:pPr>
        <w:tabs>
          <w:tab w:val="num" w:pos="2727"/>
        </w:tabs>
        <w:ind w:left="2727" w:hanging="180"/>
      </w:pPr>
    </w:lvl>
    <w:lvl w:ilvl="3" w:tplc="0C090001" w:tentative="1">
      <w:start w:val="1"/>
      <w:numFmt w:val="decimal"/>
      <w:lvlText w:val="%4."/>
      <w:lvlJc w:val="left"/>
      <w:pPr>
        <w:tabs>
          <w:tab w:val="num" w:pos="3447"/>
        </w:tabs>
        <w:ind w:left="3447" w:hanging="360"/>
      </w:pPr>
    </w:lvl>
    <w:lvl w:ilvl="4" w:tplc="0C090003" w:tentative="1">
      <w:start w:val="1"/>
      <w:numFmt w:val="lowerLetter"/>
      <w:lvlText w:val="%5."/>
      <w:lvlJc w:val="left"/>
      <w:pPr>
        <w:tabs>
          <w:tab w:val="num" w:pos="4167"/>
        </w:tabs>
        <w:ind w:left="4167" w:hanging="360"/>
      </w:pPr>
    </w:lvl>
    <w:lvl w:ilvl="5" w:tplc="0C090005" w:tentative="1">
      <w:start w:val="1"/>
      <w:numFmt w:val="lowerRoman"/>
      <w:lvlText w:val="%6."/>
      <w:lvlJc w:val="right"/>
      <w:pPr>
        <w:tabs>
          <w:tab w:val="num" w:pos="4887"/>
        </w:tabs>
        <w:ind w:left="4887" w:hanging="180"/>
      </w:pPr>
    </w:lvl>
    <w:lvl w:ilvl="6" w:tplc="0C090001" w:tentative="1">
      <w:start w:val="1"/>
      <w:numFmt w:val="decimal"/>
      <w:lvlText w:val="%7."/>
      <w:lvlJc w:val="left"/>
      <w:pPr>
        <w:tabs>
          <w:tab w:val="num" w:pos="5607"/>
        </w:tabs>
        <w:ind w:left="5607" w:hanging="360"/>
      </w:pPr>
    </w:lvl>
    <w:lvl w:ilvl="7" w:tplc="0C090003" w:tentative="1">
      <w:start w:val="1"/>
      <w:numFmt w:val="lowerLetter"/>
      <w:lvlText w:val="%8."/>
      <w:lvlJc w:val="left"/>
      <w:pPr>
        <w:tabs>
          <w:tab w:val="num" w:pos="6327"/>
        </w:tabs>
        <w:ind w:left="6327" w:hanging="360"/>
      </w:pPr>
    </w:lvl>
    <w:lvl w:ilvl="8" w:tplc="0C090005" w:tentative="1">
      <w:start w:val="1"/>
      <w:numFmt w:val="lowerRoman"/>
      <w:lvlText w:val="%9."/>
      <w:lvlJc w:val="right"/>
      <w:pPr>
        <w:tabs>
          <w:tab w:val="num" w:pos="7047"/>
        </w:tabs>
        <w:ind w:left="7047" w:hanging="180"/>
      </w:pPr>
    </w:lvl>
  </w:abstractNum>
  <w:abstractNum w:abstractNumId="15">
    <w:nsid w:val="602C34EE"/>
    <w:multiLevelType w:val="hybridMultilevel"/>
    <w:tmpl w:val="8AE87DEC"/>
    <w:lvl w:ilvl="0" w:tplc="0809000F">
      <w:start w:val="1"/>
      <w:numFmt w:val="decimal"/>
      <w:pStyle w:val="Chapter7"/>
      <w:lvlText w:val="7.%1"/>
      <w:lvlJc w:val="left"/>
      <w:pPr>
        <w:tabs>
          <w:tab w:val="num" w:pos="567"/>
        </w:tabs>
        <w:ind w:left="0" w:firstLine="0"/>
      </w:pPr>
      <w:rPr>
        <w:rFonts w:hint="default"/>
      </w:rPr>
    </w:lvl>
    <w:lvl w:ilvl="1" w:tplc="08090019">
      <w:start w:val="1"/>
      <w:numFmt w:val="lowerLetter"/>
      <w:lvlText w:val="%2."/>
      <w:lvlJc w:val="left"/>
      <w:pPr>
        <w:tabs>
          <w:tab w:val="num" w:pos="1440"/>
        </w:tabs>
        <w:ind w:left="1440" w:hanging="360"/>
      </w:pPr>
    </w:lvl>
    <w:lvl w:ilvl="2" w:tplc="55A4EE06"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40C6943"/>
    <w:multiLevelType w:val="singleLevel"/>
    <w:tmpl w:val="C0D403FA"/>
    <w:lvl w:ilvl="0">
      <w:start w:val="1"/>
      <w:numFmt w:val="decimal"/>
      <w:pStyle w:val="Chapter3"/>
      <w:lvlText w:val="3.%1"/>
      <w:lvlJc w:val="left"/>
      <w:pPr>
        <w:tabs>
          <w:tab w:val="num" w:pos="851"/>
        </w:tabs>
        <w:ind w:left="851" w:hanging="851"/>
      </w:pPr>
      <w:rPr>
        <w:rFonts w:hint="default"/>
      </w:rPr>
    </w:lvl>
  </w:abstractNum>
  <w:abstractNum w:abstractNumId="17">
    <w:nsid w:val="64C1796D"/>
    <w:multiLevelType w:val="hybridMultilevel"/>
    <w:tmpl w:val="DB829DCE"/>
    <w:lvl w:ilvl="0" w:tplc="08090005">
      <w:start w:val="1"/>
      <w:numFmt w:val="decimal"/>
      <w:pStyle w:val="Chapter8"/>
      <w:lvlText w:val="8.%1"/>
      <w:lvlJc w:val="left"/>
      <w:pPr>
        <w:tabs>
          <w:tab w:val="num" w:pos="851"/>
        </w:tabs>
        <w:ind w:left="0" w:firstLine="0"/>
      </w:pPr>
      <w:rPr>
        <w:rFonts w:hint="default"/>
      </w:rPr>
    </w:lvl>
    <w:lvl w:ilvl="1" w:tplc="18D61E8E"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8">
    <w:nsid w:val="65A10F29"/>
    <w:multiLevelType w:val="hybridMultilevel"/>
    <w:tmpl w:val="42F665F6"/>
    <w:lvl w:ilvl="0" w:tplc="A7005A70">
      <w:start w:val="1"/>
      <w:numFmt w:val="decimal"/>
      <w:pStyle w:val="Chapter11"/>
      <w:lvlText w:val="11.%1"/>
      <w:lvlJc w:val="left"/>
      <w:pPr>
        <w:tabs>
          <w:tab w:val="num" w:pos="851"/>
        </w:tabs>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6B557726"/>
    <w:multiLevelType w:val="hybridMultilevel"/>
    <w:tmpl w:val="A5460864"/>
    <w:lvl w:ilvl="0" w:tplc="B3F2B942">
      <w:start w:val="1"/>
      <w:numFmt w:val="decimal"/>
      <w:pStyle w:val="Chapter100"/>
      <w:lvlText w:val="10.%1"/>
      <w:lvlJc w:val="left"/>
      <w:pPr>
        <w:tabs>
          <w:tab w:val="num" w:pos="567"/>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6F09054B"/>
    <w:multiLevelType w:val="hybridMultilevel"/>
    <w:tmpl w:val="86722BDC"/>
    <w:lvl w:ilvl="0" w:tplc="A8F6750E">
      <w:start w:val="1"/>
      <w:numFmt w:val="bullet"/>
      <w:lvlText w:val=""/>
      <w:lvlJc w:val="left"/>
      <w:pPr>
        <w:tabs>
          <w:tab w:val="num" w:pos="567"/>
        </w:tabs>
        <w:ind w:left="567" w:hanging="510"/>
      </w:pPr>
      <w:rPr>
        <w:rFonts w:ascii="Symbol" w:hAnsi="Symbol" w:hint="default"/>
        <w:sz w:val="21"/>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2127131"/>
    <w:multiLevelType w:val="hybridMultilevel"/>
    <w:tmpl w:val="56ECEE88"/>
    <w:lvl w:ilvl="0" w:tplc="0FA0D9A2">
      <w:start w:val="1"/>
      <w:numFmt w:val="bullet"/>
      <w:lvlText w:val=""/>
      <w:lvlJc w:val="left"/>
      <w:pPr>
        <w:tabs>
          <w:tab w:val="num" w:pos="720"/>
        </w:tabs>
        <w:ind w:left="720" w:hanging="360"/>
      </w:pPr>
      <w:rPr>
        <w:rFonts w:ascii="Symbol" w:hAnsi="Symbol" w:hint="default"/>
      </w:rPr>
    </w:lvl>
    <w:lvl w:ilvl="1" w:tplc="0C090001"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2">
    <w:nsid w:val="76B95CA4"/>
    <w:multiLevelType w:val="hybridMultilevel"/>
    <w:tmpl w:val="6F9E63D0"/>
    <w:lvl w:ilvl="0" w:tplc="BA08752A">
      <w:start w:val="1"/>
      <w:numFmt w:val="bullet"/>
      <w:lvlText w:val=""/>
      <w:lvlJc w:val="left"/>
      <w:pPr>
        <w:tabs>
          <w:tab w:val="num" w:pos="360"/>
        </w:tabs>
        <w:ind w:left="360" w:hanging="360"/>
      </w:pPr>
      <w:rPr>
        <w:rFonts w:ascii="Symbol" w:hAnsi="Symbol" w:hint="default"/>
        <w:sz w:val="20"/>
        <w:szCs w:val="20"/>
      </w:rPr>
    </w:lvl>
    <w:lvl w:ilvl="1" w:tplc="0C090001"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2"/>
  </w:num>
  <w:num w:numId="4">
    <w:abstractNumId w:val="13"/>
  </w:num>
  <w:num w:numId="5">
    <w:abstractNumId w:val="19"/>
  </w:num>
  <w:num w:numId="6">
    <w:abstractNumId w:val="2"/>
  </w:num>
  <w:num w:numId="7">
    <w:abstractNumId w:val="16"/>
  </w:num>
  <w:num w:numId="8">
    <w:abstractNumId w:val="7"/>
  </w:num>
  <w:num w:numId="9">
    <w:abstractNumId w:val="0"/>
  </w:num>
  <w:num w:numId="10">
    <w:abstractNumId w:val="1"/>
  </w:num>
  <w:num w:numId="11">
    <w:abstractNumId w:val="4"/>
  </w:num>
  <w:num w:numId="12">
    <w:abstractNumId w:val="15"/>
  </w:num>
  <w:num w:numId="13">
    <w:abstractNumId w:val="20"/>
  </w:num>
  <w:num w:numId="14">
    <w:abstractNumId w:val="17"/>
  </w:num>
  <w:num w:numId="15">
    <w:abstractNumId w:val="18"/>
  </w:num>
  <w:num w:numId="16">
    <w:abstractNumId w:val="9"/>
  </w:num>
  <w:num w:numId="17">
    <w:abstractNumId w:val="21"/>
  </w:num>
  <w:num w:numId="18">
    <w:abstractNumId w:val="14"/>
  </w:num>
  <w:num w:numId="19">
    <w:abstractNumId w:val="5"/>
  </w:num>
  <w:num w:numId="20">
    <w:abstractNumId w:val="22"/>
  </w:num>
  <w:num w:numId="21">
    <w:abstractNumId w:val="11"/>
  </w:num>
  <w:num w:numId="22">
    <w:abstractNumId w:val="8"/>
  </w:num>
  <w:num w:numId="23">
    <w:abstractNumId w:val="6"/>
  </w:num>
  <w:num w:numId="24">
    <w:abstractNumId w:val="12"/>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evenAndOddHeaders/>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00"/>
    <w:rsid w:val="000022EC"/>
    <w:rsid w:val="0000377B"/>
    <w:rsid w:val="00003908"/>
    <w:rsid w:val="00006422"/>
    <w:rsid w:val="00007351"/>
    <w:rsid w:val="00012289"/>
    <w:rsid w:val="00014230"/>
    <w:rsid w:val="00015410"/>
    <w:rsid w:val="00015F50"/>
    <w:rsid w:val="0001695D"/>
    <w:rsid w:val="00016E7B"/>
    <w:rsid w:val="000171CE"/>
    <w:rsid w:val="00017767"/>
    <w:rsid w:val="0002323A"/>
    <w:rsid w:val="0002340B"/>
    <w:rsid w:val="00023673"/>
    <w:rsid w:val="00023739"/>
    <w:rsid w:val="000250E7"/>
    <w:rsid w:val="000251CA"/>
    <w:rsid w:val="0002735F"/>
    <w:rsid w:val="00027B73"/>
    <w:rsid w:val="0003027F"/>
    <w:rsid w:val="00031162"/>
    <w:rsid w:val="0003124A"/>
    <w:rsid w:val="0003164B"/>
    <w:rsid w:val="000317D5"/>
    <w:rsid w:val="00033150"/>
    <w:rsid w:val="00033259"/>
    <w:rsid w:val="00033F9A"/>
    <w:rsid w:val="000344D8"/>
    <w:rsid w:val="00034917"/>
    <w:rsid w:val="00035F81"/>
    <w:rsid w:val="00037A83"/>
    <w:rsid w:val="000407DB"/>
    <w:rsid w:val="00041A29"/>
    <w:rsid w:val="00041E24"/>
    <w:rsid w:val="00043BEF"/>
    <w:rsid w:val="00047CC7"/>
    <w:rsid w:val="00047FF9"/>
    <w:rsid w:val="00050E51"/>
    <w:rsid w:val="00051E9F"/>
    <w:rsid w:val="000523E0"/>
    <w:rsid w:val="00053A26"/>
    <w:rsid w:val="00053BF5"/>
    <w:rsid w:val="0005471A"/>
    <w:rsid w:val="00055518"/>
    <w:rsid w:val="000570B4"/>
    <w:rsid w:val="0005761B"/>
    <w:rsid w:val="000578D5"/>
    <w:rsid w:val="00064C13"/>
    <w:rsid w:val="00064CDF"/>
    <w:rsid w:val="00067972"/>
    <w:rsid w:val="00070A6E"/>
    <w:rsid w:val="00072271"/>
    <w:rsid w:val="00074205"/>
    <w:rsid w:val="0007577B"/>
    <w:rsid w:val="00081340"/>
    <w:rsid w:val="00083D81"/>
    <w:rsid w:val="00084ED4"/>
    <w:rsid w:val="000852A1"/>
    <w:rsid w:val="00090841"/>
    <w:rsid w:val="00091439"/>
    <w:rsid w:val="000936CF"/>
    <w:rsid w:val="00096603"/>
    <w:rsid w:val="00096828"/>
    <w:rsid w:val="000972F9"/>
    <w:rsid w:val="00097D6E"/>
    <w:rsid w:val="000A1039"/>
    <w:rsid w:val="000A1D11"/>
    <w:rsid w:val="000A21B8"/>
    <w:rsid w:val="000A2369"/>
    <w:rsid w:val="000A55B7"/>
    <w:rsid w:val="000A69BB"/>
    <w:rsid w:val="000A7407"/>
    <w:rsid w:val="000B0C18"/>
    <w:rsid w:val="000B1DE7"/>
    <w:rsid w:val="000B38A9"/>
    <w:rsid w:val="000B4164"/>
    <w:rsid w:val="000B5747"/>
    <w:rsid w:val="000C009E"/>
    <w:rsid w:val="000C0168"/>
    <w:rsid w:val="000C0315"/>
    <w:rsid w:val="000C3FFB"/>
    <w:rsid w:val="000C5DF3"/>
    <w:rsid w:val="000C5EB7"/>
    <w:rsid w:val="000C73AB"/>
    <w:rsid w:val="000C78C9"/>
    <w:rsid w:val="000D0B00"/>
    <w:rsid w:val="000D0F7B"/>
    <w:rsid w:val="000D154C"/>
    <w:rsid w:val="000D431B"/>
    <w:rsid w:val="000D477E"/>
    <w:rsid w:val="000D5566"/>
    <w:rsid w:val="000E1182"/>
    <w:rsid w:val="000E1473"/>
    <w:rsid w:val="000E3A50"/>
    <w:rsid w:val="000E3D2B"/>
    <w:rsid w:val="000E5145"/>
    <w:rsid w:val="000E5794"/>
    <w:rsid w:val="000E764D"/>
    <w:rsid w:val="000E7C71"/>
    <w:rsid w:val="000E7EAB"/>
    <w:rsid w:val="000F4BC1"/>
    <w:rsid w:val="000F7153"/>
    <w:rsid w:val="000F7771"/>
    <w:rsid w:val="001005B7"/>
    <w:rsid w:val="00100901"/>
    <w:rsid w:val="001078F8"/>
    <w:rsid w:val="00110264"/>
    <w:rsid w:val="001142E4"/>
    <w:rsid w:val="00117C16"/>
    <w:rsid w:val="001201B6"/>
    <w:rsid w:val="00121752"/>
    <w:rsid w:val="0012550F"/>
    <w:rsid w:val="00126F60"/>
    <w:rsid w:val="00131B6A"/>
    <w:rsid w:val="001324ED"/>
    <w:rsid w:val="001348E3"/>
    <w:rsid w:val="00134C59"/>
    <w:rsid w:val="001353EA"/>
    <w:rsid w:val="00136CB8"/>
    <w:rsid w:val="00140748"/>
    <w:rsid w:val="001425E7"/>
    <w:rsid w:val="00143CAA"/>
    <w:rsid w:val="001455DB"/>
    <w:rsid w:val="0014563C"/>
    <w:rsid w:val="0015001E"/>
    <w:rsid w:val="00150A63"/>
    <w:rsid w:val="001526C7"/>
    <w:rsid w:val="0015532D"/>
    <w:rsid w:val="00157C9A"/>
    <w:rsid w:val="00160D92"/>
    <w:rsid w:val="00162125"/>
    <w:rsid w:val="0016327A"/>
    <w:rsid w:val="00166D50"/>
    <w:rsid w:val="00166FD2"/>
    <w:rsid w:val="001702CB"/>
    <w:rsid w:val="00170CFB"/>
    <w:rsid w:val="001713B3"/>
    <w:rsid w:val="001722B8"/>
    <w:rsid w:val="00176CEC"/>
    <w:rsid w:val="00176E74"/>
    <w:rsid w:val="00177C80"/>
    <w:rsid w:val="00180ED9"/>
    <w:rsid w:val="00182551"/>
    <w:rsid w:val="001836E5"/>
    <w:rsid w:val="00183F66"/>
    <w:rsid w:val="0019398A"/>
    <w:rsid w:val="00196612"/>
    <w:rsid w:val="00197444"/>
    <w:rsid w:val="001A2A81"/>
    <w:rsid w:val="001A2BCA"/>
    <w:rsid w:val="001A3053"/>
    <w:rsid w:val="001A385F"/>
    <w:rsid w:val="001A6A36"/>
    <w:rsid w:val="001A721B"/>
    <w:rsid w:val="001B57E9"/>
    <w:rsid w:val="001C23A1"/>
    <w:rsid w:val="001C38AE"/>
    <w:rsid w:val="001C6F6F"/>
    <w:rsid w:val="001C74B8"/>
    <w:rsid w:val="001D02C2"/>
    <w:rsid w:val="001D0512"/>
    <w:rsid w:val="001D47CB"/>
    <w:rsid w:val="001D4B71"/>
    <w:rsid w:val="001D5A37"/>
    <w:rsid w:val="001D6E66"/>
    <w:rsid w:val="001D72DE"/>
    <w:rsid w:val="001D768A"/>
    <w:rsid w:val="001D799C"/>
    <w:rsid w:val="001E193C"/>
    <w:rsid w:val="001E1CE3"/>
    <w:rsid w:val="001E3029"/>
    <w:rsid w:val="001E7D14"/>
    <w:rsid w:val="001F0321"/>
    <w:rsid w:val="001F1432"/>
    <w:rsid w:val="001F1B9D"/>
    <w:rsid w:val="001F35C8"/>
    <w:rsid w:val="001F6CB4"/>
    <w:rsid w:val="001F7F76"/>
    <w:rsid w:val="00200688"/>
    <w:rsid w:val="00200C96"/>
    <w:rsid w:val="00200EE6"/>
    <w:rsid w:val="002025E9"/>
    <w:rsid w:val="002033D4"/>
    <w:rsid w:val="0020386B"/>
    <w:rsid w:val="002040FD"/>
    <w:rsid w:val="002048AD"/>
    <w:rsid w:val="00205799"/>
    <w:rsid w:val="0020641A"/>
    <w:rsid w:val="002137D1"/>
    <w:rsid w:val="0021414A"/>
    <w:rsid w:val="002152CE"/>
    <w:rsid w:val="0021548E"/>
    <w:rsid w:val="00216D5E"/>
    <w:rsid w:val="00217C12"/>
    <w:rsid w:val="00231C75"/>
    <w:rsid w:val="002325A4"/>
    <w:rsid w:val="00232C5B"/>
    <w:rsid w:val="0023315E"/>
    <w:rsid w:val="00233203"/>
    <w:rsid w:val="002334CC"/>
    <w:rsid w:val="002343E9"/>
    <w:rsid w:val="002357D6"/>
    <w:rsid w:val="0023589C"/>
    <w:rsid w:val="002361A0"/>
    <w:rsid w:val="0023748D"/>
    <w:rsid w:val="00237EF2"/>
    <w:rsid w:val="00240DCC"/>
    <w:rsid w:val="0024175F"/>
    <w:rsid w:val="00244391"/>
    <w:rsid w:val="0025084A"/>
    <w:rsid w:val="002516B4"/>
    <w:rsid w:val="00253969"/>
    <w:rsid w:val="00254177"/>
    <w:rsid w:val="0026027E"/>
    <w:rsid w:val="00260B59"/>
    <w:rsid w:val="00260ED8"/>
    <w:rsid w:val="00263E47"/>
    <w:rsid w:val="00267C0F"/>
    <w:rsid w:val="0027067F"/>
    <w:rsid w:val="00271089"/>
    <w:rsid w:val="00273349"/>
    <w:rsid w:val="00277C44"/>
    <w:rsid w:val="00277FFB"/>
    <w:rsid w:val="00283A2A"/>
    <w:rsid w:val="00286748"/>
    <w:rsid w:val="00290180"/>
    <w:rsid w:val="00291A59"/>
    <w:rsid w:val="0029316E"/>
    <w:rsid w:val="002960FD"/>
    <w:rsid w:val="00296FC3"/>
    <w:rsid w:val="002A1409"/>
    <w:rsid w:val="002A1595"/>
    <w:rsid w:val="002A2045"/>
    <w:rsid w:val="002A2064"/>
    <w:rsid w:val="002A2214"/>
    <w:rsid w:val="002A3B95"/>
    <w:rsid w:val="002A6420"/>
    <w:rsid w:val="002A6B59"/>
    <w:rsid w:val="002A729A"/>
    <w:rsid w:val="002A7B5E"/>
    <w:rsid w:val="002A7F65"/>
    <w:rsid w:val="002B213A"/>
    <w:rsid w:val="002B2263"/>
    <w:rsid w:val="002B3770"/>
    <w:rsid w:val="002B7250"/>
    <w:rsid w:val="002C1491"/>
    <w:rsid w:val="002C3D65"/>
    <w:rsid w:val="002C4868"/>
    <w:rsid w:val="002C5860"/>
    <w:rsid w:val="002C5E5F"/>
    <w:rsid w:val="002C723A"/>
    <w:rsid w:val="002C7AD2"/>
    <w:rsid w:val="002D08DF"/>
    <w:rsid w:val="002D0B41"/>
    <w:rsid w:val="002D78AA"/>
    <w:rsid w:val="002D7CEB"/>
    <w:rsid w:val="002E05EC"/>
    <w:rsid w:val="002E093E"/>
    <w:rsid w:val="002E102D"/>
    <w:rsid w:val="002E227E"/>
    <w:rsid w:val="002E3A75"/>
    <w:rsid w:val="002F082A"/>
    <w:rsid w:val="002F102C"/>
    <w:rsid w:val="002F2C39"/>
    <w:rsid w:val="002F46B3"/>
    <w:rsid w:val="002F5A43"/>
    <w:rsid w:val="0030295B"/>
    <w:rsid w:val="003048A8"/>
    <w:rsid w:val="0030508B"/>
    <w:rsid w:val="0030535A"/>
    <w:rsid w:val="0030684E"/>
    <w:rsid w:val="00311DBB"/>
    <w:rsid w:val="003120D8"/>
    <w:rsid w:val="00317CA5"/>
    <w:rsid w:val="00320319"/>
    <w:rsid w:val="0032154C"/>
    <w:rsid w:val="0032499B"/>
    <w:rsid w:val="00325904"/>
    <w:rsid w:val="003265FB"/>
    <w:rsid w:val="00331093"/>
    <w:rsid w:val="0033150F"/>
    <w:rsid w:val="0033227F"/>
    <w:rsid w:val="00333F40"/>
    <w:rsid w:val="003356AC"/>
    <w:rsid w:val="003413ED"/>
    <w:rsid w:val="00341557"/>
    <w:rsid w:val="0034165E"/>
    <w:rsid w:val="00343FC6"/>
    <w:rsid w:val="003457C0"/>
    <w:rsid w:val="0034639D"/>
    <w:rsid w:val="003473DB"/>
    <w:rsid w:val="00354453"/>
    <w:rsid w:val="003563D9"/>
    <w:rsid w:val="0036156A"/>
    <w:rsid w:val="00362461"/>
    <w:rsid w:val="00367337"/>
    <w:rsid w:val="00367C7B"/>
    <w:rsid w:val="00370F9D"/>
    <w:rsid w:val="00371125"/>
    <w:rsid w:val="0037173A"/>
    <w:rsid w:val="00373D19"/>
    <w:rsid w:val="00373E7D"/>
    <w:rsid w:val="00373F5D"/>
    <w:rsid w:val="003742E3"/>
    <w:rsid w:val="00374BD9"/>
    <w:rsid w:val="00374E66"/>
    <w:rsid w:val="003754D0"/>
    <w:rsid w:val="00380CAC"/>
    <w:rsid w:val="00381ABC"/>
    <w:rsid w:val="00384C7E"/>
    <w:rsid w:val="0038645D"/>
    <w:rsid w:val="00387D1E"/>
    <w:rsid w:val="00390F8D"/>
    <w:rsid w:val="00391A22"/>
    <w:rsid w:val="00391B92"/>
    <w:rsid w:val="00392924"/>
    <w:rsid w:val="003944D6"/>
    <w:rsid w:val="00394CF8"/>
    <w:rsid w:val="00395475"/>
    <w:rsid w:val="00395B3F"/>
    <w:rsid w:val="003962BF"/>
    <w:rsid w:val="00396824"/>
    <w:rsid w:val="00397856"/>
    <w:rsid w:val="003A31FD"/>
    <w:rsid w:val="003A4D95"/>
    <w:rsid w:val="003A5393"/>
    <w:rsid w:val="003A5488"/>
    <w:rsid w:val="003A5C2F"/>
    <w:rsid w:val="003B397F"/>
    <w:rsid w:val="003B6241"/>
    <w:rsid w:val="003C055A"/>
    <w:rsid w:val="003C3352"/>
    <w:rsid w:val="003C3693"/>
    <w:rsid w:val="003C37C2"/>
    <w:rsid w:val="003C4126"/>
    <w:rsid w:val="003C502F"/>
    <w:rsid w:val="003C5519"/>
    <w:rsid w:val="003C594A"/>
    <w:rsid w:val="003C6105"/>
    <w:rsid w:val="003C6A12"/>
    <w:rsid w:val="003C75F6"/>
    <w:rsid w:val="003D0B49"/>
    <w:rsid w:val="003D1452"/>
    <w:rsid w:val="003D6323"/>
    <w:rsid w:val="003D684E"/>
    <w:rsid w:val="003D6EF5"/>
    <w:rsid w:val="003D73BF"/>
    <w:rsid w:val="003E0056"/>
    <w:rsid w:val="003E02BB"/>
    <w:rsid w:val="003E44F6"/>
    <w:rsid w:val="003E51E2"/>
    <w:rsid w:val="003E7906"/>
    <w:rsid w:val="003E7977"/>
    <w:rsid w:val="003E7C3D"/>
    <w:rsid w:val="003F03E7"/>
    <w:rsid w:val="003F5739"/>
    <w:rsid w:val="003F6AB6"/>
    <w:rsid w:val="003F6E87"/>
    <w:rsid w:val="00401F0F"/>
    <w:rsid w:val="0040231F"/>
    <w:rsid w:val="00403468"/>
    <w:rsid w:val="00404CDB"/>
    <w:rsid w:val="00405235"/>
    <w:rsid w:val="0040742C"/>
    <w:rsid w:val="00413004"/>
    <w:rsid w:val="004137E5"/>
    <w:rsid w:val="0041492E"/>
    <w:rsid w:val="00414AC0"/>
    <w:rsid w:val="00414F89"/>
    <w:rsid w:val="0042286D"/>
    <w:rsid w:val="004243F7"/>
    <w:rsid w:val="004258D6"/>
    <w:rsid w:val="004306CC"/>
    <w:rsid w:val="00430BB2"/>
    <w:rsid w:val="00431555"/>
    <w:rsid w:val="00431E1A"/>
    <w:rsid w:val="004326C9"/>
    <w:rsid w:val="00432F19"/>
    <w:rsid w:val="00434294"/>
    <w:rsid w:val="00434570"/>
    <w:rsid w:val="00435C8B"/>
    <w:rsid w:val="00436FCD"/>
    <w:rsid w:val="0044126B"/>
    <w:rsid w:val="0044537A"/>
    <w:rsid w:val="00445690"/>
    <w:rsid w:val="0044726A"/>
    <w:rsid w:val="00447865"/>
    <w:rsid w:val="004478AE"/>
    <w:rsid w:val="00450226"/>
    <w:rsid w:val="00452856"/>
    <w:rsid w:val="00453713"/>
    <w:rsid w:val="00454686"/>
    <w:rsid w:val="00455B3C"/>
    <w:rsid w:val="00456DE8"/>
    <w:rsid w:val="004603E1"/>
    <w:rsid w:val="004649DC"/>
    <w:rsid w:val="004714F2"/>
    <w:rsid w:val="00477B93"/>
    <w:rsid w:val="00482460"/>
    <w:rsid w:val="00482B21"/>
    <w:rsid w:val="00485CD4"/>
    <w:rsid w:val="004865E4"/>
    <w:rsid w:val="00493A9F"/>
    <w:rsid w:val="004955E2"/>
    <w:rsid w:val="00495F1D"/>
    <w:rsid w:val="004A0BAE"/>
    <w:rsid w:val="004A11C8"/>
    <w:rsid w:val="004A1DEC"/>
    <w:rsid w:val="004A4529"/>
    <w:rsid w:val="004A6E86"/>
    <w:rsid w:val="004B0926"/>
    <w:rsid w:val="004B1B92"/>
    <w:rsid w:val="004B2F23"/>
    <w:rsid w:val="004B36B0"/>
    <w:rsid w:val="004B37FB"/>
    <w:rsid w:val="004B659E"/>
    <w:rsid w:val="004B684C"/>
    <w:rsid w:val="004B6F8B"/>
    <w:rsid w:val="004C1701"/>
    <w:rsid w:val="004C2444"/>
    <w:rsid w:val="004C2DB8"/>
    <w:rsid w:val="004C2E97"/>
    <w:rsid w:val="004C5738"/>
    <w:rsid w:val="004D2B7A"/>
    <w:rsid w:val="004D6158"/>
    <w:rsid w:val="004D6900"/>
    <w:rsid w:val="004D773C"/>
    <w:rsid w:val="004E10A4"/>
    <w:rsid w:val="004E2A2B"/>
    <w:rsid w:val="004E2CEB"/>
    <w:rsid w:val="004E491E"/>
    <w:rsid w:val="004E59D9"/>
    <w:rsid w:val="004E5B10"/>
    <w:rsid w:val="004E648C"/>
    <w:rsid w:val="004E72FD"/>
    <w:rsid w:val="004F0044"/>
    <w:rsid w:val="004F3671"/>
    <w:rsid w:val="004F4237"/>
    <w:rsid w:val="004F4278"/>
    <w:rsid w:val="004F4C58"/>
    <w:rsid w:val="004F5679"/>
    <w:rsid w:val="00501EBD"/>
    <w:rsid w:val="00502359"/>
    <w:rsid w:val="005025DD"/>
    <w:rsid w:val="00506D4E"/>
    <w:rsid w:val="0050746B"/>
    <w:rsid w:val="00507805"/>
    <w:rsid w:val="005105C2"/>
    <w:rsid w:val="00512EC7"/>
    <w:rsid w:val="00513EFC"/>
    <w:rsid w:val="00514F79"/>
    <w:rsid w:val="00517261"/>
    <w:rsid w:val="005209B8"/>
    <w:rsid w:val="00521C06"/>
    <w:rsid w:val="00530A3D"/>
    <w:rsid w:val="0053146F"/>
    <w:rsid w:val="0053156B"/>
    <w:rsid w:val="0054074E"/>
    <w:rsid w:val="00541932"/>
    <w:rsid w:val="00542C0A"/>
    <w:rsid w:val="00543138"/>
    <w:rsid w:val="005453ED"/>
    <w:rsid w:val="00546695"/>
    <w:rsid w:val="005471D8"/>
    <w:rsid w:val="00547515"/>
    <w:rsid w:val="00550F68"/>
    <w:rsid w:val="00551C9D"/>
    <w:rsid w:val="00551EBF"/>
    <w:rsid w:val="00551FAE"/>
    <w:rsid w:val="0055286A"/>
    <w:rsid w:val="00552DD1"/>
    <w:rsid w:val="0055476A"/>
    <w:rsid w:val="00554E3A"/>
    <w:rsid w:val="00557701"/>
    <w:rsid w:val="00560940"/>
    <w:rsid w:val="005614DF"/>
    <w:rsid w:val="00561AEA"/>
    <w:rsid w:val="00561BA6"/>
    <w:rsid w:val="00562990"/>
    <w:rsid w:val="00565602"/>
    <w:rsid w:val="0056690C"/>
    <w:rsid w:val="00567926"/>
    <w:rsid w:val="00575170"/>
    <w:rsid w:val="00577313"/>
    <w:rsid w:val="00580AF0"/>
    <w:rsid w:val="00580B4E"/>
    <w:rsid w:val="00581E13"/>
    <w:rsid w:val="00582227"/>
    <w:rsid w:val="005827DA"/>
    <w:rsid w:val="00583BFC"/>
    <w:rsid w:val="00583E53"/>
    <w:rsid w:val="00586ED7"/>
    <w:rsid w:val="005871DB"/>
    <w:rsid w:val="005911E8"/>
    <w:rsid w:val="005920A0"/>
    <w:rsid w:val="00592591"/>
    <w:rsid w:val="00592F96"/>
    <w:rsid w:val="005A148F"/>
    <w:rsid w:val="005A209F"/>
    <w:rsid w:val="005A3D08"/>
    <w:rsid w:val="005A3D33"/>
    <w:rsid w:val="005A5CF8"/>
    <w:rsid w:val="005A5EFE"/>
    <w:rsid w:val="005A629E"/>
    <w:rsid w:val="005A76F3"/>
    <w:rsid w:val="005B06C3"/>
    <w:rsid w:val="005B1EAC"/>
    <w:rsid w:val="005B46A5"/>
    <w:rsid w:val="005C1D28"/>
    <w:rsid w:val="005C3DE8"/>
    <w:rsid w:val="005C6E37"/>
    <w:rsid w:val="005D1902"/>
    <w:rsid w:val="005D1BD6"/>
    <w:rsid w:val="005D1CBA"/>
    <w:rsid w:val="005D2143"/>
    <w:rsid w:val="005D3A47"/>
    <w:rsid w:val="005D51C1"/>
    <w:rsid w:val="005D6E01"/>
    <w:rsid w:val="005E0A51"/>
    <w:rsid w:val="005E0ADA"/>
    <w:rsid w:val="005E1382"/>
    <w:rsid w:val="005E168D"/>
    <w:rsid w:val="005E3C39"/>
    <w:rsid w:val="005E52FB"/>
    <w:rsid w:val="005E559F"/>
    <w:rsid w:val="005E6722"/>
    <w:rsid w:val="005F29F5"/>
    <w:rsid w:val="005F305F"/>
    <w:rsid w:val="005F4770"/>
    <w:rsid w:val="005F6053"/>
    <w:rsid w:val="005F6EBC"/>
    <w:rsid w:val="006002F3"/>
    <w:rsid w:val="0060100F"/>
    <w:rsid w:val="0060141E"/>
    <w:rsid w:val="00603414"/>
    <w:rsid w:val="00603449"/>
    <w:rsid w:val="006041F7"/>
    <w:rsid w:val="006042D1"/>
    <w:rsid w:val="0060457E"/>
    <w:rsid w:val="0060519F"/>
    <w:rsid w:val="00606865"/>
    <w:rsid w:val="00610D98"/>
    <w:rsid w:val="00610EA0"/>
    <w:rsid w:val="006117FD"/>
    <w:rsid w:val="006131E5"/>
    <w:rsid w:val="006169BE"/>
    <w:rsid w:val="00617CE2"/>
    <w:rsid w:val="00617DFC"/>
    <w:rsid w:val="00617FD2"/>
    <w:rsid w:val="00620585"/>
    <w:rsid w:val="00624899"/>
    <w:rsid w:val="00627E1F"/>
    <w:rsid w:val="00631AD7"/>
    <w:rsid w:val="00632A6B"/>
    <w:rsid w:val="006350A3"/>
    <w:rsid w:val="00635E6E"/>
    <w:rsid w:val="00635EB8"/>
    <w:rsid w:val="00636058"/>
    <w:rsid w:val="00641785"/>
    <w:rsid w:val="00642559"/>
    <w:rsid w:val="00642BFE"/>
    <w:rsid w:val="00642F45"/>
    <w:rsid w:val="00647202"/>
    <w:rsid w:val="006515C5"/>
    <w:rsid w:val="0065219C"/>
    <w:rsid w:val="00652798"/>
    <w:rsid w:val="00652E32"/>
    <w:rsid w:val="0065392C"/>
    <w:rsid w:val="006549EB"/>
    <w:rsid w:val="00654A37"/>
    <w:rsid w:val="00654BCA"/>
    <w:rsid w:val="00654C0C"/>
    <w:rsid w:val="00655851"/>
    <w:rsid w:val="00662E92"/>
    <w:rsid w:val="00662F7B"/>
    <w:rsid w:val="006644EE"/>
    <w:rsid w:val="0066498C"/>
    <w:rsid w:val="00665DEA"/>
    <w:rsid w:val="00670383"/>
    <w:rsid w:val="0067137C"/>
    <w:rsid w:val="0067215C"/>
    <w:rsid w:val="0067287E"/>
    <w:rsid w:val="006735D1"/>
    <w:rsid w:val="00675264"/>
    <w:rsid w:val="006772F4"/>
    <w:rsid w:val="00681F0D"/>
    <w:rsid w:val="00683EB1"/>
    <w:rsid w:val="00686E61"/>
    <w:rsid w:val="00690DC4"/>
    <w:rsid w:val="006922FB"/>
    <w:rsid w:val="00692772"/>
    <w:rsid w:val="006A23A6"/>
    <w:rsid w:val="006A2BE5"/>
    <w:rsid w:val="006A397B"/>
    <w:rsid w:val="006A6B54"/>
    <w:rsid w:val="006B0566"/>
    <w:rsid w:val="006B1316"/>
    <w:rsid w:val="006B2A85"/>
    <w:rsid w:val="006B5427"/>
    <w:rsid w:val="006B598A"/>
    <w:rsid w:val="006C0008"/>
    <w:rsid w:val="006D1287"/>
    <w:rsid w:val="006D5B3E"/>
    <w:rsid w:val="006D5E8F"/>
    <w:rsid w:val="006D6102"/>
    <w:rsid w:val="006D69D1"/>
    <w:rsid w:val="006D75D7"/>
    <w:rsid w:val="006E19D8"/>
    <w:rsid w:val="006E1C6B"/>
    <w:rsid w:val="006E2848"/>
    <w:rsid w:val="006E44FA"/>
    <w:rsid w:val="006E50E7"/>
    <w:rsid w:val="006E6038"/>
    <w:rsid w:val="006F02AD"/>
    <w:rsid w:val="006F1D5A"/>
    <w:rsid w:val="006F3442"/>
    <w:rsid w:val="006F3E59"/>
    <w:rsid w:val="006F4D00"/>
    <w:rsid w:val="006F50C5"/>
    <w:rsid w:val="006F6822"/>
    <w:rsid w:val="006F7DAA"/>
    <w:rsid w:val="0070017E"/>
    <w:rsid w:val="00701E76"/>
    <w:rsid w:val="007022BF"/>
    <w:rsid w:val="0070247E"/>
    <w:rsid w:val="00704AD1"/>
    <w:rsid w:val="007055A3"/>
    <w:rsid w:val="007056D0"/>
    <w:rsid w:val="00706992"/>
    <w:rsid w:val="00713702"/>
    <w:rsid w:val="00715279"/>
    <w:rsid w:val="00715D61"/>
    <w:rsid w:val="007161D3"/>
    <w:rsid w:val="00717673"/>
    <w:rsid w:val="00725975"/>
    <w:rsid w:val="00725B0D"/>
    <w:rsid w:val="00726C4D"/>
    <w:rsid w:val="007276C0"/>
    <w:rsid w:val="00727914"/>
    <w:rsid w:val="00727B0E"/>
    <w:rsid w:val="0073368E"/>
    <w:rsid w:val="007343A9"/>
    <w:rsid w:val="007351D5"/>
    <w:rsid w:val="007357CF"/>
    <w:rsid w:val="00736162"/>
    <w:rsid w:val="007369E2"/>
    <w:rsid w:val="007444CE"/>
    <w:rsid w:val="007452FA"/>
    <w:rsid w:val="00746725"/>
    <w:rsid w:val="00746D40"/>
    <w:rsid w:val="0074770F"/>
    <w:rsid w:val="00747BCE"/>
    <w:rsid w:val="00750168"/>
    <w:rsid w:val="007510CF"/>
    <w:rsid w:val="007526F1"/>
    <w:rsid w:val="00753E8F"/>
    <w:rsid w:val="0075609C"/>
    <w:rsid w:val="00757846"/>
    <w:rsid w:val="00757E1F"/>
    <w:rsid w:val="007620E8"/>
    <w:rsid w:val="0076265A"/>
    <w:rsid w:val="00764FC2"/>
    <w:rsid w:val="007658B3"/>
    <w:rsid w:val="007664F6"/>
    <w:rsid w:val="00766F65"/>
    <w:rsid w:val="00776D47"/>
    <w:rsid w:val="007809E0"/>
    <w:rsid w:val="00780E1E"/>
    <w:rsid w:val="00782A42"/>
    <w:rsid w:val="0078345B"/>
    <w:rsid w:val="00783C1E"/>
    <w:rsid w:val="00786280"/>
    <w:rsid w:val="00790114"/>
    <w:rsid w:val="007902DC"/>
    <w:rsid w:val="007922D4"/>
    <w:rsid w:val="007935E2"/>
    <w:rsid w:val="007936EE"/>
    <w:rsid w:val="00794535"/>
    <w:rsid w:val="007958B8"/>
    <w:rsid w:val="00795D94"/>
    <w:rsid w:val="007961D3"/>
    <w:rsid w:val="007976E4"/>
    <w:rsid w:val="007A186C"/>
    <w:rsid w:val="007A204E"/>
    <w:rsid w:val="007A3CFC"/>
    <w:rsid w:val="007A4CC6"/>
    <w:rsid w:val="007A59B3"/>
    <w:rsid w:val="007A62AF"/>
    <w:rsid w:val="007B0045"/>
    <w:rsid w:val="007B06B7"/>
    <w:rsid w:val="007B3F45"/>
    <w:rsid w:val="007B454F"/>
    <w:rsid w:val="007B5A67"/>
    <w:rsid w:val="007B6B9F"/>
    <w:rsid w:val="007C033B"/>
    <w:rsid w:val="007C0792"/>
    <w:rsid w:val="007C23A7"/>
    <w:rsid w:val="007C2425"/>
    <w:rsid w:val="007C28DB"/>
    <w:rsid w:val="007C2F1B"/>
    <w:rsid w:val="007C5126"/>
    <w:rsid w:val="007E3625"/>
    <w:rsid w:val="007F0D94"/>
    <w:rsid w:val="007F1E98"/>
    <w:rsid w:val="007F5EF1"/>
    <w:rsid w:val="007F68CB"/>
    <w:rsid w:val="0080092E"/>
    <w:rsid w:val="008064B7"/>
    <w:rsid w:val="00807628"/>
    <w:rsid w:val="00811AAE"/>
    <w:rsid w:val="00813605"/>
    <w:rsid w:val="00815526"/>
    <w:rsid w:val="00816367"/>
    <w:rsid w:val="008164DA"/>
    <w:rsid w:val="008177B1"/>
    <w:rsid w:val="008201B3"/>
    <w:rsid w:val="00820687"/>
    <w:rsid w:val="00821169"/>
    <w:rsid w:val="00830AC3"/>
    <w:rsid w:val="00831363"/>
    <w:rsid w:val="00832939"/>
    <w:rsid w:val="00833BEF"/>
    <w:rsid w:val="00834092"/>
    <w:rsid w:val="00834C8A"/>
    <w:rsid w:val="008363A8"/>
    <w:rsid w:val="00837387"/>
    <w:rsid w:val="00837D98"/>
    <w:rsid w:val="008421B3"/>
    <w:rsid w:val="008423EA"/>
    <w:rsid w:val="0084257B"/>
    <w:rsid w:val="008430E9"/>
    <w:rsid w:val="008464AB"/>
    <w:rsid w:val="00847D8B"/>
    <w:rsid w:val="0085013C"/>
    <w:rsid w:val="00850F10"/>
    <w:rsid w:val="00851B2F"/>
    <w:rsid w:val="00852377"/>
    <w:rsid w:val="008525B1"/>
    <w:rsid w:val="008529E2"/>
    <w:rsid w:val="008537EA"/>
    <w:rsid w:val="0085447D"/>
    <w:rsid w:val="00854C43"/>
    <w:rsid w:val="00854D7E"/>
    <w:rsid w:val="00854DFA"/>
    <w:rsid w:val="008569FB"/>
    <w:rsid w:val="00856C3E"/>
    <w:rsid w:val="00861702"/>
    <w:rsid w:val="00863BEF"/>
    <w:rsid w:val="008654D3"/>
    <w:rsid w:val="00873A37"/>
    <w:rsid w:val="008740E7"/>
    <w:rsid w:val="0087438E"/>
    <w:rsid w:val="00882647"/>
    <w:rsid w:val="008840A1"/>
    <w:rsid w:val="00886A68"/>
    <w:rsid w:val="00890CD7"/>
    <w:rsid w:val="00891892"/>
    <w:rsid w:val="008938CF"/>
    <w:rsid w:val="00893C67"/>
    <w:rsid w:val="0089509C"/>
    <w:rsid w:val="00895302"/>
    <w:rsid w:val="00896B56"/>
    <w:rsid w:val="008A1C4C"/>
    <w:rsid w:val="008A3229"/>
    <w:rsid w:val="008A339E"/>
    <w:rsid w:val="008A36A9"/>
    <w:rsid w:val="008A58F1"/>
    <w:rsid w:val="008B371A"/>
    <w:rsid w:val="008B60D9"/>
    <w:rsid w:val="008C03D1"/>
    <w:rsid w:val="008C1ACF"/>
    <w:rsid w:val="008C1FF5"/>
    <w:rsid w:val="008C3D45"/>
    <w:rsid w:val="008C44B8"/>
    <w:rsid w:val="008C4809"/>
    <w:rsid w:val="008C49ED"/>
    <w:rsid w:val="008C59DF"/>
    <w:rsid w:val="008C639C"/>
    <w:rsid w:val="008C7648"/>
    <w:rsid w:val="008C78BD"/>
    <w:rsid w:val="008D004A"/>
    <w:rsid w:val="008D4E6B"/>
    <w:rsid w:val="008E29D4"/>
    <w:rsid w:val="008E520E"/>
    <w:rsid w:val="008E5FD9"/>
    <w:rsid w:val="008E6715"/>
    <w:rsid w:val="008F0649"/>
    <w:rsid w:val="008F12F0"/>
    <w:rsid w:val="008F1B05"/>
    <w:rsid w:val="008F3A34"/>
    <w:rsid w:val="008F64CF"/>
    <w:rsid w:val="008F691D"/>
    <w:rsid w:val="00900193"/>
    <w:rsid w:val="009009EC"/>
    <w:rsid w:val="00902A72"/>
    <w:rsid w:val="0091275E"/>
    <w:rsid w:val="009165B1"/>
    <w:rsid w:val="00921EBA"/>
    <w:rsid w:val="009234BB"/>
    <w:rsid w:val="00924AC6"/>
    <w:rsid w:val="00925651"/>
    <w:rsid w:val="00925E43"/>
    <w:rsid w:val="00926D28"/>
    <w:rsid w:val="00930D24"/>
    <w:rsid w:val="00933E77"/>
    <w:rsid w:val="009368ED"/>
    <w:rsid w:val="00937E27"/>
    <w:rsid w:val="009430F5"/>
    <w:rsid w:val="00943723"/>
    <w:rsid w:val="0094413F"/>
    <w:rsid w:val="0094416A"/>
    <w:rsid w:val="00945302"/>
    <w:rsid w:val="00952BCD"/>
    <w:rsid w:val="00952BDA"/>
    <w:rsid w:val="00953AA6"/>
    <w:rsid w:val="00954411"/>
    <w:rsid w:val="00955F81"/>
    <w:rsid w:val="00956AA6"/>
    <w:rsid w:val="00957B8D"/>
    <w:rsid w:val="009620DD"/>
    <w:rsid w:val="0096344E"/>
    <w:rsid w:val="0096690D"/>
    <w:rsid w:val="009766AC"/>
    <w:rsid w:val="0097761A"/>
    <w:rsid w:val="00977B8A"/>
    <w:rsid w:val="00984423"/>
    <w:rsid w:val="00984554"/>
    <w:rsid w:val="00986D97"/>
    <w:rsid w:val="00987B82"/>
    <w:rsid w:val="00991CA2"/>
    <w:rsid w:val="00992959"/>
    <w:rsid w:val="00993AEC"/>
    <w:rsid w:val="00996BB1"/>
    <w:rsid w:val="009974FD"/>
    <w:rsid w:val="00997952"/>
    <w:rsid w:val="009A095D"/>
    <w:rsid w:val="009A1DBB"/>
    <w:rsid w:val="009A239F"/>
    <w:rsid w:val="009A38C4"/>
    <w:rsid w:val="009A4114"/>
    <w:rsid w:val="009A47E6"/>
    <w:rsid w:val="009A5243"/>
    <w:rsid w:val="009A6335"/>
    <w:rsid w:val="009A68D0"/>
    <w:rsid w:val="009A69BB"/>
    <w:rsid w:val="009B08CA"/>
    <w:rsid w:val="009B14AC"/>
    <w:rsid w:val="009B32A4"/>
    <w:rsid w:val="009B408D"/>
    <w:rsid w:val="009B7311"/>
    <w:rsid w:val="009C2842"/>
    <w:rsid w:val="009C5032"/>
    <w:rsid w:val="009C5477"/>
    <w:rsid w:val="009C69CB"/>
    <w:rsid w:val="009C7462"/>
    <w:rsid w:val="009D34C0"/>
    <w:rsid w:val="009D4F0D"/>
    <w:rsid w:val="009E0AD0"/>
    <w:rsid w:val="009E11B3"/>
    <w:rsid w:val="009E1E3B"/>
    <w:rsid w:val="009E2EF7"/>
    <w:rsid w:val="009E3C5E"/>
    <w:rsid w:val="009E4DD2"/>
    <w:rsid w:val="009E59BC"/>
    <w:rsid w:val="009E59D6"/>
    <w:rsid w:val="009E6D86"/>
    <w:rsid w:val="009E79DB"/>
    <w:rsid w:val="009F0E76"/>
    <w:rsid w:val="009F2FD1"/>
    <w:rsid w:val="009F471E"/>
    <w:rsid w:val="009F5253"/>
    <w:rsid w:val="009F54C0"/>
    <w:rsid w:val="009F5816"/>
    <w:rsid w:val="00A01DB8"/>
    <w:rsid w:val="00A0205D"/>
    <w:rsid w:val="00A0658C"/>
    <w:rsid w:val="00A06F5B"/>
    <w:rsid w:val="00A071FB"/>
    <w:rsid w:val="00A11690"/>
    <w:rsid w:val="00A11BB8"/>
    <w:rsid w:val="00A13880"/>
    <w:rsid w:val="00A15951"/>
    <w:rsid w:val="00A23F7A"/>
    <w:rsid w:val="00A24CA9"/>
    <w:rsid w:val="00A2727C"/>
    <w:rsid w:val="00A27E9E"/>
    <w:rsid w:val="00A32DB0"/>
    <w:rsid w:val="00A331A0"/>
    <w:rsid w:val="00A33724"/>
    <w:rsid w:val="00A35A6F"/>
    <w:rsid w:val="00A35D5A"/>
    <w:rsid w:val="00A36B22"/>
    <w:rsid w:val="00A36C68"/>
    <w:rsid w:val="00A3741A"/>
    <w:rsid w:val="00A37AFC"/>
    <w:rsid w:val="00A4184E"/>
    <w:rsid w:val="00A429E0"/>
    <w:rsid w:val="00A44DA0"/>
    <w:rsid w:val="00A46BEC"/>
    <w:rsid w:val="00A47873"/>
    <w:rsid w:val="00A524BD"/>
    <w:rsid w:val="00A53438"/>
    <w:rsid w:val="00A56B86"/>
    <w:rsid w:val="00A57421"/>
    <w:rsid w:val="00A603D5"/>
    <w:rsid w:val="00A6138F"/>
    <w:rsid w:val="00A61A7A"/>
    <w:rsid w:val="00A64CED"/>
    <w:rsid w:val="00A654A2"/>
    <w:rsid w:val="00A7007F"/>
    <w:rsid w:val="00A70278"/>
    <w:rsid w:val="00A70A9E"/>
    <w:rsid w:val="00A70F07"/>
    <w:rsid w:val="00A72490"/>
    <w:rsid w:val="00A735E6"/>
    <w:rsid w:val="00A73DA9"/>
    <w:rsid w:val="00A75D76"/>
    <w:rsid w:val="00A8012B"/>
    <w:rsid w:val="00A8194D"/>
    <w:rsid w:val="00A845C7"/>
    <w:rsid w:val="00A854C1"/>
    <w:rsid w:val="00A870CA"/>
    <w:rsid w:val="00A87217"/>
    <w:rsid w:val="00A90A4C"/>
    <w:rsid w:val="00A92D9B"/>
    <w:rsid w:val="00A94E6A"/>
    <w:rsid w:val="00A97A29"/>
    <w:rsid w:val="00A97A68"/>
    <w:rsid w:val="00AA0311"/>
    <w:rsid w:val="00AA0C0C"/>
    <w:rsid w:val="00AA0E96"/>
    <w:rsid w:val="00AA5C50"/>
    <w:rsid w:val="00AA79D8"/>
    <w:rsid w:val="00AB4BE6"/>
    <w:rsid w:val="00AB531F"/>
    <w:rsid w:val="00AB6656"/>
    <w:rsid w:val="00AC22BF"/>
    <w:rsid w:val="00AC2600"/>
    <w:rsid w:val="00AC4AFF"/>
    <w:rsid w:val="00AC65A1"/>
    <w:rsid w:val="00AC7AF4"/>
    <w:rsid w:val="00AE0153"/>
    <w:rsid w:val="00AE1349"/>
    <w:rsid w:val="00AE3239"/>
    <w:rsid w:val="00AE4560"/>
    <w:rsid w:val="00AE5041"/>
    <w:rsid w:val="00AE7C32"/>
    <w:rsid w:val="00AF27A9"/>
    <w:rsid w:val="00AF2CF1"/>
    <w:rsid w:val="00AF2D32"/>
    <w:rsid w:val="00AF360B"/>
    <w:rsid w:val="00AF48FB"/>
    <w:rsid w:val="00AF641C"/>
    <w:rsid w:val="00AF66E6"/>
    <w:rsid w:val="00AF7D2E"/>
    <w:rsid w:val="00B00624"/>
    <w:rsid w:val="00B015E3"/>
    <w:rsid w:val="00B13479"/>
    <w:rsid w:val="00B22A79"/>
    <w:rsid w:val="00B22D45"/>
    <w:rsid w:val="00B260AF"/>
    <w:rsid w:val="00B31398"/>
    <w:rsid w:val="00B32385"/>
    <w:rsid w:val="00B37D85"/>
    <w:rsid w:val="00B41A2D"/>
    <w:rsid w:val="00B41FA8"/>
    <w:rsid w:val="00B43E3E"/>
    <w:rsid w:val="00B44ABC"/>
    <w:rsid w:val="00B45404"/>
    <w:rsid w:val="00B45C43"/>
    <w:rsid w:val="00B46566"/>
    <w:rsid w:val="00B465D6"/>
    <w:rsid w:val="00B4770F"/>
    <w:rsid w:val="00B505E2"/>
    <w:rsid w:val="00B51BDC"/>
    <w:rsid w:val="00B539DE"/>
    <w:rsid w:val="00B53D41"/>
    <w:rsid w:val="00B55968"/>
    <w:rsid w:val="00B566D9"/>
    <w:rsid w:val="00B60E0C"/>
    <w:rsid w:val="00B61516"/>
    <w:rsid w:val="00B6161E"/>
    <w:rsid w:val="00B62657"/>
    <w:rsid w:val="00B65BA0"/>
    <w:rsid w:val="00B6659E"/>
    <w:rsid w:val="00B7406C"/>
    <w:rsid w:val="00B75517"/>
    <w:rsid w:val="00B80202"/>
    <w:rsid w:val="00B82CE2"/>
    <w:rsid w:val="00B82D7E"/>
    <w:rsid w:val="00B83BAD"/>
    <w:rsid w:val="00B84587"/>
    <w:rsid w:val="00B84903"/>
    <w:rsid w:val="00B854CC"/>
    <w:rsid w:val="00B93AD9"/>
    <w:rsid w:val="00B9700A"/>
    <w:rsid w:val="00B97CF9"/>
    <w:rsid w:val="00B97E0D"/>
    <w:rsid w:val="00BA0664"/>
    <w:rsid w:val="00BA282A"/>
    <w:rsid w:val="00BA2F5B"/>
    <w:rsid w:val="00BA4082"/>
    <w:rsid w:val="00BA4B09"/>
    <w:rsid w:val="00BA591D"/>
    <w:rsid w:val="00BB0122"/>
    <w:rsid w:val="00BB07FC"/>
    <w:rsid w:val="00BB099F"/>
    <w:rsid w:val="00BB307D"/>
    <w:rsid w:val="00BB5895"/>
    <w:rsid w:val="00BB74A5"/>
    <w:rsid w:val="00BB75AF"/>
    <w:rsid w:val="00BC195E"/>
    <w:rsid w:val="00BC261C"/>
    <w:rsid w:val="00BC34B3"/>
    <w:rsid w:val="00BC40EC"/>
    <w:rsid w:val="00BC496E"/>
    <w:rsid w:val="00BC4FA2"/>
    <w:rsid w:val="00BC5DD5"/>
    <w:rsid w:val="00BD31D0"/>
    <w:rsid w:val="00BD3764"/>
    <w:rsid w:val="00BD5387"/>
    <w:rsid w:val="00BD7ECC"/>
    <w:rsid w:val="00BE2385"/>
    <w:rsid w:val="00BE32DE"/>
    <w:rsid w:val="00BE4424"/>
    <w:rsid w:val="00BE4680"/>
    <w:rsid w:val="00BE5341"/>
    <w:rsid w:val="00BE5D13"/>
    <w:rsid w:val="00BE7C01"/>
    <w:rsid w:val="00BE7E9F"/>
    <w:rsid w:val="00BF1ADD"/>
    <w:rsid w:val="00BF2EF2"/>
    <w:rsid w:val="00BF2FC2"/>
    <w:rsid w:val="00BF381D"/>
    <w:rsid w:val="00BF3E8E"/>
    <w:rsid w:val="00BF542A"/>
    <w:rsid w:val="00BF5C75"/>
    <w:rsid w:val="00BF68EE"/>
    <w:rsid w:val="00BF69D8"/>
    <w:rsid w:val="00BF77DF"/>
    <w:rsid w:val="00BF79FE"/>
    <w:rsid w:val="00C001D3"/>
    <w:rsid w:val="00C007BA"/>
    <w:rsid w:val="00C00A9C"/>
    <w:rsid w:val="00C01BB5"/>
    <w:rsid w:val="00C048EF"/>
    <w:rsid w:val="00C063A1"/>
    <w:rsid w:val="00C07899"/>
    <w:rsid w:val="00C113F3"/>
    <w:rsid w:val="00C15011"/>
    <w:rsid w:val="00C15065"/>
    <w:rsid w:val="00C15285"/>
    <w:rsid w:val="00C213D1"/>
    <w:rsid w:val="00C2295C"/>
    <w:rsid w:val="00C2477F"/>
    <w:rsid w:val="00C30A17"/>
    <w:rsid w:val="00C31F9D"/>
    <w:rsid w:val="00C33442"/>
    <w:rsid w:val="00C35A93"/>
    <w:rsid w:val="00C40711"/>
    <w:rsid w:val="00C40C63"/>
    <w:rsid w:val="00C41427"/>
    <w:rsid w:val="00C41571"/>
    <w:rsid w:val="00C43493"/>
    <w:rsid w:val="00C44DCF"/>
    <w:rsid w:val="00C468BD"/>
    <w:rsid w:val="00C50DBF"/>
    <w:rsid w:val="00C540CC"/>
    <w:rsid w:val="00C55759"/>
    <w:rsid w:val="00C55E01"/>
    <w:rsid w:val="00C56D16"/>
    <w:rsid w:val="00C62970"/>
    <w:rsid w:val="00C727C3"/>
    <w:rsid w:val="00C748C2"/>
    <w:rsid w:val="00C74BA9"/>
    <w:rsid w:val="00C7580C"/>
    <w:rsid w:val="00C76B4F"/>
    <w:rsid w:val="00C77CF4"/>
    <w:rsid w:val="00C81DDE"/>
    <w:rsid w:val="00C83FA4"/>
    <w:rsid w:val="00C86B11"/>
    <w:rsid w:val="00C86C43"/>
    <w:rsid w:val="00C86EA7"/>
    <w:rsid w:val="00C86FB2"/>
    <w:rsid w:val="00C873D9"/>
    <w:rsid w:val="00C912FB"/>
    <w:rsid w:val="00C92BAA"/>
    <w:rsid w:val="00C93EEC"/>
    <w:rsid w:val="00C9417E"/>
    <w:rsid w:val="00C94D20"/>
    <w:rsid w:val="00C967CA"/>
    <w:rsid w:val="00C97186"/>
    <w:rsid w:val="00CA040E"/>
    <w:rsid w:val="00CA2FDE"/>
    <w:rsid w:val="00CA33EC"/>
    <w:rsid w:val="00CA429C"/>
    <w:rsid w:val="00CA62FA"/>
    <w:rsid w:val="00CA6A71"/>
    <w:rsid w:val="00CA6D27"/>
    <w:rsid w:val="00CB0403"/>
    <w:rsid w:val="00CB4711"/>
    <w:rsid w:val="00CB659D"/>
    <w:rsid w:val="00CB66E1"/>
    <w:rsid w:val="00CB7A06"/>
    <w:rsid w:val="00CB7AFB"/>
    <w:rsid w:val="00CC08C3"/>
    <w:rsid w:val="00CC0F7B"/>
    <w:rsid w:val="00CC1226"/>
    <w:rsid w:val="00CC160E"/>
    <w:rsid w:val="00CC3062"/>
    <w:rsid w:val="00CC42CC"/>
    <w:rsid w:val="00CD0F2D"/>
    <w:rsid w:val="00CD1568"/>
    <w:rsid w:val="00CD53FC"/>
    <w:rsid w:val="00CD54FB"/>
    <w:rsid w:val="00CD6895"/>
    <w:rsid w:val="00CD7BE9"/>
    <w:rsid w:val="00CD7C3C"/>
    <w:rsid w:val="00CE0083"/>
    <w:rsid w:val="00CE0435"/>
    <w:rsid w:val="00CE272B"/>
    <w:rsid w:val="00CE3301"/>
    <w:rsid w:val="00CE52B3"/>
    <w:rsid w:val="00CE56DF"/>
    <w:rsid w:val="00CE5C4D"/>
    <w:rsid w:val="00CE62AE"/>
    <w:rsid w:val="00CF0525"/>
    <w:rsid w:val="00CF2E35"/>
    <w:rsid w:val="00CF767D"/>
    <w:rsid w:val="00D01708"/>
    <w:rsid w:val="00D01D38"/>
    <w:rsid w:val="00D03B5C"/>
    <w:rsid w:val="00D05FF5"/>
    <w:rsid w:val="00D06CB1"/>
    <w:rsid w:val="00D10025"/>
    <w:rsid w:val="00D142DF"/>
    <w:rsid w:val="00D159C4"/>
    <w:rsid w:val="00D15E55"/>
    <w:rsid w:val="00D178A8"/>
    <w:rsid w:val="00D21CEF"/>
    <w:rsid w:val="00D227C1"/>
    <w:rsid w:val="00D2582C"/>
    <w:rsid w:val="00D25ADF"/>
    <w:rsid w:val="00D25D7B"/>
    <w:rsid w:val="00D27C1F"/>
    <w:rsid w:val="00D343C2"/>
    <w:rsid w:val="00D34A62"/>
    <w:rsid w:val="00D34BF2"/>
    <w:rsid w:val="00D34FD8"/>
    <w:rsid w:val="00D36967"/>
    <w:rsid w:val="00D40395"/>
    <w:rsid w:val="00D40489"/>
    <w:rsid w:val="00D40CED"/>
    <w:rsid w:val="00D40D21"/>
    <w:rsid w:val="00D40DEA"/>
    <w:rsid w:val="00D44877"/>
    <w:rsid w:val="00D44AA1"/>
    <w:rsid w:val="00D4685C"/>
    <w:rsid w:val="00D46FD6"/>
    <w:rsid w:val="00D47103"/>
    <w:rsid w:val="00D4713C"/>
    <w:rsid w:val="00D52FA8"/>
    <w:rsid w:val="00D53B11"/>
    <w:rsid w:val="00D54540"/>
    <w:rsid w:val="00D54F33"/>
    <w:rsid w:val="00D5555D"/>
    <w:rsid w:val="00D5583E"/>
    <w:rsid w:val="00D559C5"/>
    <w:rsid w:val="00D56991"/>
    <w:rsid w:val="00D5737C"/>
    <w:rsid w:val="00D57852"/>
    <w:rsid w:val="00D57A20"/>
    <w:rsid w:val="00D6175C"/>
    <w:rsid w:val="00D629F2"/>
    <w:rsid w:val="00D64536"/>
    <w:rsid w:val="00D649BC"/>
    <w:rsid w:val="00D662A0"/>
    <w:rsid w:val="00D669AA"/>
    <w:rsid w:val="00D739A9"/>
    <w:rsid w:val="00D73AEC"/>
    <w:rsid w:val="00D7474C"/>
    <w:rsid w:val="00D75FED"/>
    <w:rsid w:val="00D863D2"/>
    <w:rsid w:val="00D86C38"/>
    <w:rsid w:val="00D872DE"/>
    <w:rsid w:val="00D92359"/>
    <w:rsid w:val="00D9235C"/>
    <w:rsid w:val="00D923F3"/>
    <w:rsid w:val="00D92DBB"/>
    <w:rsid w:val="00D931AC"/>
    <w:rsid w:val="00D9428D"/>
    <w:rsid w:val="00D95D4A"/>
    <w:rsid w:val="00D96E48"/>
    <w:rsid w:val="00D972B1"/>
    <w:rsid w:val="00D97734"/>
    <w:rsid w:val="00D97F80"/>
    <w:rsid w:val="00DA01A3"/>
    <w:rsid w:val="00DA05CA"/>
    <w:rsid w:val="00DA093F"/>
    <w:rsid w:val="00DA0AC5"/>
    <w:rsid w:val="00DA5729"/>
    <w:rsid w:val="00DA67EF"/>
    <w:rsid w:val="00DA6FC7"/>
    <w:rsid w:val="00DA701D"/>
    <w:rsid w:val="00DA7AFB"/>
    <w:rsid w:val="00DA7C69"/>
    <w:rsid w:val="00DB2E6B"/>
    <w:rsid w:val="00DB3494"/>
    <w:rsid w:val="00DB4B7D"/>
    <w:rsid w:val="00DC0193"/>
    <w:rsid w:val="00DC0AE9"/>
    <w:rsid w:val="00DC257B"/>
    <w:rsid w:val="00DC2AA9"/>
    <w:rsid w:val="00DC4C41"/>
    <w:rsid w:val="00DC5A64"/>
    <w:rsid w:val="00DC645C"/>
    <w:rsid w:val="00DD0318"/>
    <w:rsid w:val="00DD0B87"/>
    <w:rsid w:val="00DD2224"/>
    <w:rsid w:val="00DD3074"/>
    <w:rsid w:val="00DD30AA"/>
    <w:rsid w:val="00DD36E6"/>
    <w:rsid w:val="00DD37AC"/>
    <w:rsid w:val="00DD4609"/>
    <w:rsid w:val="00DD7B6D"/>
    <w:rsid w:val="00DE18C3"/>
    <w:rsid w:val="00DE27E9"/>
    <w:rsid w:val="00DE7BB3"/>
    <w:rsid w:val="00DF1E8F"/>
    <w:rsid w:val="00DF3470"/>
    <w:rsid w:val="00DF3FBD"/>
    <w:rsid w:val="00E013D5"/>
    <w:rsid w:val="00E016B7"/>
    <w:rsid w:val="00E0570F"/>
    <w:rsid w:val="00E07D47"/>
    <w:rsid w:val="00E109A5"/>
    <w:rsid w:val="00E1246F"/>
    <w:rsid w:val="00E13118"/>
    <w:rsid w:val="00E13EBD"/>
    <w:rsid w:val="00E17C9F"/>
    <w:rsid w:val="00E202F4"/>
    <w:rsid w:val="00E20398"/>
    <w:rsid w:val="00E205BA"/>
    <w:rsid w:val="00E210FE"/>
    <w:rsid w:val="00E253EA"/>
    <w:rsid w:val="00E301A5"/>
    <w:rsid w:val="00E3614C"/>
    <w:rsid w:val="00E371C8"/>
    <w:rsid w:val="00E40A6C"/>
    <w:rsid w:val="00E40BF5"/>
    <w:rsid w:val="00E432F5"/>
    <w:rsid w:val="00E44E50"/>
    <w:rsid w:val="00E45366"/>
    <w:rsid w:val="00E511A0"/>
    <w:rsid w:val="00E53DD6"/>
    <w:rsid w:val="00E54DD0"/>
    <w:rsid w:val="00E55DF2"/>
    <w:rsid w:val="00E5618A"/>
    <w:rsid w:val="00E56819"/>
    <w:rsid w:val="00E570E8"/>
    <w:rsid w:val="00E5753C"/>
    <w:rsid w:val="00E6063A"/>
    <w:rsid w:val="00E65978"/>
    <w:rsid w:val="00E65B69"/>
    <w:rsid w:val="00E67A2D"/>
    <w:rsid w:val="00E749F0"/>
    <w:rsid w:val="00E75715"/>
    <w:rsid w:val="00E76BE8"/>
    <w:rsid w:val="00E82596"/>
    <w:rsid w:val="00E833E7"/>
    <w:rsid w:val="00E939A9"/>
    <w:rsid w:val="00E93E6B"/>
    <w:rsid w:val="00EA014C"/>
    <w:rsid w:val="00EA0226"/>
    <w:rsid w:val="00EA287A"/>
    <w:rsid w:val="00EA2C69"/>
    <w:rsid w:val="00EA2C7B"/>
    <w:rsid w:val="00EA330F"/>
    <w:rsid w:val="00EA3913"/>
    <w:rsid w:val="00EA492C"/>
    <w:rsid w:val="00EA546F"/>
    <w:rsid w:val="00EB2A2E"/>
    <w:rsid w:val="00EB2A90"/>
    <w:rsid w:val="00EB2CEA"/>
    <w:rsid w:val="00EB39C6"/>
    <w:rsid w:val="00EB4577"/>
    <w:rsid w:val="00EB4672"/>
    <w:rsid w:val="00EB7C38"/>
    <w:rsid w:val="00EC192C"/>
    <w:rsid w:val="00EC1D0C"/>
    <w:rsid w:val="00EC3CE3"/>
    <w:rsid w:val="00EC3F04"/>
    <w:rsid w:val="00EC4084"/>
    <w:rsid w:val="00EC6C95"/>
    <w:rsid w:val="00ED0B7F"/>
    <w:rsid w:val="00ED2ECA"/>
    <w:rsid w:val="00ED3065"/>
    <w:rsid w:val="00ED34D4"/>
    <w:rsid w:val="00ED45F2"/>
    <w:rsid w:val="00ED6BCA"/>
    <w:rsid w:val="00EE0020"/>
    <w:rsid w:val="00EE0128"/>
    <w:rsid w:val="00EE0CF4"/>
    <w:rsid w:val="00EE0FEF"/>
    <w:rsid w:val="00EE1B7B"/>
    <w:rsid w:val="00EE1C9E"/>
    <w:rsid w:val="00EE75AF"/>
    <w:rsid w:val="00EE7A56"/>
    <w:rsid w:val="00EF2E52"/>
    <w:rsid w:val="00EF3B15"/>
    <w:rsid w:val="00EF45E5"/>
    <w:rsid w:val="00EF4832"/>
    <w:rsid w:val="00EF4BC6"/>
    <w:rsid w:val="00EF6574"/>
    <w:rsid w:val="00EF69A0"/>
    <w:rsid w:val="00EF78D5"/>
    <w:rsid w:val="00EF7CD8"/>
    <w:rsid w:val="00EF7FF3"/>
    <w:rsid w:val="00F03A3A"/>
    <w:rsid w:val="00F044D3"/>
    <w:rsid w:val="00F066BF"/>
    <w:rsid w:val="00F10C04"/>
    <w:rsid w:val="00F10FEA"/>
    <w:rsid w:val="00F11255"/>
    <w:rsid w:val="00F11498"/>
    <w:rsid w:val="00F11C72"/>
    <w:rsid w:val="00F156B4"/>
    <w:rsid w:val="00F15772"/>
    <w:rsid w:val="00F2131E"/>
    <w:rsid w:val="00F22381"/>
    <w:rsid w:val="00F24F51"/>
    <w:rsid w:val="00F276D3"/>
    <w:rsid w:val="00F33841"/>
    <w:rsid w:val="00F348C4"/>
    <w:rsid w:val="00F41228"/>
    <w:rsid w:val="00F413EE"/>
    <w:rsid w:val="00F42493"/>
    <w:rsid w:val="00F44E85"/>
    <w:rsid w:val="00F4543B"/>
    <w:rsid w:val="00F46053"/>
    <w:rsid w:val="00F46CDD"/>
    <w:rsid w:val="00F470B1"/>
    <w:rsid w:val="00F470C9"/>
    <w:rsid w:val="00F506B7"/>
    <w:rsid w:val="00F5748F"/>
    <w:rsid w:val="00F6047D"/>
    <w:rsid w:val="00F6425E"/>
    <w:rsid w:val="00F651C3"/>
    <w:rsid w:val="00F66195"/>
    <w:rsid w:val="00F70596"/>
    <w:rsid w:val="00F7068F"/>
    <w:rsid w:val="00F752FE"/>
    <w:rsid w:val="00F7663E"/>
    <w:rsid w:val="00F800F8"/>
    <w:rsid w:val="00F82570"/>
    <w:rsid w:val="00F84DCA"/>
    <w:rsid w:val="00F862CB"/>
    <w:rsid w:val="00F86D96"/>
    <w:rsid w:val="00F90F96"/>
    <w:rsid w:val="00F913A7"/>
    <w:rsid w:val="00F92BED"/>
    <w:rsid w:val="00F967D5"/>
    <w:rsid w:val="00FA145B"/>
    <w:rsid w:val="00FB12F1"/>
    <w:rsid w:val="00FB1F12"/>
    <w:rsid w:val="00FB475F"/>
    <w:rsid w:val="00FB54FA"/>
    <w:rsid w:val="00FB65E5"/>
    <w:rsid w:val="00FB7A2A"/>
    <w:rsid w:val="00FC0646"/>
    <w:rsid w:val="00FC2A5D"/>
    <w:rsid w:val="00FC30C6"/>
    <w:rsid w:val="00FC39F7"/>
    <w:rsid w:val="00FC3A2C"/>
    <w:rsid w:val="00FC63C7"/>
    <w:rsid w:val="00FC7146"/>
    <w:rsid w:val="00FC76A2"/>
    <w:rsid w:val="00FD11ED"/>
    <w:rsid w:val="00FD1414"/>
    <w:rsid w:val="00FD40B4"/>
    <w:rsid w:val="00FD5F9B"/>
    <w:rsid w:val="00FE1B44"/>
    <w:rsid w:val="00FE4758"/>
    <w:rsid w:val="00FE5296"/>
    <w:rsid w:val="00FF4901"/>
    <w:rsid w:val="00FF4D46"/>
    <w:rsid w:val="00FF6B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27914"/>
    <w:pPr>
      <w:jc w:val="both"/>
    </w:pPr>
    <w:rPr>
      <w:sz w:val="24"/>
      <w:lang w:val="en-GB" w:eastAsia="en-AU"/>
    </w:rPr>
  </w:style>
  <w:style w:type="paragraph" w:styleId="Heading1">
    <w:name w:val="heading 1"/>
    <w:basedOn w:val="Normal"/>
    <w:next w:val="Normal"/>
    <w:link w:val="Heading1Char"/>
    <w:qFormat/>
    <w:rsid w:val="00815526"/>
    <w:pPr>
      <w:keepNext/>
      <w:pBdr>
        <w:bottom w:val="single" w:sz="4" w:space="1" w:color="auto"/>
      </w:pBdr>
      <w:jc w:val="left"/>
      <w:outlineLvl w:val="0"/>
    </w:pPr>
    <w:rPr>
      <w:rFonts w:ascii="Times New Roman Bold" w:hAnsi="Times New Roman Bold"/>
      <w:b/>
      <w:sz w:val="28"/>
      <w:szCs w:val="28"/>
      <w:lang w:val="en-NZ"/>
    </w:rPr>
  </w:style>
  <w:style w:type="paragraph" w:styleId="Heading2">
    <w:name w:val="heading 2"/>
    <w:basedOn w:val="Normal"/>
    <w:next w:val="Normal"/>
    <w:link w:val="Heading2Char"/>
    <w:qFormat/>
    <w:rsid w:val="00B45C43"/>
    <w:pPr>
      <w:outlineLvl w:val="1"/>
    </w:pPr>
    <w:rPr>
      <w:b/>
    </w:rPr>
  </w:style>
  <w:style w:type="paragraph" w:styleId="Heading3">
    <w:name w:val="heading 3"/>
    <w:basedOn w:val="Normal"/>
    <w:next w:val="Normal"/>
    <w:link w:val="Heading3Char"/>
    <w:qFormat/>
    <w:rsid w:val="00B45C43"/>
    <w:pPr>
      <w:outlineLvl w:val="2"/>
    </w:pPr>
    <w:rPr>
      <w:b/>
      <w:i/>
    </w:rPr>
  </w:style>
  <w:style w:type="paragraph" w:styleId="Heading4">
    <w:name w:val="heading 4"/>
    <w:basedOn w:val="Heading3"/>
    <w:next w:val="Normal"/>
    <w:qFormat/>
    <w:rsid w:val="003E7C3D"/>
    <w:pPr>
      <w:outlineLvl w:val="3"/>
    </w:pPr>
    <w:rPr>
      <w:b w:val="0"/>
    </w:rPr>
  </w:style>
  <w:style w:type="paragraph" w:styleId="Heading5">
    <w:name w:val="heading 5"/>
    <w:basedOn w:val="Normal"/>
    <w:next w:val="Normal"/>
    <w:rsid w:val="00725975"/>
    <w:pPr>
      <w:spacing w:before="240" w:after="60"/>
      <w:outlineLvl w:val="4"/>
    </w:pPr>
    <w:rPr>
      <w:b/>
      <w:bCs/>
      <w:i/>
      <w:iCs/>
      <w:sz w:val="26"/>
      <w:szCs w:val="26"/>
    </w:rPr>
  </w:style>
  <w:style w:type="paragraph" w:styleId="Heading6">
    <w:name w:val="heading 6"/>
    <w:basedOn w:val="Normal"/>
    <w:next w:val="Normal"/>
    <w:rsid w:val="00725975"/>
    <w:pPr>
      <w:spacing w:before="240" w:after="60"/>
      <w:outlineLvl w:val="5"/>
    </w:pPr>
    <w:rPr>
      <w:b/>
      <w:bCs/>
      <w:sz w:val="22"/>
      <w:szCs w:val="22"/>
    </w:rPr>
  </w:style>
  <w:style w:type="paragraph" w:styleId="Heading7">
    <w:name w:val="heading 7"/>
    <w:basedOn w:val="Normal"/>
    <w:next w:val="Normal"/>
    <w:rsid w:val="00725975"/>
    <w:pPr>
      <w:spacing w:before="240" w:after="60"/>
      <w:outlineLvl w:val="6"/>
    </w:pPr>
    <w:rPr>
      <w:szCs w:val="24"/>
    </w:rPr>
  </w:style>
  <w:style w:type="paragraph" w:styleId="Heading8">
    <w:name w:val="heading 8"/>
    <w:basedOn w:val="Normal"/>
    <w:next w:val="Normal"/>
    <w:rsid w:val="00725975"/>
    <w:pPr>
      <w:spacing w:before="240" w:after="60"/>
      <w:outlineLvl w:val="7"/>
    </w:pPr>
    <w:rPr>
      <w:i/>
      <w:iCs/>
      <w:szCs w:val="24"/>
    </w:rPr>
  </w:style>
  <w:style w:type="paragraph" w:styleId="Heading9">
    <w:name w:val="heading 9"/>
    <w:basedOn w:val="Normal"/>
    <w:next w:val="Normal"/>
    <w:rsid w:val="0072597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5975"/>
    <w:pPr>
      <w:spacing w:before="100" w:beforeAutospacing="1" w:after="100" w:afterAutospacing="1"/>
    </w:pPr>
    <w:rPr>
      <w:rFonts w:ascii="Verdana" w:hAnsi="Verdana"/>
      <w:sz w:val="27"/>
      <w:szCs w:val="27"/>
      <w:lang w:val="en-AU"/>
    </w:rPr>
  </w:style>
  <w:style w:type="character" w:styleId="Hyperlink">
    <w:name w:val="Hyperlink"/>
    <w:basedOn w:val="DefaultParagraphFont"/>
    <w:rsid w:val="00725975"/>
    <w:rPr>
      <w:color w:val="auto"/>
    </w:rPr>
  </w:style>
  <w:style w:type="paragraph" w:styleId="FootnoteText">
    <w:name w:val="footnote text"/>
    <w:basedOn w:val="Normal"/>
    <w:semiHidden/>
    <w:rsid w:val="00725975"/>
    <w:pPr>
      <w:jc w:val="left"/>
    </w:pPr>
    <w:rPr>
      <w:rFonts w:eastAsia="MS Mincho"/>
      <w:sz w:val="18"/>
      <w:szCs w:val="18"/>
      <w:lang w:val="en-NZ" w:eastAsia="ja-JP"/>
    </w:rPr>
  </w:style>
  <w:style w:type="character" w:styleId="FootnoteReference">
    <w:name w:val="footnote reference"/>
    <w:basedOn w:val="DefaultParagraphFont"/>
    <w:semiHidden/>
    <w:rsid w:val="00725975"/>
    <w:rPr>
      <w:rFonts w:ascii="Times New Roman" w:hAnsi="Times New Roman"/>
      <w:sz w:val="18"/>
      <w:szCs w:val="18"/>
      <w:vertAlign w:val="superscript"/>
    </w:rPr>
  </w:style>
  <w:style w:type="table" w:styleId="TableGrid">
    <w:name w:val="Table Grid"/>
    <w:basedOn w:val="TableNormal"/>
    <w:rsid w:val="00725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2">
    <w:name w:val="Bullets2"/>
    <w:qFormat/>
    <w:rsid w:val="008F12F0"/>
    <w:pPr>
      <w:numPr>
        <w:numId w:val="23"/>
      </w:numPr>
      <w:tabs>
        <w:tab w:val="left" w:pos="1985"/>
      </w:tabs>
      <w:ind w:left="1985" w:hanging="567"/>
    </w:pPr>
    <w:rPr>
      <w:sz w:val="24"/>
      <w:lang w:eastAsia="en-AU"/>
    </w:rPr>
  </w:style>
  <w:style w:type="paragraph" w:styleId="Header">
    <w:name w:val="header"/>
    <w:basedOn w:val="Normal"/>
    <w:rsid w:val="00725975"/>
    <w:pPr>
      <w:tabs>
        <w:tab w:val="center" w:pos="4153"/>
        <w:tab w:val="right" w:pos="8306"/>
      </w:tabs>
    </w:pPr>
  </w:style>
  <w:style w:type="paragraph" w:styleId="Footer">
    <w:name w:val="footer"/>
    <w:basedOn w:val="Normal"/>
    <w:rsid w:val="00725975"/>
    <w:pPr>
      <w:tabs>
        <w:tab w:val="center" w:pos="4153"/>
        <w:tab w:val="right" w:pos="8306"/>
      </w:tabs>
    </w:pPr>
  </w:style>
  <w:style w:type="character" w:styleId="PageNumber">
    <w:name w:val="page number"/>
    <w:basedOn w:val="DefaultParagraphFont"/>
    <w:rsid w:val="0003164B"/>
    <w:rPr>
      <w:sz w:val="22"/>
      <w:szCs w:val="22"/>
    </w:rPr>
  </w:style>
  <w:style w:type="paragraph" w:styleId="BalloonText">
    <w:name w:val="Balloon Text"/>
    <w:basedOn w:val="Normal"/>
    <w:semiHidden/>
    <w:rsid w:val="00725975"/>
    <w:rPr>
      <w:rFonts w:ascii="Tahoma" w:hAnsi="Tahoma" w:cs="Tahoma"/>
      <w:sz w:val="16"/>
      <w:szCs w:val="16"/>
    </w:rPr>
  </w:style>
  <w:style w:type="character" w:styleId="CommentReference">
    <w:name w:val="annotation reference"/>
    <w:basedOn w:val="DefaultParagraphFont"/>
    <w:semiHidden/>
    <w:rsid w:val="00725975"/>
    <w:rPr>
      <w:sz w:val="16"/>
      <w:szCs w:val="16"/>
    </w:rPr>
  </w:style>
  <w:style w:type="paragraph" w:styleId="CommentText">
    <w:name w:val="annotation text"/>
    <w:basedOn w:val="Normal"/>
    <w:semiHidden/>
    <w:rsid w:val="00725975"/>
  </w:style>
  <w:style w:type="paragraph" w:styleId="CommentSubject">
    <w:name w:val="annotation subject"/>
    <w:basedOn w:val="CommentText"/>
    <w:next w:val="CommentText"/>
    <w:semiHidden/>
    <w:rsid w:val="000E3A50"/>
    <w:rPr>
      <w:b/>
      <w:bCs/>
    </w:rPr>
  </w:style>
  <w:style w:type="paragraph" w:customStyle="1" w:styleId="Chapter7">
    <w:name w:val="Chapter 7"/>
    <w:link w:val="Chapter7Char"/>
    <w:rsid w:val="00ED0B7F"/>
    <w:pPr>
      <w:numPr>
        <w:numId w:val="12"/>
      </w:numPr>
      <w:tabs>
        <w:tab w:val="clear" w:pos="567"/>
        <w:tab w:val="num" w:pos="851"/>
      </w:tabs>
      <w:ind w:left="851" w:hanging="851"/>
      <w:jc w:val="both"/>
    </w:pPr>
    <w:rPr>
      <w:sz w:val="24"/>
      <w:szCs w:val="24"/>
      <w:lang w:eastAsia="en-AU"/>
    </w:rPr>
  </w:style>
  <w:style w:type="character" w:customStyle="1" w:styleId="Chapter7Char">
    <w:name w:val="Chapter 7 Char"/>
    <w:link w:val="Chapter7"/>
    <w:rsid w:val="00ED0B7F"/>
    <w:rPr>
      <w:sz w:val="24"/>
      <w:szCs w:val="24"/>
      <w:lang w:eastAsia="en-AU"/>
    </w:rPr>
  </w:style>
  <w:style w:type="paragraph" w:customStyle="1" w:styleId="Chapter8">
    <w:name w:val="Chapter 8"/>
    <w:link w:val="Chapter8Char"/>
    <w:rsid w:val="00ED0B7F"/>
    <w:pPr>
      <w:numPr>
        <w:numId w:val="14"/>
      </w:numPr>
      <w:ind w:left="851" w:hanging="851"/>
      <w:jc w:val="both"/>
    </w:pPr>
    <w:rPr>
      <w:sz w:val="24"/>
      <w:szCs w:val="24"/>
      <w:lang w:eastAsia="en-AU"/>
    </w:rPr>
  </w:style>
  <w:style w:type="character" w:customStyle="1" w:styleId="Chapter8Char">
    <w:name w:val="Chapter 8 Char"/>
    <w:basedOn w:val="DefaultParagraphFont"/>
    <w:link w:val="Chapter8"/>
    <w:rsid w:val="00ED0B7F"/>
    <w:rPr>
      <w:sz w:val="24"/>
      <w:szCs w:val="24"/>
      <w:lang w:eastAsia="en-AU"/>
    </w:rPr>
  </w:style>
  <w:style w:type="paragraph" w:customStyle="1" w:styleId="Chapter9">
    <w:name w:val="Chapter 9"/>
    <w:link w:val="Chapter9Char"/>
    <w:rsid w:val="00ED0B7F"/>
    <w:pPr>
      <w:numPr>
        <w:numId w:val="4"/>
      </w:numPr>
      <w:tabs>
        <w:tab w:val="clear" w:pos="567"/>
        <w:tab w:val="num" w:pos="851"/>
      </w:tabs>
      <w:ind w:left="851" w:hanging="851"/>
      <w:jc w:val="both"/>
    </w:pPr>
    <w:rPr>
      <w:sz w:val="24"/>
      <w:szCs w:val="24"/>
      <w:lang w:eastAsia="en-AU"/>
    </w:rPr>
  </w:style>
  <w:style w:type="character" w:customStyle="1" w:styleId="Chapter9Char">
    <w:name w:val="Chapter 9 Char"/>
    <w:basedOn w:val="DefaultParagraphFont"/>
    <w:link w:val="Chapter9"/>
    <w:rsid w:val="00ED0B7F"/>
    <w:rPr>
      <w:sz w:val="24"/>
      <w:szCs w:val="24"/>
      <w:lang w:eastAsia="en-AU"/>
    </w:rPr>
  </w:style>
  <w:style w:type="paragraph" w:customStyle="1" w:styleId="Chapter10">
    <w:name w:val="Chapter10"/>
    <w:basedOn w:val="Normal"/>
    <w:rsid w:val="00311DBB"/>
    <w:pPr>
      <w:numPr>
        <w:numId w:val="1"/>
      </w:numPr>
      <w:ind w:left="851" w:hanging="851"/>
    </w:pPr>
  </w:style>
  <w:style w:type="paragraph" w:customStyle="1" w:styleId="Chapter11">
    <w:name w:val="Chapter11"/>
    <w:basedOn w:val="Normal"/>
    <w:rsid w:val="00C97186"/>
    <w:pPr>
      <w:numPr>
        <w:numId w:val="15"/>
      </w:numPr>
      <w:ind w:left="851" w:hanging="851"/>
    </w:pPr>
    <w:rPr>
      <w:szCs w:val="24"/>
      <w:lang w:val="en-AU"/>
    </w:rPr>
  </w:style>
  <w:style w:type="paragraph" w:styleId="DocumentMap">
    <w:name w:val="Document Map"/>
    <w:basedOn w:val="Normal"/>
    <w:semiHidden/>
    <w:rsid w:val="00CB7A06"/>
    <w:pPr>
      <w:shd w:val="clear" w:color="auto" w:fill="000080"/>
    </w:pPr>
    <w:rPr>
      <w:rFonts w:ascii="Tahoma" w:hAnsi="Tahoma" w:cs="Tahoma"/>
      <w:sz w:val="20"/>
    </w:rPr>
  </w:style>
  <w:style w:type="paragraph" w:customStyle="1" w:styleId="Chapter1">
    <w:name w:val="Chapter 1"/>
    <w:link w:val="Chapter1Char1"/>
    <w:qFormat/>
    <w:rsid w:val="006F02AD"/>
    <w:pPr>
      <w:numPr>
        <w:numId w:val="3"/>
      </w:numPr>
      <w:jc w:val="both"/>
    </w:pPr>
    <w:rPr>
      <w:sz w:val="24"/>
      <w:lang w:eastAsia="en-AU"/>
    </w:rPr>
  </w:style>
  <w:style w:type="paragraph" w:customStyle="1" w:styleId="Chapter100">
    <w:name w:val="Chapter 10"/>
    <w:basedOn w:val="Chapter9"/>
    <w:rsid w:val="00725975"/>
    <w:pPr>
      <w:numPr>
        <w:numId w:val="5"/>
      </w:numPr>
      <w:tabs>
        <w:tab w:val="clear" w:pos="567"/>
        <w:tab w:val="num" w:pos="851"/>
      </w:tabs>
      <w:ind w:left="851" w:hanging="851"/>
    </w:pPr>
  </w:style>
  <w:style w:type="paragraph" w:customStyle="1" w:styleId="Chapter2">
    <w:name w:val="Chapter 2"/>
    <w:link w:val="Chapter2Char"/>
    <w:qFormat/>
    <w:rsid w:val="000852A1"/>
    <w:pPr>
      <w:numPr>
        <w:numId w:val="6"/>
      </w:numPr>
      <w:jc w:val="both"/>
    </w:pPr>
    <w:rPr>
      <w:snapToGrid w:val="0"/>
      <w:sz w:val="24"/>
      <w:lang w:eastAsia="en-US"/>
    </w:rPr>
  </w:style>
  <w:style w:type="paragraph" w:customStyle="1" w:styleId="Chapter3">
    <w:name w:val="Chapter 3"/>
    <w:link w:val="Chapter3Char1"/>
    <w:qFormat/>
    <w:rsid w:val="000852A1"/>
    <w:pPr>
      <w:numPr>
        <w:numId w:val="7"/>
      </w:numPr>
      <w:jc w:val="both"/>
    </w:pPr>
    <w:rPr>
      <w:snapToGrid w:val="0"/>
      <w:sz w:val="24"/>
      <w:lang w:eastAsia="en-US"/>
    </w:rPr>
  </w:style>
  <w:style w:type="paragraph" w:customStyle="1" w:styleId="Chapter4">
    <w:name w:val="Chapter 4"/>
    <w:qFormat/>
    <w:rsid w:val="000852A1"/>
    <w:pPr>
      <w:numPr>
        <w:numId w:val="8"/>
      </w:numPr>
      <w:jc w:val="both"/>
    </w:pPr>
    <w:rPr>
      <w:sz w:val="24"/>
      <w:lang w:eastAsia="en-AU"/>
    </w:rPr>
  </w:style>
  <w:style w:type="paragraph" w:customStyle="1" w:styleId="Chapter5">
    <w:name w:val="Chapter 5"/>
    <w:link w:val="Chapter5Char"/>
    <w:rsid w:val="000852A1"/>
    <w:pPr>
      <w:numPr>
        <w:numId w:val="9"/>
      </w:numPr>
      <w:jc w:val="both"/>
    </w:pPr>
    <w:rPr>
      <w:sz w:val="24"/>
      <w:lang w:eastAsia="en-AU"/>
    </w:rPr>
  </w:style>
  <w:style w:type="paragraph" w:customStyle="1" w:styleId="Chapter6">
    <w:name w:val="Chapter 6"/>
    <w:link w:val="Chapter6Char"/>
    <w:rsid w:val="00ED0B7F"/>
    <w:pPr>
      <w:numPr>
        <w:numId w:val="10"/>
      </w:numPr>
      <w:jc w:val="both"/>
    </w:pPr>
    <w:rPr>
      <w:sz w:val="24"/>
      <w:lang w:eastAsia="en-AU"/>
    </w:rPr>
  </w:style>
  <w:style w:type="paragraph" w:customStyle="1" w:styleId="PartHeading">
    <w:name w:val="Part Heading"/>
    <w:basedOn w:val="Normal"/>
    <w:rsid w:val="00725975"/>
    <w:pPr>
      <w:pBdr>
        <w:top w:val="single" w:sz="4" w:space="10" w:color="auto"/>
        <w:bottom w:val="single" w:sz="4" w:space="10" w:color="auto"/>
      </w:pBdr>
      <w:jc w:val="center"/>
    </w:pPr>
    <w:rPr>
      <w:sz w:val="52"/>
      <w:szCs w:val="52"/>
    </w:rPr>
  </w:style>
  <w:style w:type="paragraph" w:styleId="Quote">
    <w:name w:val="Quote"/>
    <w:qFormat/>
    <w:rsid w:val="008F12F0"/>
    <w:pPr>
      <w:ind w:left="1418" w:right="567"/>
      <w:jc w:val="both"/>
    </w:pPr>
    <w:rPr>
      <w:sz w:val="22"/>
      <w:szCs w:val="22"/>
      <w:lang w:eastAsia="en-AU"/>
    </w:rPr>
  </w:style>
  <w:style w:type="paragraph" w:styleId="TOC1">
    <w:name w:val="toc 1"/>
    <w:basedOn w:val="Normal"/>
    <w:next w:val="Normal"/>
    <w:autoRedefine/>
    <w:uiPriority w:val="39"/>
    <w:rsid w:val="002048AD"/>
    <w:pPr>
      <w:tabs>
        <w:tab w:val="left" w:pos="567"/>
        <w:tab w:val="right" w:pos="8296"/>
      </w:tabs>
      <w:spacing w:before="240" w:after="240"/>
      <w:ind w:left="567" w:hanging="567"/>
      <w:jc w:val="left"/>
    </w:pPr>
    <w:rPr>
      <w:rFonts w:ascii="Times New Roman Bold" w:hAnsi="Times New Roman Bold"/>
      <w:b/>
      <w:noProof/>
      <w:szCs w:val="24"/>
      <w:lang w:val="en-NZ"/>
    </w:rPr>
  </w:style>
  <w:style w:type="paragraph" w:styleId="TOC2">
    <w:name w:val="toc 2"/>
    <w:basedOn w:val="Normal"/>
    <w:next w:val="Normal"/>
    <w:autoRedefine/>
    <w:uiPriority w:val="39"/>
    <w:rsid w:val="002048AD"/>
    <w:pPr>
      <w:tabs>
        <w:tab w:val="left" w:pos="567"/>
        <w:tab w:val="right" w:pos="8301"/>
      </w:tabs>
      <w:spacing w:before="40" w:after="40"/>
      <w:ind w:left="567"/>
      <w:jc w:val="left"/>
    </w:pPr>
    <w:rPr>
      <w:sz w:val="22"/>
      <w:szCs w:val="24"/>
      <w:lang w:val="en-NZ"/>
    </w:rPr>
  </w:style>
  <w:style w:type="paragraph" w:styleId="TOC3">
    <w:name w:val="toc 3"/>
    <w:basedOn w:val="Normal"/>
    <w:next w:val="Normal"/>
    <w:autoRedefine/>
    <w:uiPriority w:val="39"/>
    <w:rsid w:val="002048AD"/>
    <w:pPr>
      <w:tabs>
        <w:tab w:val="right" w:pos="8302"/>
      </w:tabs>
      <w:spacing w:before="20" w:after="20"/>
      <w:ind w:left="1134"/>
    </w:pPr>
    <w:rPr>
      <w:sz w:val="20"/>
      <w:szCs w:val="22"/>
      <w:lang w:val="en-NZ"/>
    </w:rPr>
  </w:style>
  <w:style w:type="numbering" w:customStyle="1" w:styleId="StyleBulletedWingdingssymbol">
    <w:name w:val="Style Bulleted Wingdings (symbol)"/>
    <w:basedOn w:val="NoList"/>
    <w:rsid w:val="00311DBB"/>
    <w:pPr>
      <w:numPr>
        <w:numId w:val="16"/>
      </w:numPr>
    </w:pPr>
  </w:style>
  <w:style w:type="paragraph" w:customStyle="1" w:styleId="Bullets">
    <w:name w:val="Bullets"/>
    <w:basedOn w:val="Normal"/>
    <w:link w:val="BulletsChar"/>
    <w:qFormat/>
    <w:rsid w:val="008F12F0"/>
    <w:pPr>
      <w:numPr>
        <w:numId w:val="2"/>
      </w:numPr>
      <w:tabs>
        <w:tab w:val="left" w:pos="1418"/>
      </w:tabs>
      <w:spacing w:after="140"/>
    </w:pPr>
    <w:rPr>
      <w:lang w:val="en-NZ"/>
    </w:rPr>
  </w:style>
  <w:style w:type="paragraph" w:styleId="TOC4">
    <w:name w:val="toc 4"/>
    <w:basedOn w:val="Normal"/>
    <w:next w:val="Normal"/>
    <w:autoRedefine/>
    <w:semiHidden/>
    <w:rsid w:val="00642F45"/>
    <w:pPr>
      <w:ind w:left="720"/>
      <w:jc w:val="left"/>
    </w:pPr>
    <w:rPr>
      <w:szCs w:val="24"/>
      <w:lang w:val="en-AU"/>
    </w:rPr>
  </w:style>
  <w:style w:type="paragraph" w:styleId="TOC5">
    <w:name w:val="toc 5"/>
    <w:basedOn w:val="Normal"/>
    <w:next w:val="Normal"/>
    <w:autoRedefine/>
    <w:semiHidden/>
    <w:rsid w:val="00642F45"/>
    <w:pPr>
      <w:ind w:left="960"/>
      <w:jc w:val="left"/>
    </w:pPr>
    <w:rPr>
      <w:szCs w:val="24"/>
      <w:lang w:val="en-AU"/>
    </w:rPr>
  </w:style>
  <w:style w:type="paragraph" w:styleId="TOC6">
    <w:name w:val="toc 6"/>
    <w:basedOn w:val="Normal"/>
    <w:next w:val="Normal"/>
    <w:autoRedefine/>
    <w:semiHidden/>
    <w:rsid w:val="00642F45"/>
    <w:pPr>
      <w:ind w:left="1200"/>
      <w:jc w:val="left"/>
    </w:pPr>
    <w:rPr>
      <w:szCs w:val="24"/>
      <w:lang w:val="en-AU"/>
    </w:rPr>
  </w:style>
  <w:style w:type="paragraph" w:styleId="TOC7">
    <w:name w:val="toc 7"/>
    <w:basedOn w:val="Normal"/>
    <w:next w:val="Normal"/>
    <w:autoRedefine/>
    <w:semiHidden/>
    <w:rsid w:val="00642F45"/>
    <w:pPr>
      <w:ind w:left="1440"/>
      <w:jc w:val="left"/>
    </w:pPr>
    <w:rPr>
      <w:szCs w:val="24"/>
      <w:lang w:val="en-AU"/>
    </w:rPr>
  </w:style>
  <w:style w:type="paragraph" w:styleId="TOC8">
    <w:name w:val="toc 8"/>
    <w:basedOn w:val="Normal"/>
    <w:next w:val="Normal"/>
    <w:autoRedefine/>
    <w:semiHidden/>
    <w:rsid w:val="00642F45"/>
    <w:pPr>
      <w:ind w:left="1680"/>
      <w:jc w:val="left"/>
    </w:pPr>
    <w:rPr>
      <w:szCs w:val="24"/>
      <w:lang w:val="en-AU"/>
    </w:rPr>
  </w:style>
  <w:style w:type="paragraph" w:styleId="TOC9">
    <w:name w:val="toc 9"/>
    <w:basedOn w:val="Normal"/>
    <w:next w:val="Normal"/>
    <w:autoRedefine/>
    <w:semiHidden/>
    <w:rsid w:val="00642F45"/>
    <w:pPr>
      <w:ind w:left="1920"/>
      <w:jc w:val="left"/>
    </w:pPr>
    <w:rPr>
      <w:szCs w:val="24"/>
      <w:lang w:val="en-AU"/>
    </w:rPr>
  </w:style>
  <w:style w:type="character" w:customStyle="1" w:styleId="Chapter1Char1">
    <w:name w:val="Chapter 1 Char1"/>
    <w:basedOn w:val="DefaultParagraphFont"/>
    <w:link w:val="Chapter1"/>
    <w:rsid w:val="006F02AD"/>
    <w:rPr>
      <w:sz w:val="24"/>
      <w:lang w:eastAsia="en-AU"/>
    </w:rPr>
  </w:style>
  <w:style w:type="character" w:customStyle="1" w:styleId="Chapter2Char">
    <w:name w:val="Chapter 2 Char"/>
    <w:basedOn w:val="Chapter1Char1"/>
    <w:link w:val="Chapter2"/>
    <w:rsid w:val="000852A1"/>
    <w:rPr>
      <w:snapToGrid w:val="0"/>
      <w:sz w:val="24"/>
      <w:lang w:val="en-NZ" w:eastAsia="en-US" w:bidi="ar-SA"/>
    </w:rPr>
  </w:style>
  <w:style w:type="character" w:customStyle="1" w:styleId="Chapter3Char1">
    <w:name w:val="Chapter 3 Char1"/>
    <w:basedOn w:val="Chapter2Char"/>
    <w:link w:val="Chapter3"/>
    <w:rsid w:val="000852A1"/>
    <w:rPr>
      <w:snapToGrid w:val="0"/>
      <w:sz w:val="24"/>
      <w:lang w:val="en-NZ" w:eastAsia="en-US" w:bidi="ar-SA"/>
    </w:rPr>
  </w:style>
  <w:style w:type="character" w:customStyle="1" w:styleId="Chapter5Char">
    <w:name w:val="Chapter 5 Char"/>
    <w:basedOn w:val="Chapter1Char1"/>
    <w:link w:val="Chapter5"/>
    <w:rsid w:val="000852A1"/>
    <w:rPr>
      <w:sz w:val="24"/>
      <w:lang w:val="en-NZ" w:eastAsia="en-AU" w:bidi="ar-SA"/>
    </w:rPr>
  </w:style>
  <w:style w:type="character" w:customStyle="1" w:styleId="Chapter6Char">
    <w:name w:val="Chapter 6 Char"/>
    <w:basedOn w:val="DefaultParagraphFont"/>
    <w:link w:val="Chapter6"/>
    <w:rsid w:val="00ED0B7F"/>
    <w:rPr>
      <w:sz w:val="24"/>
      <w:lang w:eastAsia="en-AU"/>
    </w:rPr>
  </w:style>
  <w:style w:type="character" w:customStyle="1" w:styleId="Heading1Char">
    <w:name w:val="Heading 1 Char"/>
    <w:basedOn w:val="DefaultParagraphFont"/>
    <w:link w:val="Heading1"/>
    <w:rsid w:val="00815526"/>
    <w:rPr>
      <w:rFonts w:ascii="Times New Roman Bold" w:hAnsi="Times New Roman Bold"/>
      <w:b/>
      <w:sz w:val="28"/>
      <w:szCs w:val="28"/>
      <w:lang w:eastAsia="en-AU"/>
    </w:rPr>
  </w:style>
  <w:style w:type="character" w:customStyle="1" w:styleId="Heading2Char">
    <w:name w:val="Heading 2 Char"/>
    <w:basedOn w:val="DefaultParagraphFont"/>
    <w:link w:val="Heading2"/>
    <w:rsid w:val="00B45C43"/>
    <w:rPr>
      <w:b/>
      <w:sz w:val="24"/>
      <w:lang w:val="en-GB" w:eastAsia="en-AU"/>
    </w:rPr>
  </w:style>
  <w:style w:type="paragraph" w:customStyle="1" w:styleId="Chapterheading">
    <w:name w:val="Chapter heading"/>
    <w:basedOn w:val="Normal"/>
    <w:link w:val="ChapterheadingChar1"/>
    <w:qFormat/>
    <w:rsid w:val="00ED0B7F"/>
    <w:pPr>
      <w:jc w:val="center"/>
    </w:pPr>
    <w:rPr>
      <w:rFonts w:ascii="Times New Roman Bold" w:hAnsi="Times New Roman Bold"/>
      <w:b/>
      <w:bCs/>
      <w:caps/>
      <w:sz w:val="28"/>
      <w:szCs w:val="28"/>
      <w:lang w:val="en-NZ"/>
    </w:rPr>
  </w:style>
  <w:style w:type="character" w:customStyle="1" w:styleId="BulletsChar">
    <w:name w:val="Bullets Char"/>
    <w:basedOn w:val="DefaultParagraphFont"/>
    <w:link w:val="Bullets"/>
    <w:rsid w:val="008F12F0"/>
    <w:rPr>
      <w:sz w:val="24"/>
      <w:lang w:eastAsia="en-AU"/>
    </w:rPr>
  </w:style>
  <w:style w:type="character" w:customStyle="1" w:styleId="Heading3Char">
    <w:name w:val="Heading 3 Char"/>
    <w:basedOn w:val="DefaultParagraphFont"/>
    <w:link w:val="Heading3"/>
    <w:rsid w:val="00B45C43"/>
    <w:rPr>
      <w:b/>
      <w:i/>
      <w:sz w:val="24"/>
      <w:lang w:val="en-GB" w:eastAsia="en-AU"/>
    </w:rPr>
  </w:style>
  <w:style w:type="character" w:customStyle="1" w:styleId="ChapterheadingChar1">
    <w:name w:val="Chapter heading Char1"/>
    <w:basedOn w:val="DefaultParagraphFont"/>
    <w:link w:val="Chapterheading"/>
    <w:rsid w:val="00ED0B7F"/>
    <w:rPr>
      <w:rFonts w:ascii="Times New Roman Bold" w:hAnsi="Times New Roman Bold"/>
      <w:b/>
      <w:bCs/>
      <w:caps/>
      <w:sz w:val="28"/>
      <w:szCs w:val="2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27914"/>
    <w:pPr>
      <w:jc w:val="both"/>
    </w:pPr>
    <w:rPr>
      <w:sz w:val="24"/>
      <w:lang w:val="en-GB" w:eastAsia="en-AU"/>
    </w:rPr>
  </w:style>
  <w:style w:type="paragraph" w:styleId="Heading1">
    <w:name w:val="heading 1"/>
    <w:basedOn w:val="Normal"/>
    <w:next w:val="Normal"/>
    <w:link w:val="Heading1Char"/>
    <w:qFormat/>
    <w:rsid w:val="00815526"/>
    <w:pPr>
      <w:keepNext/>
      <w:pBdr>
        <w:bottom w:val="single" w:sz="4" w:space="1" w:color="auto"/>
      </w:pBdr>
      <w:jc w:val="left"/>
      <w:outlineLvl w:val="0"/>
    </w:pPr>
    <w:rPr>
      <w:rFonts w:ascii="Times New Roman Bold" w:hAnsi="Times New Roman Bold"/>
      <w:b/>
      <w:sz w:val="28"/>
      <w:szCs w:val="28"/>
      <w:lang w:val="en-NZ"/>
    </w:rPr>
  </w:style>
  <w:style w:type="paragraph" w:styleId="Heading2">
    <w:name w:val="heading 2"/>
    <w:basedOn w:val="Normal"/>
    <w:next w:val="Normal"/>
    <w:link w:val="Heading2Char"/>
    <w:qFormat/>
    <w:rsid w:val="00B45C43"/>
    <w:pPr>
      <w:outlineLvl w:val="1"/>
    </w:pPr>
    <w:rPr>
      <w:b/>
    </w:rPr>
  </w:style>
  <w:style w:type="paragraph" w:styleId="Heading3">
    <w:name w:val="heading 3"/>
    <w:basedOn w:val="Normal"/>
    <w:next w:val="Normal"/>
    <w:link w:val="Heading3Char"/>
    <w:qFormat/>
    <w:rsid w:val="00B45C43"/>
    <w:pPr>
      <w:outlineLvl w:val="2"/>
    </w:pPr>
    <w:rPr>
      <w:b/>
      <w:i/>
    </w:rPr>
  </w:style>
  <w:style w:type="paragraph" w:styleId="Heading4">
    <w:name w:val="heading 4"/>
    <w:basedOn w:val="Heading3"/>
    <w:next w:val="Normal"/>
    <w:qFormat/>
    <w:rsid w:val="003E7C3D"/>
    <w:pPr>
      <w:outlineLvl w:val="3"/>
    </w:pPr>
    <w:rPr>
      <w:b w:val="0"/>
    </w:rPr>
  </w:style>
  <w:style w:type="paragraph" w:styleId="Heading5">
    <w:name w:val="heading 5"/>
    <w:basedOn w:val="Normal"/>
    <w:next w:val="Normal"/>
    <w:rsid w:val="00725975"/>
    <w:pPr>
      <w:spacing w:before="240" w:after="60"/>
      <w:outlineLvl w:val="4"/>
    </w:pPr>
    <w:rPr>
      <w:b/>
      <w:bCs/>
      <w:i/>
      <w:iCs/>
      <w:sz w:val="26"/>
      <w:szCs w:val="26"/>
    </w:rPr>
  </w:style>
  <w:style w:type="paragraph" w:styleId="Heading6">
    <w:name w:val="heading 6"/>
    <w:basedOn w:val="Normal"/>
    <w:next w:val="Normal"/>
    <w:rsid w:val="00725975"/>
    <w:pPr>
      <w:spacing w:before="240" w:after="60"/>
      <w:outlineLvl w:val="5"/>
    </w:pPr>
    <w:rPr>
      <w:b/>
      <w:bCs/>
      <w:sz w:val="22"/>
      <w:szCs w:val="22"/>
    </w:rPr>
  </w:style>
  <w:style w:type="paragraph" w:styleId="Heading7">
    <w:name w:val="heading 7"/>
    <w:basedOn w:val="Normal"/>
    <w:next w:val="Normal"/>
    <w:rsid w:val="00725975"/>
    <w:pPr>
      <w:spacing w:before="240" w:after="60"/>
      <w:outlineLvl w:val="6"/>
    </w:pPr>
    <w:rPr>
      <w:szCs w:val="24"/>
    </w:rPr>
  </w:style>
  <w:style w:type="paragraph" w:styleId="Heading8">
    <w:name w:val="heading 8"/>
    <w:basedOn w:val="Normal"/>
    <w:next w:val="Normal"/>
    <w:rsid w:val="00725975"/>
    <w:pPr>
      <w:spacing w:before="240" w:after="60"/>
      <w:outlineLvl w:val="7"/>
    </w:pPr>
    <w:rPr>
      <w:i/>
      <w:iCs/>
      <w:szCs w:val="24"/>
    </w:rPr>
  </w:style>
  <w:style w:type="paragraph" w:styleId="Heading9">
    <w:name w:val="heading 9"/>
    <w:basedOn w:val="Normal"/>
    <w:next w:val="Normal"/>
    <w:rsid w:val="0072597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5975"/>
    <w:pPr>
      <w:spacing w:before="100" w:beforeAutospacing="1" w:after="100" w:afterAutospacing="1"/>
    </w:pPr>
    <w:rPr>
      <w:rFonts w:ascii="Verdana" w:hAnsi="Verdana"/>
      <w:sz w:val="27"/>
      <w:szCs w:val="27"/>
      <w:lang w:val="en-AU"/>
    </w:rPr>
  </w:style>
  <w:style w:type="character" w:styleId="Hyperlink">
    <w:name w:val="Hyperlink"/>
    <w:basedOn w:val="DefaultParagraphFont"/>
    <w:rsid w:val="00725975"/>
    <w:rPr>
      <w:color w:val="auto"/>
    </w:rPr>
  </w:style>
  <w:style w:type="paragraph" w:styleId="FootnoteText">
    <w:name w:val="footnote text"/>
    <w:basedOn w:val="Normal"/>
    <w:semiHidden/>
    <w:rsid w:val="00725975"/>
    <w:pPr>
      <w:jc w:val="left"/>
    </w:pPr>
    <w:rPr>
      <w:rFonts w:eastAsia="MS Mincho"/>
      <w:sz w:val="18"/>
      <w:szCs w:val="18"/>
      <w:lang w:val="en-NZ" w:eastAsia="ja-JP"/>
    </w:rPr>
  </w:style>
  <w:style w:type="character" w:styleId="FootnoteReference">
    <w:name w:val="footnote reference"/>
    <w:basedOn w:val="DefaultParagraphFont"/>
    <w:semiHidden/>
    <w:rsid w:val="00725975"/>
    <w:rPr>
      <w:rFonts w:ascii="Times New Roman" w:hAnsi="Times New Roman"/>
      <w:sz w:val="18"/>
      <w:szCs w:val="18"/>
      <w:vertAlign w:val="superscript"/>
    </w:rPr>
  </w:style>
  <w:style w:type="table" w:styleId="TableGrid">
    <w:name w:val="Table Grid"/>
    <w:basedOn w:val="TableNormal"/>
    <w:rsid w:val="00725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2">
    <w:name w:val="Bullets2"/>
    <w:qFormat/>
    <w:rsid w:val="008F12F0"/>
    <w:pPr>
      <w:numPr>
        <w:numId w:val="23"/>
      </w:numPr>
      <w:tabs>
        <w:tab w:val="left" w:pos="1985"/>
      </w:tabs>
      <w:ind w:left="1985" w:hanging="567"/>
    </w:pPr>
    <w:rPr>
      <w:sz w:val="24"/>
      <w:lang w:eastAsia="en-AU"/>
    </w:rPr>
  </w:style>
  <w:style w:type="paragraph" w:styleId="Header">
    <w:name w:val="header"/>
    <w:basedOn w:val="Normal"/>
    <w:rsid w:val="00725975"/>
    <w:pPr>
      <w:tabs>
        <w:tab w:val="center" w:pos="4153"/>
        <w:tab w:val="right" w:pos="8306"/>
      </w:tabs>
    </w:pPr>
  </w:style>
  <w:style w:type="paragraph" w:styleId="Footer">
    <w:name w:val="footer"/>
    <w:basedOn w:val="Normal"/>
    <w:rsid w:val="00725975"/>
    <w:pPr>
      <w:tabs>
        <w:tab w:val="center" w:pos="4153"/>
        <w:tab w:val="right" w:pos="8306"/>
      </w:tabs>
    </w:pPr>
  </w:style>
  <w:style w:type="character" w:styleId="PageNumber">
    <w:name w:val="page number"/>
    <w:basedOn w:val="DefaultParagraphFont"/>
    <w:rsid w:val="0003164B"/>
    <w:rPr>
      <w:sz w:val="22"/>
      <w:szCs w:val="22"/>
    </w:rPr>
  </w:style>
  <w:style w:type="paragraph" w:styleId="BalloonText">
    <w:name w:val="Balloon Text"/>
    <w:basedOn w:val="Normal"/>
    <w:semiHidden/>
    <w:rsid w:val="00725975"/>
    <w:rPr>
      <w:rFonts w:ascii="Tahoma" w:hAnsi="Tahoma" w:cs="Tahoma"/>
      <w:sz w:val="16"/>
      <w:szCs w:val="16"/>
    </w:rPr>
  </w:style>
  <w:style w:type="character" w:styleId="CommentReference">
    <w:name w:val="annotation reference"/>
    <w:basedOn w:val="DefaultParagraphFont"/>
    <w:semiHidden/>
    <w:rsid w:val="00725975"/>
    <w:rPr>
      <w:sz w:val="16"/>
      <w:szCs w:val="16"/>
    </w:rPr>
  </w:style>
  <w:style w:type="paragraph" w:styleId="CommentText">
    <w:name w:val="annotation text"/>
    <w:basedOn w:val="Normal"/>
    <w:semiHidden/>
    <w:rsid w:val="00725975"/>
  </w:style>
  <w:style w:type="paragraph" w:styleId="CommentSubject">
    <w:name w:val="annotation subject"/>
    <w:basedOn w:val="CommentText"/>
    <w:next w:val="CommentText"/>
    <w:semiHidden/>
    <w:rsid w:val="000E3A50"/>
    <w:rPr>
      <w:b/>
      <w:bCs/>
    </w:rPr>
  </w:style>
  <w:style w:type="paragraph" w:customStyle="1" w:styleId="Chapter7">
    <w:name w:val="Chapter 7"/>
    <w:link w:val="Chapter7Char"/>
    <w:rsid w:val="00ED0B7F"/>
    <w:pPr>
      <w:numPr>
        <w:numId w:val="12"/>
      </w:numPr>
      <w:tabs>
        <w:tab w:val="clear" w:pos="567"/>
        <w:tab w:val="num" w:pos="851"/>
      </w:tabs>
      <w:ind w:left="851" w:hanging="851"/>
      <w:jc w:val="both"/>
    </w:pPr>
    <w:rPr>
      <w:sz w:val="24"/>
      <w:szCs w:val="24"/>
      <w:lang w:eastAsia="en-AU"/>
    </w:rPr>
  </w:style>
  <w:style w:type="character" w:customStyle="1" w:styleId="Chapter7Char">
    <w:name w:val="Chapter 7 Char"/>
    <w:link w:val="Chapter7"/>
    <w:rsid w:val="00ED0B7F"/>
    <w:rPr>
      <w:sz w:val="24"/>
      <w:szCs w:val="24"/>
      <w:lang w:eastAsia="en-AU"/>
    </w:rPr>
  </w:style>
  <w:style w:type="paragraph" w:customStyle="1" w:styleId="Chapter8">
    <w:name w:val="Chapter 8"/>
    <w:link w:val="Chapter8Char"/>
    <w:rsid w:val="00ED0B7F"/>
    <w:pPr>
      <w:numPr>
        <w:numId w:val="14"/>
      </w:numPr>
      <w:ind w:left="851" w:hanging="851"/>
      <w:jc w:val="both"/>
    </w:pPr>
    <w:rPr>
      <w:sz w:val="24"/>
      <w:szCs w:val="24"/>
      <w:lang w:eastAsia="en-AU"/>
    </w:rPr>
  </w:style>
  <w:style w:type="character" w:customStyle="1" w:styleId="Chapter8Char">
    <w:name w:val="Chapter 8 Char"/>
    <w:basedOn w:val="DefaultParagraphFont"/>
    <w:link w:val="Chapter8"/>
    <w:rsid w:val="00ED0B7F"/>
    <w:rPr>
      <w:sz w:val="24"/>
      <w:szCs w:val="24"/>
      <w:lang w:eastAsia="en-AU"/>
    </w:rPr>
  </w:style>
  <w:style w:type="paragraph" w:customStyle="1" w:styleId="Chapter9">
    <w:name w:val="Chapter 9"/>
    <w:link w:val="Chapter9Char"/>
    <w:rsid w:val="00ED0B7F"/>
    <w:pPr>
      <w:numPr>
        <w:numId w:val="4"/>
      </w:numPr>
      <w:tabs>
        <w:tab w:val="clear" w:pos="567"/>
        <w:tab w:val="num" w:pos="851"/>
      </w:tabs>
      <w:ind w:left="851" w:hanging="851"/>
      <w:jc w:val="both"/>
    </w:pPr>
    <w:rPr>
      <w:sz w:val="24"/>
      <w:szCs w:val="24"/>
      <w:lang w:eastAsia="en-AU"/>
    </w:rPr>
  </w:style>
  <w:style w:type="character" w:customStyle="1" w:styleId="Chapter9Char">
    <w:name w:val="Chapter 9 Char"/>
    <w:basedOn w:val="DefaultParagraphFont"/>
    <w:link w:val="Chapter9"/>
    <w:rsid w:val="00ED0B7F"/>
    <w:rPr>
      <w:sz w:val="24"/>
      <w:szCs w:val="24"/>
      <w:lang w:eastAsia="en-AU"/>
    </w:rPr>
  </w:style>
  <w:style w:type="paragraph" w:customStyle="1" w:styleId="Chapter10">
    <w:name w:val="Chapter10"/>
    <w:basedOn w:val="Normal"/>
    <w:rsid w:val="00311DBB"/>
    <w:pPr>
      <w:numPr>
        <w:numId w:val="1"/>
      </w:numPr>
      <w:ind w:left="851" w:hanging="851"/>
    </w:pPr>
  </w:style>
  <w:style w:type="paragraph" w:customStyle="1" w:styleId="Chapter11">
    <w:name w:val="Chapter11"/>
    <w:basedOn w:val="Normal"/>
    <w:rsid w:val="00C97186"/>
    <w:pPr>
      <w:numPr>
        <w:numId w:val="15"/>
      </w:numPr>
      <w:ind w:left="851" w:hanging="851"/>
    </w:pPr>
    <w:rPr>
      <w:szCs w:val="24"/>
      <w:lang w:val="en-AU"/>
    </w:rPr>
  </w:style>
  <w:style w:type="paragraph" w:styleId="DocumentMap">
    <w:name w:val="Document Map"/>
    <w:basedOn w:val="Normal"/>
    <w:semiHidden/>
    <w:rsid w:val="00CB7A06"/>
    <w:pPr>
      <w:shd w:val="clear" w:color="auto" w:fill="000080"/>
    </w:pPr>
    <w:rPr>
      <w:rFonts w:ascii="Tahoma" w:hAnsi="Tahoma" w:cs="Tahoma"/>
      <w:sz w:val="20"/>
    </w:rPr>
  </w:style>
  <w:style w:type="paragraph" w:customStyle="1" w:styleId="Chapter1">
    <w:name w:val="Chapter 1"/>
    <w:link w:val="Chapter1Char1"/>
    <w:qFormat/>
    <w:rsid w:val="006F02AD"/>
    <w:pPr>
      <w:numPr>
        <w:numId w:val="3"/>
      </w:numPr>
      <w:jc w:val="both"/>
    </w:pPr>
    <w:rPr>
      <w:sz w:val="24"/>
      <w:lang w:eastAsia="en-AU"/>
    </w:rPr>
  </w:style>
  <w:style w:type="paragraph" w:customStyle="1" w:styleId="Chapter100">
    <w:name w:val="Chapter 10"/>
    <w:basedOn w:val="Chapter9"/>
    <w:rsid w:val="00725975"/>
    <w:pPr>
      <w:numPr>
        <w:numId w:val="5"/>
      </w:numPr>
      <w:tabs>
        <w:tab w:val="clear" w:pos="567"/>
        <w:tab w:val="num" w:pos="851"/>
      </w:tabs>
      <w:ind w:left="851" w:hanging="851"/>
    </w:pPr>
  </w:style>
  <w:style w:type="paragraph" w:customStyle="1" w:styleId="Chapter2">
    <w:name w:val="Chapter 2"/>
    <w:link w:val="Chapter2Char"/>
    <w:qFormat/>
    <w:rsid w:val="000852A1"/>
    <w:pPr>
      <w:numPr>
        <w:numId w:val="6"/>
      </w:numPr>
      <w:jc w:val="both"/>
    </w:pPr>
    <w:rPr>
      <w:snapToGrid w:val="0"/>
      <w:sz w:val="24"/>
      <w:lang w:eastAsia="en-US"/>
    </w:rPr>
  </w:style>
  <w:style w:type="paragraph" w:customStyle="1" w:styleId="Chapter3">
    <w:name w:val="Chapter 3"/>
    <w:link w:val="Chapter3Char1"/>
    <w:qFormat/>
    <w:rsid w:val="000852A1"/>
    <w:pPr>
      <w:numPr>
        <w:numId w:val="7"/>
      </w:numPr>
      <w:jc w:val="both"/>
    </w:pPr>
    <w:rPr>
      <w:snapToGrid w:val="0"/>
      <w:sz w:val="24"/>
      <w:lang w:eastAsia="en-US"/>
    </w:rPr>
  </w:style>
  <w:style w:type="paragraph" w:customStyle="1" w:styleId="Chapter4">
    <w:name w:val="Chapter 4"/>
    <w:qFormat/>
    <w:rsid w:val="000852A1"/>
    <w:pPr>
      <w:numPr>
        <w:numId w:val="8"/>
      </w:numPr>
      <w:jc w:val="both"/>
    </w:pPr>
    <w:rPr>
      <w:sz w:val="24"/>
      <w:lang w:eastAsia="en-AU"/>
    </w:rPr>
  </w:style>
  <w:style w:type="paragraph" w:customStyle="1" w:styleId="Chapter5">
    <w:name w:val="Chapter 5"/>
    <w:link w:val="Chapter5Char"/>
    <w:rsid w:val="000852A1"/>
    <w:pPr>
      <w:numPr>
        <w:numId w:val="9"/>
      </w:numPr>
      <w:jc w:val="both"/>
    </w:pPr>
    <w:rPr>
      <w:sz w:val="24"/>
      <w:lang w:eastAsia="en-AU"/>
    </w:rPr>
  </w:style>
  <w:style w:type="paragraph" w:customStyle="1" w:styleId="Chapter6">
    <w:name w:val="Chapter 6"/>
    <w:link w:val="Chapter6Char"/>
    <w:rsid w:val="00ED0B7F"/>
    <w:pPr>
      <w:numPr>
        <w:numId w:val="10"/>
      </w:numPr>
      <w:jc w:val="both"/>
    </w:pPr>
    <w:rPr>
      <w:sz w:val="24"/>
      <w:lang w:eastAsia="en-AU"/>
    </w:rPr>
  </w:style>
  <w:style w:type="paragraph" w:customStyle="1" w:styleId="PartHeading">
    <w:name w:val="Part Heading"/>
    <w:basedOn w:val="Normal"/>
    <w:rsid w:val="00725975"/>
    <w:pPr>
      <w:pBdr>
        <w:top w:val="single" w:sz="4" w:space="10" w:color="auto"/>
        <w:bottom w:val="single" w:sz="4" w:space="10" w:color="auto"/>
      </w:pBdr>
      <w:jc w:val="center"/>
    </w:pPr>
    <w:rPr>
      <w:sz w:val="52"/>
      <w:szCs w:val="52"/>
    </w:rPr>
  </w:style>
  <w:style w:type="paragraph" w:styleId="Quote">
    <w:name w:val="Quote"/>
    <w:qFormat/>
    <w:rsid w:val="008F12F0"/>
    <w:pPr>
      <w:ind w:left="1418" w:right="567"/>
      <w:jc w:val="both"/>
    </w:pPr>
    <w:rPr>
      <w:sz w:val="22"/>
      <w:szCs w:val="22"/>
      <w:lang w:eastAsia="en-AU"/>
    </w:rPr>
  </w:style>
  <w:style w:type="paragraph" w:styleId="TOC1">
    <w:name w:val="toc 1"/>
    <w:basedOn w:val="Normal"/>
    <w:next w:val="Normal"/>
    <w:autoRedefine/>
    <w:uiPriority w:val="39"/>
    <w:rsid w:val="002048AD"/>
    <w:pPr>
      <w:tabs>
        <w:tab w:val="left" w:pos="567"/>
        <w:tab w:val="right" w:pos="8296"/>
      </w:tabs>
      <w:spacing w:before="240" w:after="240"/>
      <w:ind w:left="567" w:hanging="567"/>
      <w:jc w:val="left"/>
    </w:pPr>
    <w:rPr>
      <w:rFonts w:ascii="Times New Roman Bold" w:hAnsi="Times New Roman Bold"/>
      <w:b/>
      <w:noProof/>
      <w:szCs w:val="24"/>
      <w:lang w:val="en-NZ"/>
    </w:rPr>
  </w:style>
  <w:style w:type="paragraph" w:styleId="TOC2">
    <w:name w:val="toc 2"/>
    <w:basedOn w:val="Normal"/>
    <w:next w:val="Normal"/>
    <w:autoRedefine/>
    <w:uiPriority w:val="39"/>
    <w:rsid w:val="002048AD"/>
    <w:pPr>
      <w:tabs>
        <w:tab w:val="left" w:pos="567"/>
        <w:tab w:val="right" w:pos="8301"/>
      </w:tabs>
      <w:spacing w:before="40" w:after="40"/>
      <w:ind w:left="567"/>
      <w:jc w:val="left"/>
    </w:pPr>
    <w:rPr>
      <w:sz w:val="22"/>
      <w:szCs w:val="24"/>
      <w:lang w:val="en-NZ"/>
    </w:rPr>
  </w:style>
  <w:style w:type="paragraph" w:styleId="TOC3">
    <w:name w:val="toc 3"/>
    <w:basedOn w:val="Normal"/>
    <w:next w:val="Normal"/>
    <w:autoRedefine/>
    <w:uiPriority w:val="39"/>
    <w:rsid w:val="002048AD"/>
    <w:pPr>
      <w:tabs>
        <w:tab w:val="right" w:pos="8302"/>
      </w:tabs>
      <w:spacing w:before="20" w:after="20"/>
      <w:ind w:left="1134"/>
    </w:pPr>
    <w:rPr>
      <w:sz w:val="20"/>
      <w:szCs w:val="22"/>
      <w:lang w:val="en-NZ"/>
    </w:rPr>
  </w:style>
  <w:style w:type="numbering" w:customStyle="1" w:styleId="StyleBulletedWingdingssymbol">
    <w:name w:val="Style Bulleted Wingdings (symbol)"/>
    <w:basedOn w:val="NoList"/>
    <w:rsid w:val="00311DBB"/>
    <w:pPr>
      <w:numPr>
        <w:numId w:val="16"/>
      </w:numPr>
    </w:pPr>
  </w:style>
  <w:style w:type="paragraph" w:customStyle="1" w:styleId="Bullets">
    <w:name w:val="Bullets"/>
    <w:basedOn w:val="Normal"/>
    <w:link w:val="BulletsChar"/>
    <w:qFormat/>
    <w:rsid w:val="008F12F0"/>
    <w:pPr>
      <w:numPr>
        <w:numId w:val="2"/>
      </w:numPr>
      <w:tabs>
        <w:tab w:val="left" w:pos="1418"/>
      </w:tabs>
      <w:spacing w:after="140"/>
    </w:pPr>
    <w:rPr>
      <w:lang w:val="en-NZ"/>
    </w:rPr>
  </w:style>
  <w:style w:type="paragraph" w:styleId="TOC4">
    <w:name w:val="toc 4"/>
    <w:basedOn w:val="Normal"/>
    <w:next w:val="Normal"/>
    <w:autoRedefine/>
    <w:semiHidden/>
    <w:rsid w:val="00642F45"/>
    <w:pPr>
      <w:ind w:left="720"/>
      <w:jc w:val="left"/>
    </w:pPr>
    <w:rPr>
      <w:szCs w:val="24"/>
      <w:lang w:val="en-AU"/>
    </w:rPr>
  </w:style>
  <w:style w:type="paragraph" w:styleId="TOC5">
    <w:name w:val="toc 5"/>
    <w:basedOn w:val="Normal"/>
    <w:next w:val="Normal"/>
    <w:autoRedefine/>
    <w:semiHidden/>
    <w:rsid w:val="00642F45"/>
    <w:pPr>
      <w:ind w:left="960"/>
      <w:jc w:val="left"/>
    </w:pPr>
    <w:rPr>
      <w:szCs w:val="24"/>
      <w:lang w:val="en-AU"/>
    </w:rPr>
  </w:style>
  <w:style w:type="paragraph" w:styleId="TOC6">
    <w:name w:val="toc 6"/>
    <w:basedOn w:val="Normal"/>
    <w:next w:val="Normal"/>
    <w:autoRedefine/>
    <w:semiHidden/>
    <w:rsid w:val="00642F45"/>
    <w:pPr>
      <w:ind w:left="1200"/>
      <w:jc w:val="left"/>
    </w:pPr>
    <w:rPr>
      <w:szCs w:val="24"/>
      <w:lang w:val="en-AU"/>
    </w:rPr>
  </w:style>
  <w:style w:type="paragraph" w:styleId="TOC7">
    <w:name w:val="toc 7"/>
    <w:basedOn w:val="Normal"/>
    <w:next w:val="Normal"/>
    <w:autoRedefine/>
    <w:semiHidden/>
    <w:rsid w:val="00642F45"/>
    <w:pPr>
      <w:ind w:left="1440"/>
      <w:jc w:val="left"/>
    </w:pPr>
    <w:rPr>
      <w:szCs w:val="24"/>
      <w:lang w:val="en-AU"/>
    </w:rPr>
  </w:style>
  <w:style w:type="paragraph" w:styleId="TOC8">
    <w:name w:val="toc 8"/>
    <w:basedOn w:val="Normal"/>
    <w:next w:val="Normal"/>
    <w:autoRedefine/>
    <w:semiHidden/>
    <w:rsid w:val="00642F45"/>
    <w:pPr>
      <w:ind w:left="1680"/>
      <w:jc w:val="left"/>
    </w:pPr>
    <w:rPr>
      <w:szCs w:val="24"/>
      <w:lang w:val="en-AU"/>
    </w:rPr>
  </w:style>
  <w:style w:type="paragraph" w:styleId="TOC9">
    <w:name w:val="toc 9"/>
    <w:basedOn w:val="Normal"/>
    <w:next w:val="Normal"/>
    <w:autoRedefine/>
    <w:semiHidden/>
    <w:rsid w:val="00642F45"/>
    <w:pPr>
      <w:ind w:left="1920"/>
      <w:jc w:val="left"/>
    </w:pPr>
    <w:rPr>
      <w:szCs w:val="24"/>
      <w:lang w:val="en-AU"/>
    </w:rPr>
  </w:style>
  <w:style w:type="character" w:customStyle="1" w:styleId="Chapter1Char1">
    <w:name w:val="Chapter 1 Char1"/>
    <w:basedOn w:val="DefaultParagraphFont"/>
    <w:link w:val="Chapter1"/>
    <w:rsid w:val="006F02AD"/>
    <w:rPr>
      <w:sz w:val="24"/>
      <w:lang w:eastAsia="en-AU"/>
    </w:rPr>
  </w:style>
  <w:style w:type="character" w:customStyle="1" w:styleId="Chapter2Char">
    <w:name w:val="Chapter 2 Char"/>
    <w:basedOn w:val="Chapter1Char1"/>
    <w:link w:val="Chapter2"/>
    <w:rsid w:val="000852A1"/>
    <w:rPr>
      <w:snapToGrid w:val="0"/>
      <w:sz w:val="24"/>
      <w:lang w:val="en-NZ" w:eastAsia="en-US" w:bidi="ar-SA"/>
    </w:rPr>
  </w:style>
  <w:style w:type="character" w:customStyle="1" w:styleId="Chapter3Char1">
    <w:name w:val="Chapter 3 Char1"/>
    <w:basedOn w:val="Chapter2Char"/>
    <w:link w:val="Chapter3"/>
    <w:rsid w:val="000852A1"/>
    <w:rPr>
      <w:snapToGrid w:val="0"/>
      <w:sz w:val="24"/>
      <w:lang w:val="en-NZ" w:eastAsia="en-US" w:bidi="ar-SA"/>
    </w:rPr>
  </w:style>
  <w:style w:type="character" w:customStyle="1" w:styleId="Chapter5Char">
    <w:name w:val="Chapter 5 Char"/>
    <w:basedOn w:val="Chapter1Char1"/>
    <w:link w:val="Chapter5"/>
    <w:rsid w:val="000852A1"/>
    <w:rPr>
      <w:sz w:val="24"/>
      <w:lang w:val="en-NZ" w:eastAsia="en-AU" w:bidi="ar-SA"/>
    </w:rPr>
  </w:style>
  <w:style w:type="character" w:customStyle="1" w:styleId="Chapter6Char">
    <w:name w:val="Chapter 6 Char"/>
    <w:basedOn w:val="DefaultParagraphFont"/>
    <w:link w:val="Chapter6"/>
    <w:rsid w:val="00ED0B7F"/>
    <w:rPr>
      <w:sz w:val="24"/>
      <w:lang w:eastAsia="en-AU"/>
    </w:rPr>
  </w:style>
  <w:style w:type="character" w:customStyle="1" w:styleId="Heading1Char">
    <w:name w:val="Heading 1 Char"/>
    <w:basedOn w:val="DefaultParagraphFont"/>
    <w:link w:val="Heading1"/>
    <w:rsid w:val="00815526"/>
    <w:rPr>
      <w:rFonts w:ascii="Times New Roman Bold" w:hAnsi="Times New Roman Bold"/>
      <w:b/>
      <w:sz w:val="28"/>
      <w:szCs w:val="28"/>
      <w:lang w:eastAsia="en-AU"/>
    </w:rPr>
  </w:style>
  <w:style w:type="character" w:customStyle="1" w:styleId="Heading2Char">
    <w:name w:val="Heading 2 Char"/>
    <w:basedOn w:val="DefaultParagraphFont"/>
    <w:link w:val="Heading2"/>
    <w:rsid w:val="00B45C43"/>
    <w:rPr>
      <w:b/>
      <w:sz w:val="24"/>
      <w:lang w:val="en-GB" w:eastAsia="en-AU"/>
    </w:rPr>
  </w:style>
  <w:style w:type="paragraph" w:customStyle="1" w:styleId="Chapterheading">
    <w:name w:val="Chapter heading"/>
    <w:basedOn w:val="Normal"/>
    <w:link w:val="ChapterheadingChar1"/>
    <w:qFormat/>
    <w:rsid w:val="00ED0B7F"/>
    <w:pPr>
      <w:jc w:val="center"/>
    </w:pPr>
    <w:rPr>
      <w:rFonts w:ascii="Times New Roman Bold" w:hAnsi="Times New Roman Bold"/>
      <w:b/>
      <w:bCs/>
      <w:caps/>
      <w:sz w:val="28"/>
      <w:szCs w:val="28"/>
      <w:lang w:val="en-NZ"/>
    </w:rPr>
  </w:style>
  <w:style w:type="character" w:customStyle="1" w:styleId="BulletsChar">
    <w:name w:val="Bullets Char"/>
    <w:basedOn w:val="DefaultParagraphFont"/>
    <w:link w:val="Bullets"/>
    <w:rsid w:val="008F12F0"/>
    <w:rPr>
      <w:sz w:val="24"/>
      <w:lang w:eastAsia="en-AU"/>
    </w:rPr>
  </w:style>
  <w:style w:type="character" w:customStyle="1" w:styleId="Heading3Char">
    <w:name w:val="Heading 3 Char"/>
    <w:basedOn w:val="DefaultParagraphFont"/>
    <w:link w:val="Heading3"/>
    <w:rsid w:val="00B45C43"/>
    <w:rPr>
      <w:b/>
      <w:i/>
      <w:sz w:val="24"/>
      <w:lang w:val="en-GB" w:eastAsia="en-AU"/>
    </w:rPr>
  </w:style>
  <w:style w:type="character" w:customStyle="1" w:styleId="ChapterheadingChar1">
    <w:name w:val="Chapter heading Char1"/>
    <w:basedOn w:val="DefaultParagraphFont"/>
    <w:link w:val="Chapterheading"/>
    <w:rsid w:val="00ED0B7F"/>
    <w:rPr>
      <w:rFonts w:ascii="Times New Roman Bold" w:hAnsi="Times New Roman Bold"/>
      <w:b/>
      <w:bCs/>
      <w:caps/>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15887">
      <w:bodyDiv w:val="1"/>
      <w:marLeft w:val="0"/>
      <w:marRight w:val="0"/>
      <w:marTop w:val="0"/>
      <w:marBottom w:val="0"/>
      <w:divBdr>
        <w:top w:val="none" w:sz="0" w:space="0" w:color="auto"/>
        <w:left w:val="none" w:sz="0" w:space="0" w:color="auto"/>
        <w:bottom w:val="none" w:sz="0" w:space="0" w:color="auto"/>
        <w:right w:val="none" w:sz="0" w:space="0" w:color="auto"/>
      </w:divBdr>
    </w:div>
    <w:div w:id="492138164">
      <w:bodyDiv w:val="1"/>
      <w:marLeft w:val="0"/>
      <w:marRight w:val="0"/>
      <w:marTop w:val="0"/>
      <w:marBottom w:val="0"/>
      <w:divBdr>
        <w:top w:val="none" w:sz="0" w:space="0" w:color="auto"/>
        <w:left w:val="none" w:sz="0" w:space="0" w:color="auto"/>
        <w:bottom w:val="none" w:sz="0" w:space="0" w:color="auto"/>
        <w:right w:val="none" w:sz="0" w:space="0" w:color="auto"/>
      </w:divBdr>
    </w:div>
    <w:div w:id="684941955">
      <w:bodyDiv w:val="1"/>
      <w:marLeft w:val="0"/>
      <w:marRight w:val="0"/>
      <w:marTop w:val="0"/>
      <w:marBottom w:val="0"/>
      <w:divBdr>
        <w:top w:val="none" w:sz="0" w:space="0" w:color="auto"/>
        <w:left w:val="none" w:sz="0" w:space="0" w:color="auto"/>
        <w:bottom w:val="none" w:sz="0" w:space="0" w:color="auto"/>
        <w:right w:val="none" w:sz="0" w:space="0" w:color="auto"/>
      </w:divBdr>
    </w:div>
    <w:div w:id="887372961">
      <w:bodyDiv w:val="1"/>
      <w:marLeft w:val="0"/>
      <w:marRight w:val="0"/>
      <w:marTop w:val="0"/>
      <w:marBottom w:val="0"/>
      <w:divBdr>
        <w:top w:val="none" w:sz="0" w:space="0" w:color="auto"/>
        <w:left w:val="none" w:sz="0" w:space="0" w:color="auto"/>
        <w:bottom w:val="none" w:sz="0" w:space="0" w:color="auto"/>
        <w:right w:val="none" w:sz="0" w:space="0" w:color="auto"/>
      </w:divBdr>
    </w:div>
    <w:div w:id="1093553952">
      <w:bodyDiv w:val="1"/>
      <w:marLeft w:val="0"/>
      <w:marRight w:val="0"/>
      <w:marTop w:val="0"/>
      <w:marBottom w:val="0"/>
      <w:divBdr>
        <w:top w:val="none" w:sz="0" w:space="0" w:color="auto"/>
        <w:left w:val="none" w:sz="0" w:space="0" w:color="auto"/>
        <w:bottom w:val="none" w:sz="0" w:space="0" w:color="auto"/>
        <w:right w:val="none" w:sz="0" w:space="0" w:color="auto"/>
      </w:divBdr>
    </w:div>
    <w:div w:id="1610888824">
      <w:bodyDiv w:val="1"/>
      <w:marLeft w:val="0"/>
      <w:marRight w:val="0"/>
      <w:marTop w:val="0"/>
      <w:marBottom w:val="0"/>
      <w:divBdr>
        <w:top w:val="none" w:sz="0" w:space="0" w:color="auto"/>
        <w:left w:val="none" w:sz="0" w:space="0" w:color="auto"/>
        <w:bottom w:val="none" w:sz="0" w:space="0" w:color="auto"/>
        <w:right w:val="none" w:sz="0" w:space="0" w:color="auto"/>
      </w:divBdr>
    </w:div>
    <w:div w:id="1642267703">
      <w:bodyDiv w:val="1"/>
      <w:marLeft w:val="0"/>
      <w:marRight w:val="0"/>
      <w:marTop w:val="0"/>
      <w:marBottom w:val="0"/>
      <w:divBdr>
        <w:top w:val="none" w:sz="0" w:space="0" w:color="auto"/>
        <w:left w:val="none" w:sz="0" w:space="0" w:color="auto"/>
        <w:bottom w:val="none" w:sz="0" w:space="0" w:color="auto"/>
        <w:right w:val="none" w:sz="0" w:space="0" w:color="auto"/>
      </w:divBdr>
    </w:div>
    <w:div w:id="1717200048">
      <w:bodyDiv w:val="1"/>
      <w:marLeft w:val="0"/>
      <w:marRight w:val="0"/>
      <w:marTop w:val="0"/>
      <w:marBottom w:val="0"/>
      <w:divBdr>
        <w:top w:val="none" w:sz="0" w:space="0" w:color="auto"/>
        <w:left w:val="none" w:sz="0" w:space="0" w:color="auto"/>
        <w:bottom w:val="none" w:sz="0" w:space="0" w:color="auto"/>
        <w:right w:val="none" w:sz="0" w:space="0" w:color="auto"/>
      </w:divBdr>
    </w:div>
    <w:div w:id="1844394679">
      <w:bodyDiv w:val="1"/>
      <w:marLeft w:val="0"/>
      <w:marRight w:val="0"/>
      <w:marTop w:val="0"/>
      <w:marBottom w:val="0"/>
      <w:divBdr>
        <w:top w:val="none" w:sz="0" w:space="0" w:color="auto"/>
        <w:left w:val="none" w:sz="0" w:space="0" w:color="auto"/>
        <w:bottom w:val="none" w:sz="0" w:space="0" w:color="auto"/>
        <w:right w:val="none" w:sz="0" w:space="0" w:color="auto"/>
      </w:divBdr>
    </w:div>
    <w:div w:id="1916549204">
      <w:bodyDiv w:val="1"/>
      <w:marLeft w:val="0"/>
      <w:marRight w:val="0"/>
      <w:marTop w:val="0"/>
      <w:marBottom w:val="0"/>
      <w:divBdr>
        <w:top w:val="none" w:sz="0" w:space="0" w:color="auto"/>
        <w:left w:val="none" w:sz="0" w:space="0" w:color="auto"/>
        <w:bottom w:val="none" w:sz="0" w:space="0" w:color="auto"/>
        <w:right w:val="none" w:sz="0" w:space="0" w:color="auto"/>
      </w:divBdr>
    </w:div>
    <w:div w:id="1922181047">
      <w:bodyDiv w:val="1"/>
      <w:marLeft w:val="0"/>
      <w:marRight w:val="0"/>
      <w:marTop w:val="0"/>
      <w:marBottom w:val="0"/>
      <w:divBdr>
        <w:top w:val="none" w:sz="0" w:space="0" w:color="auto"/>
        <w:left w:val="none" w:sz="0" w:space="0" w:color="auto"/>
        <w:bottom w:val="none" w:sz="0" w:space="0" w:color="auto"/>
        <w:right w:val="none" w:sz="0" w:space="0" w:color="auto"/>
      </w:divBdr>
    </w:div>
    <w:div w:id="1969779276">
      <w:bodyDiv w:val="1"/>
      <w:marLeft w:val="0"/>
      <w:marRight w:val="0"/>
      <w:marTop w:val="0"/>
      <w:marBottom w:val="0"/>
      <w:divBdr>
        <w:top w:val="none" w:sz="0" w:space="0" w:color="auto"/>
        <w:left w:val="none" w:sz="0" w:space="0" w:color="auto"/>
        <w:bottom w:val="none" w:sz="0" w:space="0" w:color="auto"/>
        <w:right w:val="none" w:sz="0" w:space="0" w:color="auto"/>
      </w:divBdr>
    </w:div>
    <w:div w:id="203804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68E66-26B1-4214-883B-AC4A9F21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917</Words>
  <Characters>5525</Characters>
  <Application>Microsoft Office Word</Application>
  <DocSecurity>0</DocSecurity>
  <Lines>230</Lines>
  <Paragraphs>88</Paragraphs>
  <ScaleCrop>false</ScaleCrop>
  <HeadingPairs>
    <vt:vector size="2" baseType="variant">
      <vt:variant>
        <vt:lpstr>Title</vt:lpstr>
      </vt:variant>
      <vt:variant>
        <vt:i4>1</vt:i4>
      </vt:variant>
    </vt:vector>
  </HeadingPairs>
  <TitlesOfParts>
    <vt:vector size="1" baseType="lpstr">
      <vt:lpstr>The Government's tax policy work programme - 2016-17 - Update released in November 2016 v1.1</vt:lpstr>
    </vt:vector>
  </TitlesOfParts>
  <Company>Inland Revenue</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Government's tax policy work programme - 2016-17 - Update released in November 2016 v1.1</dc:title>
  <dc:creator>Policy and Strategy</dc:creator>
  <dc:description>Update released on 8 November 2016, updated on 17 November 2016 (timetable added).</dc:description>
  <cp:lastModifiedBy>David Nind</cp:lastModifiedBy>
  <cp:revision>2</cp:revision>
  <dcterms:created xsi:type="dcterms:W3CDTF">2016-11-16T21:28:00Z</dcterms:created>
  <dcterms:modified xsi:type="dcterms:W3CDTF">2016-11-16T21:30:00Z</dcterms:modified>
</cp:coreProperties>
</file>